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2F68D">
      <w:pPr>
        <w:jc w:val="right"/>
        <w:rPr>
          <w:rFonts w:hint="eastAsia" w:ascii="Times New Roman" w:hAnsi="Times New Roman" w:eastAsia="宋体" w:cs="Times New Roman"/>
          <w:color w:val="auto"/>
          <w:sz w:val="36"/>
          <w:szCs w:val="36"/>
          <w:lang w:eastAsia="zh-CN"/>
        </w:rPr>
      </w:pPr>
      <w:bookmarkStart w:id="16" w:name="_GoBack"/>
      <w:r>
        <w:rPr>
          <w:rFonts w:hint="eastAsia" w:ascii="Times New Roman" w:hAnsi="Times New Roman" w:eastAsia="宋体" w:cs="Times New Roman"/>
          <w:color w:val="auto"/>
          <w:sz w:val="36"/>
          <w:szCs w:val="36"/>
          <w:lang w:eastAsia="zh-CN"/>
        </w:rPr>
        <w:drawing>
          <wp:inline distT="0" distB="0" distL="114300" distR="114300">
            <wp:extent cx="5591175" cy="7914005"/>
            <wp:effectExtent l="0" t="0" r="9525" b="10795"/>
            <wp:docPr id="12" name="图片 12" descr="已盖章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已盖章_01"/>
                    <pic:cNvPicPr>
                      <a:picLocks noChangeAspect="1"/>
                    </pic:cNvPicPr>
                  </pic:nvPicPr>
                  <pic:blipFill>
                    <a:blip r:embed="rId9"/>
                    <a:stretch>
                      <a:fillRect/>
                    </a:stretch>
                  </pic:blipFill>
                  <pic:spPr>
                    <a:xfrm>
                      <a:off x="0" y="0"/>
                      <a:ext cx="5591175" cy="7914005"/>
                    </a:xfrm>
                    <a:prstGeom prst="rect">
                      <a:avLst/>
                    </a:prstGeom>
                  </pic:spPr>
                </pic:pic>
              </a:graphicData>
            </a:graphic>
          </wp:inline>
        </w:drawing>
      </w:r>
    </w:p>
    <w:p w14:paraId="57D76F34">
      <w:pPr>
        <w:jc w:val="center"/>
        <w:rPr>
          <w:rFonts w:hint="default" w:ascii="Times New Roman" w:hAnsi="Times New Roman" w:eastAsia="宋体" w:cs="Times New Roman"/>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color w:val="auto"/>
        </w:rPr>
        <w:drawing>
          <wp:inline distT="0" distB="0" distL="114300" distR="114300">
            <wp:extent cx="5598795" cy="8270875"/>
            <wp:effectExtent l="0" t="0" r="1905" b="15875"/>
            <wp:docPr id="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pic:cNvPicPr>
                      <a:picLocks noChangeAspect="1"/>
                    </pic:cNvPicPr>
                  </pic:nvPicPr>
                  <pic:blipFill>
                    <a:blip r:embed="rId10"/>
                    <a:stretch>
                      <a:fillRect/>
                    </a:stretch>
                  </pic:blipFill>
                  <pic:spPr>
                    <a:xfrm>
                      <a:off x="0" y="0"/>
                      <a:ext cx="5598795" cy="8270875"/>
                    </a:xfrm>
                    <a:prstGeom prst="rect">
                      <a:avLst/>
                    </a:prstGeom>
                    <a:noFill/>
                    <a:ln>
                      <a:noFill/>
                    </a:ln>
                  </pic:spPr>
                </pic:pic>
              </a:graphicData>
            </a:graphic>
          </wp:inline>
        </w:drawing>
      </w:r>
    </w:p>
    <w:tbl>
      <w:tblPr>
        <w:tblStyle w:val="4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0"/>
        <w:gridCol w:w="4530"/>
      </w:tblGrid>
      <w:tr w14:paraId="0192A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42CE23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rPr>
            </w:pPr>
            <w:r>
              <w:rPr>
                <w:rFonts w:hint="eastAsia" w:ascii="宋体" w:hAnsi="宋体" w:eastAsia="宋体" w:cs="宋体"/>
                <w:b/>
                <w:color w:val="auto"/>
                <w:sz w:val="24"/>
                <w:szCs w:val="24"/>
                <w:highlight w:val="none"/>
                <w:vertAlign w:val="baseline"/>
                <w:lang w:eastAsia="zh-CN"/>
              </w:rPr>
              <w:drawing>
                <wp:inline distT="0" distB="0" distL="114300" distR="114300">
                  <wp:extent cx="2700020" cy="2025650"/>
                  <wp:effectExtent l="9525" t="9525" r="14605" b="22225"/>
                  <wp:docPr id="9" name="图片 9" descr="E:/WPS/321891108/WPS云盘/LMY/B-工作-3.环境影响评价/2.2污染类/1-32 年产5万吨玉米压片、3万吨饲料、1万吨玉米杂粮建设项目/胡杨河烘干厂现场照片/项目区用地.jpg项目区用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WPS/321891108/WPS云盘/LMY/B-工作-3.环境影响评价/2.2污染类/1-32 年产5万吨玉米压片、3万吨饲料、1万吨玉米杂粮建设项目/胡杨河烘干厂现场照片/项目区用地.jpg项目区用地"/>
                          <pic:cNvPicPr>
                            <a:picLocks noChangeAspect="1"/>
                          </pic:cNvPicPr>
                        </pic:nvPicPr>
                        <pic:blipFill>
                          <a:blip r:embed="rId11"/>
                          <a:srcRect l="18" r="18"/>
                          <a:stretch>
                            <a:fillRect/>
                          </a:stretch>
                        </pic:blipFill>
                        <pic:spPr>
                          <a:xfrm>
                            <a:off x="0" y="0"/>
                            <a:ext cx="2700020" cy="2025650"/>
                          </a:xfrm>
                          <a:prstGeom prst="rect">
                            <a:avLst/>
                          </a:prstGeom>
                          <a:ln>
                            <a:solidFill>
                              <a:schemeClr val="tx1"/>
                            </a:solidFill>
                          </a:ln>
                        </pic:spPr>
                      </pic:pic>
                    </a:graphicData>
                  </a:graphic>
                </wp:inline>
              </w:drawing>
            </w:r>
          </w:p>
        </w:tc>
        <w:tc>
          <w:tcPr>
            <w:tcW w:w="4530" w:type="dxa"/>
            <w:vAlign w:val="center"/>
          </w:tcPr>
          <w:p w14:paraId="5782F5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rPr>
            </w:pPr>
            <w:r>
              <w:rPr>
                <w:rFonts w:hint="eastAsia" w:ascii="宋体" w:hAnsi="宋体" w:eastAsia="宋体" w:cs="宋体"/>
                <w:b/>
                <w:color w:val="auto"/>
                <w:sz w:val="28"/>
                <w:szCs w:val="28"/>
                <w:highlight w:val="none"/>
                <w:vertAlign w:val="baseline"/>
                <w:lang w:eastAsia="zh-CN"/>
              </w:rPr>
              <w:drawing>
                <wp:inline distT="0" distB="0" distL="114300" distR="114300">
                  <wp:extent cx="2700020" cy="2025650"/>
                  <wp:effectExtent l="9525" t="9525" r="14605" b="22225"/>
                  <wp:docPr id="38" name="图片 38" descr="E:/WPS/321891108/WPS云盘/LMY/B-工作-3.环境影响评价/2.2污染类/1-32 年产5万吨玉米压片、3万吨饲料、1万吨玉米杂粮建设项目/胡杨河烘干厂现场照片/南侧临路防护林.jpg南侧临路防护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E:/WPS/321891108/WPS云盘/LMY/B-工作-3.环境影响评价/2.2污染类/1-32 年产5万吨玉米压片、3万吨饲料、1万吨玉米杂粮建设项目/胡杨河烘干厂现场照片/南侧临路防护林.jpg南侧临路防护林"/>
                          <pic:cNvPicPr>
                            <a:picLocks noChangeAspect="1"/>
                          </pic:cNvPicPr>
                        </pic:nvPicPr>
                        <pic:blipFill>
                          <a:blip r:embed="rId12"/>
                          <a:srcRect t="21871" b="21871"/>
                          <a:stretch>
                            <a:fillRect/>
                          </a:stretch>
                        </pic:blipFill>
                        <pic:spPr>
                          <a:xfrm>
                            <a:off x="0" y="0"/>
                            <a:ext cx="2700020" cy="2025650"/>
                          </a:xfrm>
                          <a:prstGeom prst="rect">
                            <a:avLst/>
                          </a:prstGeom>
                          <a:ln>
                            <a:solidFill>
                              <a:schemeClr val="tx1"/>
                            </a:solidFill>
                          </a:ln>
                        </pic:spPr>
                      </pic:pic>
                    </a:graphicData>
                  </a:graphic>
                </wp:inline>
              </w:drawing>
            </w:r>
          </w:p>
        </w:tc>
      </w:tr>
      <w:tr w14:paraId="7AB8E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530" w:type="dxa"/>
            <w:vAlign w:val="center"/>
          </w:tcPr>
          <w:p w14:paraId="0840F5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项目区用地（未建设前2025年8月第一次踏勘）</w:t>
            </w:r>
          </w:p>
        </w:tc>
        <w:tc>
          <w:tcPr>
            <w:tcW w:w="4530" w:type="dxa"/>
            <w:vAlign w:val="center"/>
          </w:tcPr>
          <w:p w14:paraId="3A1853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南侧临路防护林</w:t>
            </w:r>
          </w:p>
        </w:tc>
      </w:tr>
      <w:tr w14:paraId="6FCEA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6072F2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b/>
                <w:color w:val="auto"/>
                <w:sz w:val="24"/>
                <w:szCs w:val="24"/>
                <w:highlight w:val="none"/>
                <w:vertAlign w:val="baseline"/>
                <w:lang w:eastAsia="zh-CN"/>
              </w:rPr>
            </w:pPr>
            <w:r>
              <w:rPr>
                <w:rFonts w:hint="default" w:ascii="宋体" w:hAnsi="宋体" w:eastAsia="宋体" w:cs="宋体"/>
                <w:b/>
                <w:color w:val="auto"/>
                <w:sz w:val="24"/>
                <w:szCs w:val="24"/>
                <w:highlight w:val="none"/>
                <w:vertAlign w:val="baseline"/>
                <w:lang w:eastAsia="zh-CN"/>
              </w:rPr>
              <w:drawing>
                <wp:inline distT="0" distB="0" distL="114300" distR="114300">
                  <wp:extent cx="2700020" cy="2025015"/>
                  <wp:effectExtent l="9525" t="9525" r="14605" b="22860"/>
                  <wp:docPr id="26" name="图片 26" descr="27ac5cc7053338f7702ecd3a5914b3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7ac5cc7053338f7702ecd3a5914b3b0"/>
                          <pic:cNvPicPr>
                            <a:picLocks noChangeAspect="1"/>
                          </pic:cNvPicPr>
                        </pic:nvPicPr>
                        <pic:blipFill>
                          <a:blip r:embed="rId13"/>
                          <a:stretch>
                            <a:fillRect/>
                          </a:stretch>
                        </pic:blipFill>
                        <pic:spPr>
                          <a:xfrm>
                            <a:off x="0" y="0"/>
                            <a:ext cx="2700020" cy="2025015"/>
                          </a:xfrm>
                          <a:prstGeom prst="rect">
                            <a:avLst/>
                          </a:prstGeom>
                          <a:ln>
                            <a:solidFill>
                              <a:schemeClr val="tx1"/>
                            </a:solidFill>
                          </a:ln>
                        </pic:spPr>
                      </pic:pic>
                    </a:graphicData>
                  </a:graphic>
                </wp:inline>
              </w:drawing>
            </w:r>
          </w:p>
        </w:tc>
        <w:tc>
          <w:tcPr>
            <w:tcW w:w="4530" w:type="dxa"/>
            <w:vAlign w:val="center"/>
          </w:tcPr>
          <w:p w14:paraId="5909E2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b/>
                <w:color w:val="auto"/>
                <w:sz w:val="24"/>
                <w:szCs w:val="24"/>
                <w:highlight w:val="none"/>
                <w:vertAlign w:val="baseline"/>
                <w:lang w:eastAsia="zh-CN"/>
              </w:rPr>
            </w:pPr>
            <w:r>
              <w:rPr>
                <w:rFonts w:hint="default" w:ascii="宋体" w:hAnsi="宋体" w:eastAsia="宋体" w:cs="宋体"/>
                <w:b/>
                <w:color w:val="auto"/>
                <w:sz w:val="24"/>
                <w:szCs w:val="24"/>
                <w:highlight w:val="none"/>
                <w:vertAlign w:val="baseline"/>
                <w:lang w:eastAsia="zh-CN"/>
              </w:rPr>
              <w:drawing>
                <wp:inline distT="0" distB="0" distL="114300" distR="114300">
                  <wp:extent cx="2700020" cy="2025015"/>
                  <wp:effectExtent l="9525" t="9525" r="14605" b="22860"/>
                  <wp:docPr id="27" name="图片 27" descr="2c643c861adc7c5b5f7051cd353c9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c643c861adc7c5b5f7051cd353c9eaa"/>
                          <pic:cNvPicPr>
                            <a:picLocks noChangeAspect="1"/>
                          </pic:cNvPicPr>
                        </pic:nvPicPr>
                        <pic:blipFill>
                          <a:blip r:embed="rId14"/>
                          <a:stretch>
                            <a:fillRect/>
                          </a:stretch>
                        </pic:blipFill>
                        <pic:spPr>
                          <a:xfrm>
                            <a:off x="0" y="0"/>
                            <a:ext cx="2700020" cy="2025015"/>
                          </a:xfrm>
                          <a:prstGeom prst="rect">
                            <a:avLst/>
                          </a:prstGeom>
                          <a:ln>
                            <a:solidFill>
                              <a:schemeClr val="tx1"/>
                            </a:solidFill>
                          </a:ln>
                        </pic:spPr>
                      </pic:pic>
                    </a:graphicData>
                  </a:graphic>
                </wp:inline>
              </w:drawing>
            </w:r>
          </w:p>
        </w:tc>
      </w:tr>
      <w:tr w14:paraId="72FA9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713DE2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项目区现状（2026年7月）</w:t>
            </w:r>
          </w:p>
        </w:tc>
        <w:tc>
          <w:tcPr>
            <w:tcW w:w="4530" w:type="dxa"/>
            <w:vAlign w:val="center"/>
          </w:tcPr>
          <w:p w14:paraId="4432E7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项目区已建粮仓（2026年7月）</w:t>
            </w:r>
          </w:p>
        </w:tc>
      </w:tr>
      <w:tr w14:paraId="7D9B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749F2A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szCs w:val="24"/>
                <w:vertAlign w:val="baseline"/>
                <w:lang w:eastAsia="zh-CN"/>
              </w:rPr>
            </w:pPr>
            <w:r>
              <w:rPr>
                <w:rFonts w:hint="eastAsia" w:ascii="Times New Roman" w:hAnsi="Times New Roman" w:eastAsia="宋体" w:cs="Times New Roman"/>
                <w:color w:val="auto"/>
                <w:sz w:val="24"/>
                <w:szCs w:val="24"/>
                <w:vertAlign w:val="baseline"/>
                <w:lang w:eastAsia="zh-CN"/>
              </w:rPr>
              <w:drawing>
                <wp:inline distT="0" distB="0" distL="114300" distR="114300">
                  <wp:extent cx="2700020" cy="2025015"/>
                  <wp:effectExtent l="9525" t="9525" r="14605" b="22860"/>
                  <wp:docPr id="28" name="图片 28" descr="fca82385747534b048227794e1b8fe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ca82385747534b048227794e1b8feb2"/>
                          <pic:cNvPicPr>
                            <a:picLocks noChangeAspect="1"/>
                          </pic:cNvPicPr>
                        </pic:nvPicPr>
                        <pic:blipFill>
                          <a:blip r:embed="rId15"/>
                          <a:stretch>
                            <a:fillRect/>
                          </a:stretch>
                        </pic:blipFill>
                        <pic:spPr>
                          <a:xfrm>
                            <a:off x="0" y="0"/>
                            <a:ext cx="2700020" cy="2025015"/>
                          </a:xfrm>
                          <a:prstGeom prst="rect">
                            <a:avLst/>
                          </a:prstGeom>
                          <a:ln>
                            <a:solidFill>
                              <a:schemeClr val="tx1"/>
                            </a:solidFill>
                          </a:ln>
                        </pic:spPr>
                      </pic:pic>
                    </a:graphicData>
                  </a:graphic>
                </wp:inline>
              </w:drawing>
            </w:r>
          </w:p>
        </w:tc>
        <w:tc>
          <w:tcPr>
            <w:tcW w:w="4530" w:type="dxa"/>
            <w:vAlign w:val="center"/>
          </w:tcPr>
          <w:p w14:paraId="375E52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szCs w:val="24"/>
                <w:vertAlign w:val="baseline"/>
                <w:lang w:eastAsia="zh-CN"/>
              </w:rPr>
            </w:pPr>
            <w:r>
              <w:rPr>
                <w:rFonts w:hint="eastAsia" w:ascii="Times New Roman" w:hAnsi="Times New Roman" w:eastAsia="宋体" w:cs="Times New Roman"/>
                <w:color w:val="auto"/>
                <w:sz w:val="24"/>
                <w:szCs w:val="24"/>
                <w:vertAlign w:val="baseline"/>
                <w:lang w:eastAsia="zh-CN"/>
              </w:rPr>
              <w:drawing>
                <wp:inline distT="0" distB="0" distL="114300" distR="114300">
                  <wp:extent cx="2700020" cy="2025015"/>
                  <wp:effectExtent l="9525" t="9525" r="14605" b="22860"/>
                  <wp:docPr id="29" name="图片 29" descr="8130ce6477d4477bc3d76182a47761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8130ce6477d4477bc3d76182a477613d"/>
                          <pic:cNvPicPr>
                            <a:picLocks noChangeAspect="1"/>
                          </pic:cNvPicPr>
                        </pic:nvPicPr>
                        <pic:blipFill>
                          <a:blip r:embed="rId16"/>
                          <a:stretch>
                            <a:fillRect/>
                          </a:stretch>
                        </pic:blipFill>
                        <pic:spPr>
                          <a:xfrm>
                            <a:off x="0" y="0"/>
                            <a:ext cx="2700020" cy="2025015"/>
                          </a:xfrm>
                          <a:prstGeom prst="rect">
                            <a:avLst/>
                          </a:prstGeom>
                          <a:ln>
                            <a:solidFill>
                              <a:schemeClr val="tx1"/>
                            </a:solidFill>
                          </a:ln>
                        </pic:spPr>
                      </pic:pic>
                    </a:graphicData>
                  </a:graphic>
                </wp:inline>
              </w:drawing>
            </w:r>
          </w:p>
        </w:tc>
      </w:tr>
      <w:tr w14:paraId="4A2C6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center"/>
          </w:tcPr>
          <w:p w14:paraId="375B0F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项目区已建厂区框架（2026年7月）</w:t>
            </w:r>
          </w:p>
        </w:tc>
        <w:tc>
          <w:tcPr>
            <w:tcW w:w="4530" w:type="dxa"/>
            <w:vAlign w:val="center"/>
          </w:tcPr>
          <w:p w14:paraId="33C716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项目区围栏及已接电力（2026年7月）</w:t>
            </w:r>
          </w:p>
        </w:tc>
      </w:tr>
      <w:tr w14:paraId="5B959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0" w:type="dxa"/>
            <w:gridSpan w:val="2"/>
            <w:vAlign w:val="center"/>
          </w:tcPr>
          <w:p w14:paraId="702862E7">
            <w:pPr>
              <w:pStyle w:val="30"/>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sz w:val="24"/>
                <w:szCs w:val="24"/>
                <w:vertAlign w:val="baseline"/>
                <w:lang w:eastAsia="zh-CN"/>
              </w:rPr>
            </w:pPr>
            <w:r>
              <w:rPr>
                <w:rFonts w:hint="eastAsia" w:ascii="宋体" w:hAnsi="宋体" w:eastAsia="宋体" w:cs="宋体"/>
                <w:b/>
                <w:color w:val="auto"/>
                <w:sz w:val="28"/>
                <w:szCs w:val="28"/>
                <w:highlight w:val="none"/>
              </w:rPr>
              <w:t>现场踏勘照片</w:t>
            </w:r>
            <w:r>
              <w:rPr>
                <w:rFonts w:hint="eastAsia" w:ascii="宋体" w:hAnsi="宋体" w:eastAsia="宋体" w:cs="宋体"/>
                <w:b/>
                <w:color w:val="auto"/>
                <w:sz w:val="28"/>
                <w:szCs w:val="28"/>
                <w:highlight w:val="none"/>
                <w:lang w:eastAsia="zh-CN"/>
              </w:rPr>
              <w:t>（</w:t>
            </w:r>
            <w:r>
              <w:rPr>
                <w:rFonts w:hint="default" w:ascii="Times New Roman" w:hAnsi="Times New Roman" w:eastAsia="宋体" w:cs="Times New Roman"/>
                <w:b/>
                <w:color w:val="auto"/>
                <w:sz w:val="28"/>
                <w:szCs w:val="28"/>
                <w:highlight w:val="none"/>
                <w:lang w:val="en-US" w:eastAsia="zh-CN"/>
              </w:rPr>
              <w:t>1</w:t>
            </w:r>
            <w:r>
              <w:rPr>
                <w:rFonts w:hint="eastAsia" w:ascii="宋体" w:hAnsi="宋体" w:eastAsia="宋体" w:cs="宋体"/>
                <w:b/>
                <w:color w:val="auto"/>
                <w:sz w:val="28"/>
                <w:szCs w:val="28"/>
                <w:highlight w:val="none"/>
                <w:lang w:eastAsia="zh-CN"/>
              </w:rPr>
              <w:t>）</w:t>
            </w:r>
          </w:p>
        </w:tc>
      </w:tr>
    </w:tbl>
    <w:p w14:paraId="49C29B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color w:val="auto"/>
          <w:sz w:val="24"/>
          <w:szCs w:val="24"/>
          <w:highlight w:val="none"/>
          <w:vertAlign w:val="baseline"/>
          <w:lang w:val="en-US" w:eastAsia="zh-CN"/>
        </w:rPr>
      </w:pPr>
      <w:r>
        <w:rPr>
          <w:rFonts w:hint="eastAsia" w:ascii="宋体" w:hAnsi="宋体" w:eastAsia="宋体" w:cs="宋体"/>
          <w:b/>
          <w:color w:val="auto"/>
          <w:sz w:val="24"/>
          <w:szCs w:val="24"/>
          <w:highlight w:val="none"/>
          <w:vertAlign w:val="baseline"/>
          <w:lang w:val="en-US" w:eastAsia="zh-CN"/>
        </w:rPr>
        <w:br w:type="page"/>
      </w:r>
    </w:p>
    <w:tbl>
      <w:tblPr>
        <w:tblStyle w:val="4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0"/>
        <w:gridCol w:w="4530"/>
      </w:tblGrid>
      <w:tr w14:paraId="40B9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2E7498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b/>
                <w:color w:val="auto"/>
                <w:sz w:val="24"/>
                <w:szCs w:val="24"/>
                <w:highlight w:val="none"/>
                <w:vertAlign w:val="baseline"/>
                <w:lang w:eastAsia="zh-CN"/>
              </w:rPr>
            </w:pPr>
            <w:r>
              <w:rPr>
                <w:rFonts w:hint="eastAsia" w:ascii="宋体" w:hAnsi="宋体" w:eastAsia="宋体" w:cs="宋体"/>
                <w:b/>
                <w:color w:val="auto"/>
                <w:sz w:val="24"/>
                <w:szCs w:val="24"/>
                <w:highlight w:val="none"/>
                <w:vertAlign w:val="baseline"/>
                <w:lang w:val="en-US" w:eastAsia="zh-CN"/>
              </w:rPr>
              <w:drawing>
                <wp:inline distT="0" distB="0" distL="114300" distR="114300">
                  <wp:extent cx="2700020" cy="2024380"/>
                  <wp:effectExtent l="9525" t="9525" r="14605" b="23495"/>
                  <wp:docPr id="20" name="图片 20" descr="E:/WPS/321891108/WPS云盘/LMY/B-工作-3.环境影响评价/2.2污染类/1-32 年产5万吨玉米压片、3万吨饲料、1万吨玉米杂粮建设项目/胡杨河烘干厂现场照片/东侧棉花地.jpg东侧棉花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WPS/321891108/WPS云盘/LMY/B-工作-3.环境影响评价/2.2污染类/1-32 年产5万吨玉米压片、3万吨饲料、1万吨玉米杂粮建设项目/胡杨河烘干厂现场照片/东侧棉花地.jpg东侧棉花地"/>
                          <pic:cNvPicPr>
                            <a:picLocks noChangeAspect="1"/>
                          </pic:cNvPicPr>
                        </pic:nvPicPr>
                        <pic:blipFill>
                          <a:blip r:embed="rId17"/>
                          <a:srcRect t="13" b="13"/>
                          <a:stretch>
                            <a:fillRect/>
                          </a:stretch>
                        </pic:blipFill>
                        <pic:spPr>
                          <a:xfrm>
                            <a:off x="0" y="0"/>
                            <a:ext cx="2700020" cy="2024380"/>
                          </a:xfrm>
                          <a:prstGeom prst="rect">
                            <a:avLst/>
                          </a:prstGeom>
                          <a:ln>
                            <a:solidFill>
                              <a:schemeClr val="tx1"/>
                            </a:solidFill>
                          </a:ln>
                        </pic:spPr>
                      </pic:pic>
                    </a:graphicData>
                  </a:graphic>
                </wp:inline>
              </w:drawing>
            </w:r>
          </w:p>
        </w:tc>
        <w:tc>
          <w:tcPr>
            <w:tcW w:w="4530" w:type="dxa"/>
          </w:tcPr>
          <w:p w14:paraId="42CB31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b/>
                <w:color w:val="auto"/>
                <w:sz w:val="24"/>
                <w:szCs w:val="24"/>
                <w:highlight w:val="none"/>
                <w:vertAlign w:val="baseline"/>
                <w:lang w:eastAsia="zh-CN"/>
              </w:rPr>
            </w:pPr>
            <w:r>
              <w:rPr>
                <w:rFonts w:hint="eastAsia" w:ascii="宋体" w:hAnsi="宋体" w:eastAsia="宋体" w:cs="宋体"/>
                <w:b/>
                <w:color w:val="auto"/>
                <w:sz w:val="24"/>
                <w:szCs w:val="24"/>
                <w:highlight w:val="none"/>
                <w:vertAlign w:val="baseline"/>
                <w:lang w:val="en-US" w:eastAsia="zh-CN"/>
              </w:rPr>
              <w:drawing>
                <wp:inline distT="0" distB="0" distL="114300" distR="114300">
                  <wp:extent cx="2700020" cy="2038350"/>
                  <wp:effectExtent l="9525" t="9525" r="14605" b="9525"/>
                  <wp:docPr id="21" name="图片 21" descr="E:/WPS/321891108/WPS云盘/LMY/B-工作-3.环境影响评价/2.2污染类/1-32 年产5万吨玉米压片、3万吨饲料、1万吨玉米杂粮建设项目/胡杨河烘干厂现场照片/东侧农田一侧便道.jpg东侧农田一侧便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WPS/321891108/WPS云盘/LMY/B-工作-3.环境影响评价/2.2污染类/1-32 年产5万吨玉米压片、3万吨饲料、1万吨玉米杂粮建设项目/胡杨河烘干厂现场照片/东侧农田一侧便道.jpg东侧农田一侧便道"/>
                          <pic:cNvPicPr>
                            <a:picLocks noChangeAspect="1"/>
                          </pic:cNvPicPr>
                        </pic:nvPicPr>
                        <pic:blipFill>
                          <a:blip r:embed="rId18"/>
                          <a:srcRect t="21691" b="21691"/>
                          <a:stretch>
                            <a:fillRect/>
                          </a:stretch>
                        </pic:blipFill>
                        <pic:spPr>
                          <a:xfrm>
                            <a:off x="0" y="0"/>
                            <a:ext cx="2700020" cy="2038350"/>
                          </a:xfrm>
                          <a:prstGeom prst="rect">
                            <a:avLst/>
                          </a:prstGeom>
                          <a:ln>
                            <a:solidFill>
                              <a:schemeClr val="tx1"/>
                            </a:solidFill>
                          </a:ln>
                        </pic:spPr>
                      </pic:pic>
                    </a:graphicData>
                  </a:graphic>
                </wp:inline>
              </w:drawing>
            </w:r>
          </w:p>
        </w:tc>
      </w:tr>
      <w:tr w14:paraId="466B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3DEBDB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东侧棉花地</w:t>
            </w:r>
          </w:p>
        </w:tc>
        <w:tc>
          <w:tcPr>
            <w:tcW w:w="4530" w:type="dxa"/>
          </w:tcPr>
          <w:p w14:paraId="086468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东侧农田边便道</w:t>
            </w:r>
          </w:p>
        </w:tc>
      </w:tr>
      <w:tr w14:paraId="3E25E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74A340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rPr>
            </w:pPr>
            <w:r>
              <w:rPr>
                <w:rFonts w:hint="eastAsia" w:ascii="宋体" w:hAnsi="宋体" w:eastAsia="宋体" w:cs="宋体"/>
                <w:b/>
                <w:color w:val="auto"/>
                <w:sz w:val="28"/>
                <w:szCs w:val="28"/>
                <w:highlight w:val="none"/>
                <w:vertAlign w:val="baseline"/>
                <w:lang w:val="en-US" w:eastAsia="zh-CN"/>
              </w:rPr>
              <w:drawing>
                <wp:inline distT="0" distB="0" distL="114300" distR="114300">
                  <wp:extent cx="2700020" cy="2025015"/>
                  <wp:effectExtent l="9525" t="9525" r="14605" b="22860"/>
                  <wp:docPr id="22" name="图片 22" descr="E:/WPS/321891108/WPS云盘/LMY/B-工作-3.环境影响评价/2.2污染类/1-32 年产5万吨玉米压片、3万吨饲料、1万吨玉米杂粮建设项目/胡杨河烘干厂现场照片/南侧隔路棉花地.jpg南侧隔路棉花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WPS/321891108/WPS云盘/LMY/B-工作-3.环境影响评价/2.2污染类/1-32 年产5万吨玉米压片、3万吨饲料、1万吨玉米杂粮建设项目/胡杨河烘干厂现场照片/南侧隔路棉花地.jpg南侧隔路棉花地"/>
                          <pic:cNvPicPr>
                            <a:picLocks noChangeAspect="1"/>
                          </pic:cNvPicPr>
                        </pic:nvPicPr>
                        <pic:blipFill>
                          <a:blip r:embed="rId19"/>
                          <a:srcRect/>
                          <a:stretch>
                            <a:fillRect/>
                          </a:stretch>
                        </pic:blipFill>
                        <pic:spPr>
                          <a:xfrm>
                            <a:off x="0" y="0"/>
                            <a:ext cx="2700020" cy="2025015"/>
                          </a:xfrm>
                          <a:prstGeom prst="rect">
                            <a:avLst/>
                          </a:prstGeom>
                          <a:ln>
                            <a:solidFill>
                              <a:schemeClr val="tx1"/>
                            </a:solidFill>
                          </a:ln>
                        </pic:spPr>
                      </pic:pic>
                    </a:graphicData>
                  </a:graphic>
                </wp:inline>
              </w:drawing>
            </w:r>
          </w:p>
        </w:tc>
        <w:tc>
          <w:tcPr>
            <w:tcW w:w="4530" w:type="dxa"/>
          </w:tcPr>
          <w:p w14:paraId="014DF1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rPr>
            </w:pPr>
            <w:r>
              <w:rPr>
                <w:rFonts w:hint="eastAsia" w:ascii="宋体" w:hAnsi="宋体" w:eastAsia="宋体" w:cs="宋体"/>
                <w:b/>
                <w:color w:val="auto"/>
                <w:sz w:val="28"/>
                <w:szCs w:val="28"/>
                <w:highlight w:val="none"/>
                <w:vertAlign w:val="baseline"/>
                <w:lang w:val="en-US" w:eastAsia="zh-CN"/>
              </w:rPr>
              <w:drawing>
                <wp:inline distT="0" distB="0" distL="114300" distR="114300">
                  <wp:extent cx="2700020" cy="2024380"/>
                  <wp:effectExtent l="9525" t="9525" r="14605" b="23495"/>
                  <wp:docPr id="23" name="图片 23" descr="E:/WPS/321891108/WPS云盘/LMY/B-工作-3.环境影响评价/2.2污染类/1-32 年产5万吨玉米压片、3万吨饲料、1万吨玉米杂粮建设项目/胡杨河烘干厂现场照片/南侧公路.jpg南侧公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WPS/321891108/WPS云盘/LMY/B-工作-3.环境影响评价/2.2污染类/1-32 年产5万吨玉米压片、3万吨饲料、1万吨玉米杂粮建设项目/胡杨河烘干厂现场照片/南侧公路.jpg南侧公路"/>
                          <pic:cNvPicPr>
                            <a:picLocks noChangeAspect="1"/>
                          </pic:cNvPicPr>
                        </pic:nvPicPr>
                        <pic:blipFill>
                          <a:blip r:embed="rId20"/>
                          <a:srcRect t="21886" b="21886"/>
                          <a:stretch>
                            <a:fillRect/>
                          </a:stretch>
                        </pic:blipFill>
                        <pic:spPr>
                          <a:xfrm>
                            <a:off x="0" y="0"/>
                            <a:ext cx="2700020" cy="2024380"/>
                          </a:xfrm>
                          <a:prstGeom prst="rect">
                            <a:avLst/>
                          </a:prstGeom>
                          <a:ln>
                            <a:solidFill>
                              <a:schemeClr val="tx1"/>
                            </a:solidFill>
                          </a:ln>
                        </pic:spPr>
                      </pic:pic>
                    </a:graphicData>
                  </a:graphic>
                </wp:inline>
              </w:drawing>
            </w:r>
          </w:p>
        </w:tc>
      </w:tr>
      <w:tr w14:paraId="1CB38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6E0966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rPr>
            </w:pPr>
            <w:r>
              <w:rPr>
                <w:rFonts w:hint="eastAsia" w:cs="Times New Roman"/>
                <w:color w:val="auto"/>
                <w:sz w:val="24"/>
                <w:szCs w:val="24"/>
                <w:vertAlign w:val="baseline"/>
                <w:lang w:val="en-US" w:eastAsia="zh-CN"/>
              </w:rPr>
              <w:t>南侧隔路棉花地</w:t>
            </w:r>
          </w:p>
        </w:tc>
        <w:tc>
          <w:tcPr>
            <w:tcW w:w="4530" w:type="dxa"/>
          </w:tcPr>
          <w:p w14:paraId="792482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南侧公路</w:t>
            </w:r>
          </w:p>
        </w:tc>
      </w:tr>
      <w:tr w14:paraId="109B6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39E38E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rPr>
            </w:pPr>
            <w:r>
              <w:rPr>
                <w:rFonts w:hint="eastAsia" w:ascii="宋体" w:hAnsi="宋体" w:eastAsia="宋体" w:cs="宋体"/>
                <w:b/>
                <w:color w:val="auto"/>
                <w:sz w:val="28"/>
                <w:szCs w:val="28"/>
                <w:highlight w:val="none"/>
                <w:vertAlign w:val="baseline"/>
                <w:lang w:val="en-US" w:eastAsia="zh-CN"/>
              </w:rPr>
              <w:drawing>
                <wp:inline distT="0" distB="0" distL="114300" distR="114300">
                  <wp:extent cx="2700020" cy="2024380"/>
                  <wp:effectExtent l="9525" t="9525" r="14605" b="23495"/>
                  <wp:docPr id="24" name="图片 24" descr="E:/WPS/321891108/WPS云盘/LMY/B-工作-3.环境影响评价/2.2污染类/1-32 年产5万吨玉米压片、3万吨饲料、1万吨玉米杂粮建设项目/胡杨河烘干厂现场照片/西侧在建辣椒厂.jpg西侧在建辣椒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WPS/321891108/WPS云盘/LMY/B-工作-3.环境影响评价/2.2污染类/1-32 年产5万吨玉米压片、3万吨饲料、1万吨玉米杂粮建设项目/胡杨河烘干厂现场照片/西侧在建辣椒厂.jpg西侧在建辣椒厂"/>
                          <pic:cNvPicPr>
                            <a:picLocks noChangeAspect="1"/>
                          </pic:cNvPicPr>
                        </pic:nvPicPr>
                        <pic:blipFill>
                          <a:blip r:embed="rId21"/>
                          <a:srcRect t="21886" b="21886"/>
                          <a:stretch>
                            <a:fillRect/>
                          </a:stretch>
                        </pic:blipFill>
                        <pic:spPr>
                          <a:xfrm>
                            <a:off x="0" y="0"/>
                            <a:ext cx="2700020" cy="2024380"/>
                          </a:xfrm>
                          <a:prstGeom prst="rect">
                            <a:avLst/>
                          </a:prstGeom>
                          <a:ln>
                            <a:solidFill>
                              <a:schemeClr val="tx1"/>
                            </a:solidFill>
                          </a:ln>
                        </pic:spPr>
                      </pic:pic>
                    </a:graphicData>
                  </a:graphic>
                </wp:inline>
              </w:drawing>
            </w:r>
          </w:p>
        </w:tc>
        <w:tc>
          <w:tcPr>
            <w:tcW w:w="4530" w:type="dxa"/>
          </w:tcPr>
          <w:p w14:paraId="7834DA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rPr>
            </w:pPr>
            <w:r>
              <w:rPr>
                <w:rFonts w:hint="eastAsia" w:ascii="宋体" w:hAnsi="宋体" w:eastAsia="宋体" w:cs="宋体"/>
                <w:b/>
                <w:color w:val="auto"/>
                <w:sz w:val="28"/>
                <w:szCs w:val="28"/>
                <w:highlight w:val="none"/>
                <w:vertAlign w:val="baseline"/>
                <w:lang w:val="en-US" w:eastAsia="zh-CN"/>
              </w:rPr>
              <w:drawing>
                <wp:inline distT="0" distB="0" distL="114300" distR="114300">
                  <wp:extent cx="2700020" cy="2025650"/>
                  <wp:effectExtent l="9525" t="9525" r="14605" b="22225"/>
                  <wp:docPr id="25" name="图片 25" descr="E:/WPS/321891108/WPS云盘/LMY/B-工作-3.环境影响评价/2.2污染类/1-32 年产5万吨玉米压片、3万吨饲料、1万吨玉米杂粮建设项目/胡杨河烘干厂现场照片/北侧棉花地.jpg北侧棉花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WPS/321891108/WPS云盘/LMY/B-工作-3.环境影响评价/2.2污染类/1-32 年产5万吨玉米压片、3万吨饲料、1万吨玉米杂粮建设项目/胡杨河烘干厂现场照片/北侧棉花地.jpg北侧棉花地"/>
                          <pic:cNvPicPr>
                            <a:picLocks noChangeAspect="1"/>
                          </pic:cNvPicPr>
                        </pic:nvPicPr>
                        <pic:blipFill>
                          <a:blip r:embed="rId22"/>
                          <a:srcRect l="18" r="18"/>
                          <a:stretch>
                            <a:fillRect/>
                          </a:stretch>
                        </pic:blipFill>
                        <pic:spPr>
                          <a:xfrm>
                            <a:off x="0" y="0"/>
                            <a:ext cx="2700020" cy="2025650"/>
                          </a:xfrm>
                          <a:prstGeom prst="rect">
                            <a:avLst/>
                          </a:prstGeom>
                          <a:ln>
                            <a:solidFill>
                              <a:schemeClr val="tx1"/>
                            </a:solidFill>
                          </a:ln>
                        </pic:spPr>
                      </pic:pic>
                    </a:graphicData>
                  </a:graphic>
                </wp:inline>
              </w:drawing>
            </w:r>
          </w:p>
        </w:tc>
      </w:tr>
      <w:tr w14:paraId="4B96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14:paraId="0267D8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西侧在建辣椒厂</w:t>
            </w:r>
          </w:p>
        </w:tc>
        <w:tc>
          <w:tcPr>
            <w:tcW w:w="4530" w:type="dxa"/>
          </w:tcPr>
          <w:p w14:paraId="4B085E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vertAlign w:val="baseline"/>
                <w:lang w:val="en-US" w:eastAsia="zh-CN"/>
              </w:rPr>
            </w:pPr>
            <w:r>
              <w:rPr>
                <w:rFonts w:hint="eastAsia" w:cs="Times New Roman"/>
                <w:color w:val="auto"/>
                <w:sz w:val="24"/>
                <w:szCs w:val="24"/>
                <w:vertAlign w:val="baseline"/>
                <w:lang w:val="en-US" w:eastAsia="zh-CN"/>
              </w:rPr>
              <w:t>北侧棉花地</w:t>
            </w:r>
          </w:p>
        </w:tc>
      </w:tr>
      <w:tr w14:paraId="1FB77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0" w:type="dxa"/>
            <w:gridSpan w:val="2"/>
          </w:tcPr>
          <w:p w14:paraId="34B1B99D">
            <w:pPr>
              <w:pStyle w:val="30"/>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sz w:val="24"/>
                <w:szCs w:val="24"/>
                <w:vertAlign w:val="baseline"/>
                <w:lang w:eastAsia="zh-CN"/>
              </w:rPr>
            </w:pPr>
            <w:r>
              <w:rPr>
                <w:rFonts w:hint="eastAsia" w:ascii="宋体" w:hAnsi="宋体" w:eastAsia="宋体" w:cs="宋体"/>
                <w:b/>
                <w:color w:val="auto"/>
                <w:sz w:val="28"/>
                <w:szCs w:val="28"/>
                <w:highlight w:val="none"/>
              </w:rPr>
              <w:t>现场踏勘照片</w:t>
            </w:r>
            <w:r>
              <w:rPr>
                <w:rFonts w:hint="eastAsia" w:ascii="宋体" w:hAnsi="宋体" w:eastAsia="宋体" w:cs="宋体"/>
                <w:b/>
                <w:color w:val="auto"/>
                <w:sz w:val="28"/>
                <w:szCs w:val="28"/>
                <w:highlight w:val="none"/>
                <w:lang w:eastAsia="zh-CN"/>
              </w:rPr>
              <w:t>（</w:t>
            </w:r>
            <w:r>
              <w:rPr>
                <w:rFonts w:hint="default" w:ascii="Times New Roman" w:hAnsi="Times New Roman" w:eastAsia="宋体" w:cs="Times New Roman"/>
                <w:b/>
                <w:color w:val="auto"/>
                <w:sz w:val="28"/>
                <w:szCs w:val="28"/>
                <w:highlight w:val="none"/>
                <w:lang w:val="en-US" w:eastAsia="zh-CN"/>
              </w:rPr>
              <w:t>2</w:t>
            </w:r>
            <w:r>
              <w:rPr>
                <w:rFonts w:hint="eastAsia" w:ascii="宋体" w:hAnsi="宋体" w:eastAsia="宋体" w:cs="宋体"/>
                <w:b/>
                <w:color w:val="auto"/>
                <w:sz w:val="28"/>
                <w:szCs w:val="28"/>
                <w:highlight w:val="none"/>
                <w:lang w:eastAsia="zh-CN"/>
              </w:rPr>
              <w:t>）</w:t>
            </w:r>
          </w:p>
        </w:tc>
      </w:tr>
    </w:tbl>
    <w:p w14:paraId="78A0CD4F">
      <w:pPr>
        <w:adjustRightInd w:val="0"/>
        <w:snapToGrid w:val="0"/>
        <w:spacing w:line="288" w:lineRule="auto"/>
        <w:jc w:val="center"/>
        <w:rPr>
          <w:rFonts w:hint="default" w:ascii="Times New Roman" w:hAnsi="Times New Roman" w:eastAsia="宋体" w:cs="Times New Roman"/>
          <w:color w:val="auto"/>
          <w:sz w:val="36"/>
          <w:szCs w:val="36"/>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5A15386B">
      <w:pPr>
        <w:pStyle w:val="34"/>
        <w:jc w:val="center"/>
        <w:outlineLvl w:val="0"/>
        <w:rPr>
          <w:rFonts w:hint="eastAsia" w:ascii="Times New Roman" w:hAnsi="Times New Roman" w:cs="Times New Roman"/>
          <w:b/>
          <w:bCs/>
          <w:snapToGrid w:val="0"/>
          <w:color w:val="auto"/>
          <w:sz w:val="30"/>
          <w:szCs w:val="30"/>
          <w:lang w:val="en-US" w:eastAsia="zh-CN"/>
        </w:rPr>
      </w:pPr>
      <w:r>
        <w:rPr>
          <w:rFonts w:hint="eastAsia" w:ascii="Times New Roman" w:hAnsi="Times New Roman" w:cs="Times New Roman"/>
          <w:b/>
          <w:bCs/>
          <w:snapToGrid w:val="0"/>
          <w:color w:val="auto"/>
          <w:sz w:val="30"/>
          <w:szCs w:val="30"/>
          <w:lang w:val="en-US" w:eastAsia="zh-CN"/>
        </w:rPr>
        <w:t>目  录</w:t>
      </w:r>
    </w:p>
    <w:p w14:paraId="3E72D1CE">
      <w:pPr>
        <w:pStyle w:val="23"/>
        <w:keepNext w:val="0"/>
        <w:keepLines w:val="0"/>
        <w:pageBreakBefore w:val="0"/>
        <w:widowControl w:val="0"/>
        <w:tabs>
          <w:tab w:val="right" w:leader="dot" w:pos="8844"/>
        </w:tabs>
        <w:kinsoku/>
        <w:wordWrap/>
        <w:overflowPunct/>
        <w:topLinePunct w:val="0"/>
        <w:autoSpaceDE/>
        <w:autoSpaceDN/>
        <w:bidi w:val="0"/>
        <w:adjustRightInd/>
        <w:spacing w:line="360" w:lineRule="auto"/>
        <w:textAlignment w:val="auto"/>
        <w:rPr>
          <w:rFonts w:ascii="Times New Roman" w:hAnsi="Times New Roman"/>
          <w:color w:val="auto"/>
          <w:sz w:val="28"/>
          <w:szCs w:val="28"/>
        </w:rPr>
      </w:pPr>
      <w:r>
        <w:rPr>
          <w:rFonts w:hint="eastAsia" w:ascii="Times New Roman" w:hAnsi="Times New Roman" w:eastAsia="宋体" w:cs="Times New Roman"/>
          <w:b w:val="0"/>
          <w:bCs w:val="0"/>
          <w:snapToGrid w:val="0"/>
          <w:color w:val="auto"/>
          <w:sz w:val="28"/>
          <w:szCs w:val="28"/>
          <w:lang w:val="en-US" w:eastAsia="zh-CN"/>
        </w:rPr>
        <w:fldChar w:fldCharType="begin"/>
      </w:r>
      <w:r>
        <w:rPr>
          <w:rFonts w:hint="eastAsia" w:ascii="Times New Roman" w:hAnsi="Times New Roman" w:eastAsia="宋体" w:cs="Times New Roman"/>
          <w:b w:val="0"/>
          <w:bCs w:val="0"/>
          <w:snapToGrid w:val="0"/>
          <w:color w:val="auto"/>
          <w:sz w:val="28"/>
          <w:szCs w:val="28"/>
          <w:lang w:val="en-US" w:eastAsia="zh-CN"/>
        </w:rPr>
        <w:instrText xml:space="preserve">TOC \t "环评目录,1" \h</w:instrText>
      </w:r>
      <w:r>
        <w:rPr>
          <w:rFonts w:hint="eastAsia" w:ascii="Times New Roman" w:hAnsi="Times New Roman" w:eastAsia="宋体" w:cs="Times New Roman"/>
          <w:b w:val="0"/>
          <w:bCs w:val="0"/>
          <w:snapToGrid w:val="0"/>
          <w:color w:val="auto"/>
          <w:sz w:val="28"/>
          <w:szCs w:val="28"/>
          <w:lang w:val="en-US" w:eastAsia="zh-CN"/>
        </w:rPr>
        <w:fldChar w:fldCharType="separate"/>
      </w:r>
      <w:r>
        <w:rPr>
          <w:rFonts w:hint="eastAsia" w:ascii="Times New Roman" w:hAnsi="Times New Roman" w:eastAsia="宋体" w:cs="Times New Roman"/>
          <w:bCs w:val="0"/>
          <w:snapToGrid w:val="0"/>
          <w:color w:val="auto"/>
          <w:sz w:val="28"/>
          <w:szCs w:val="28"/>
          <w:lang w:val="en-US" w:eastAsia="zh-CN"/>
        </w:rPr>
        <w:fldChar w:fldCharType="begin"/>
      </w:r>
      <w:r>
        <w:rPr>
          <w:rFonts w:hint="eastAsia" w:ascii="Times New Roman" w:hAnsi="Times New Roman" w:eastAsia="宋体" w:cs="Times New Roman"/>
          <w:bCs w:val="0"/>
          <w:snapToGrid w:val="0"/>
          <w:color w:val="auto"/>
          <w:sz w:val="28"/>
          <w:szCs w:val="28"/>
          <w:lang w:val="en-US" w:eastAsia="zh-CN"/>
        </w:rPr>
        <w:instrText xml:space="preserve"> HYPERLINK \l _Toc28310 </w:instrText>
      </w:r>
      <w:r>
        <w:rPr>
          <w:rFonts w:hint="eastAsia" w:ascii="Times New Roman" w:hAnsi="Times New Roman" w:eastAsia="宋体" w:cs="Times New Roman"/>
          <w:bCs w:val="0"/>
          <w:snapToGrid w:val="0"/>
          <w:color w:val="auto"/>
          <w:sz w:val="28"/>
          <w:szCs w:val="28"/>
          <w:lang w:val="en-US" w:eastAsia="zh-CN"/>
        </w:rPr>
        <w:fldChar w:fldCharType="separate"/>
      </w:r>
      <w:r>
        <w:rPr>
          <w:rFonts w:hint="default" w:ascii="Times New Roman" w:hAnsi="Times New Roman" w:eastAsia="宋体" w:cs="Times New Roman"/>
          <w:color w:val="auto"/>
          <w:sz w:val="28"/>
          <w:szCs w:val="28"/>
        </w:rPr>
        <w:t>一、建设项目基本情况</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_Toc28310 \h </w:instrText>
      </w:r>
      <w:r>
        <w:rPr>
          <w:rFonts w:ascii="Times New Roman" w:hAnsi="Times New Roman"/>
          <w:color w:val="auto"/>
          <w:sz w:val="28"/>
          <w:szCs w:val="28"/>
        </w:rPr>
        <w:fldChar w:fldCharType="separate"/>
      </w:r>
      <w:r>
        <w:rPr>
          <w:rFonts w:ascii="Times New Roman" w:hAnsi="Times New Roman"/>
          <w:color w:val="auto"/>
          <w:sz w:val="28"/>
          <w:szCs w:val="28"/>
        </w:rPr>
        <w:t>1</w:t>
      </w:r>
      <w:r>
        <w:rPr>
          <w:rFonts w:ascii="Times New Roman" w:hAnsi="Times New Roman"/>
          <w:color w:val="auto"/>
          <w:sz w:val="28"/>
          <w:szCs w:val="28"/>
        </w:rPr>
        <w:fldChar w:fldCharType="end"/>
      </w:r>
      <w:r>
        <w:rPr>
          <w:rFonts w:hint="eastAsia" w:ascii="Times New Roman" w:hAnsi="Times New Roman" w:eastAsia="宋体" w:cs="Times New Roman"/>
          <w:bCs w:val="0"/>
          <w:snapToGrid w:val="0"/>
          <w:color w:val="auto"/>
          <w:sz w:val="28"/>
          <w:szCs w:val="28"/>
          <w:lang w:val="en-US" w:eastAsia="zh-CN"/>
        </w:rPr>
        <w:fldChar w:fldCharType="end"/>
      </w:r>
    </w:p>
    <w:p w14:paraId="65D9866C">
      <w:pPr>
        <w:pStyle w:val="23"/>
        <w:keepNext w:val="0"/>
        <w:keepLines w:val="0"/>
        <w:pageBreakBefore w:val="0"/>
        <w:widowControl w:val="0"/>
        <w:tabs>
          <w:tab w:val="right" w:leader="dot" w:pos="8844"/>
        </w:tabs>
        <w:kinsoku/>
        <w:wordWrap/>
        <w:overflowPunct/>
        <w:topLinePunct w:val="0"/>
        <w:autoSpaceDE/>
        <w:autoSpaceDN/>
        <w:bidi w:val="0"/>
        <w:adjustRightInd/>
        <w:spacing w:line="360" w:lineRule="auto"/>
        <w:textAlignment w:val="auto"/>
        <w:rPr>
          <w:rFonts w:ascii="Times New Roman" w:hAnsi="Times New Roman"/>
          <w:color w:val="auto"/>
          <w:sz w:val="28"/>
          <w:szCs w:val="28"/>
        </w:rPr>
      </w:pPr>
      <w:r>
        <w:rPr>
          <w:rFonts w:hint="eastAsia" w:ascii="Times New Roman" w:hAnsi="Times New Roman" w:eastAsia="宋体" w:cs="Times New Roman"/>
          <w:bCs w:val="0"/>
          <w:snapToGrid w:val="0"/>
          <w:color w:val="auto"/>
          <w:sz w:val="28"/>
          <w:szCs w:val="28"/>
          <w:lang w:val="en-US" w:eastAsia="zh-CN"/>
        </w:rPr>
        <w:fldChar w:fldCharType="begin"/>
      </w:r>
      <w:r>
        <w:rPr>
          <w:rFonts w:hint="eastAsia" w:ascii="Times New Roman" w:hAnsi="Times New Roman" w:eastAsia="宋体" w:cs="Times New Roman"/>
          <w:bCs w:val="0"/>
          <w:snapToGrid w:val="0"/>
          <w:color w:val="auto"/>
          <w:sz w:val="28"/>
          <w:szCs w:val="28"/>
          <w:lang w:val="en-US" w:eastAsia="zh-CN"/>
        </w:rPr>
        <w:instrText xml:space="preserve"> HYPERLINK \l _Toc9493 </w:instrText>
      </w:r>
      <w:r>
        <w:rPr>
          <w:rFonts w:hint="eastAsia" w:ascii="Times New Roman" w:hAnsi="Times New Roman" w:eastAsia="宋体" w:cs="Times New Roman"/>
          <w:bCs w:val="0"/>
          <w:snapToGrid w:val="0"/>
          <w:color w:val="auto"/>
          <w:sz w:val="28"/>
          <w:szCs w:val="28"/>
          <w:lang w:val="en-US" w:eastAsia="zh-CN"/>
        </w:rPr>
        <w:fldChar w:fldCharType="separate"/>
      </w:r>
      <w:r>
        <w:rPr>
          <w:rFonts w:hint="default" w:ascii="Times New Roman" w:hAnsi="Times New Roman"/>
          <w:color w:val="auto"/>
          <w:sz w:val="28"/>
          <w:szCs w:val="28"/>
        </w:rPr>
        <w:t>二、建设项目工程分析</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_Toc9493 \h </w:instrText>
      </w:r>
      <w:r>
        <w:rPr>
          <w:rFonts w:ascii="Times New Roman" w:hAnsi="Times New Roman"/>
          <w:color w:val="auto"/>
          <w:sz w:val="28"/>
          <w:szCs w:val="28"/>
        </w:rPr>
        <w:fldChar w:fldCharType="separate"/>
      </w:r>
      <w:r>
        <w:rPr>
          <w:rFonts w:ascii="Times New Roman" w:hAnsi="Times New Roman"/>
          <w:color w:val="auto"/>
          <w:sz w:val="28"/>
          <w:szCs w:val="28"/>
        </w:rPr>
        <w:t>11</w:t>
      </w:r>
      <w:r>
        <w:rPr>
          <w:rFonts w:ascii="Times New Roman" w:hAnsi="Times New Roman"/>
          <w:color w:val="auto"/>
          <w:sz w:val="28"/>
          <w:szCs w:val="28"/>
        </w:rPr>
        <w:fldChar w:fldCharType="end"/>
      </w:r>
      <w:r>
        <w:rPr>
          <w:rFonts w:hint="eastAsia" w:ascii="Times New Roman" w:hAnsi="Times New Roman" w:eastAsia="宋体" w:cs="Times New Roman"/>
          <w:bCs w:val="0"/>
          <w:snapToGrid w:val="0"/>
          <w:color w:val="auto"/>
          <w:sz w:val="28"/>
          <w:szCs w:val="28"/>
          <w:lang w:val="en-US" w:eastAsia="zh-CN"/>
        </w:rPr>
        <w:fldChar w:fldCharType="end"/>
      </w:r>
    </w:p>
    <w:p w14:paraId="67593AAE">
      <w:pPr>
        <w:pStyle w:val="23"/>
        <w:keepNext w:val="0"/>
        <w:keepLines w:val="0"/>
        <w:pageBreakBefore w:val="0"/>
        <w:widowControl w:val="0"/>
        <w:tabs>
          <w:tab w:val="right" w:leader="dot" w:pos="8844"/>
        </w:tabs>
        <w:kinsoku/>
        <w:wordWrap/>
        <w:overflowPunct/>
        <w:topLinePunct w:val="0"/>
        <w:autoSpaceDE/>
        <w:autoSpaceDN/>
        <w:bidi w:val="0"/>
        <w:adjustRightInd/>
        <w:spacing w:line="360" w:lineRule="auto"/>
        <w:textAlignment w:val="auto"/>
        <w:rPr>
          <w:rFonts w:ascii="Times New Roman" w:hAnsi="Times New Roman"/>
          <w:color w:val="auto"/>
          <w:sz w:val="28"/>
          <w:szCs w:val="28"/>
        </w:rPr>
      </w:pPr>
      <w:r>
        <w:rPr>
          <w:rFonts w:hint="eastAsia" w:ascii="Times New Roman" w:hAnsi="Times New Roman" w:eastAsia="宋体" w:cs="Times New Roman"/>
          <w:bCs w:val="0"/>
          <w:snapToGrid w:val="0"/>
          <w:color w:val="auto"/>
          <w:sz w:val="28"/>
          <w:szCs w:val="28"/>
          <w:lang w:val="en-US" w:eastAsia="zh-CN"/>
        </w:rPr>
        <w:fldChar w:fldCharType="begin"/>
      </w:r>
      <w:r>
        <w:rPr>
          <w:rFonts w:hint="eastAsia" w:ascii="Times New Roman" w:hAnsi="Times New Roman" w:eastAsia="宋体" w:cs="Times New Roman"/>
          <w:bCs w:val="0"/>
          <w:snapToGrid w:val="0"/>
          <w:color w:val="auto"/>
          <w:sz w:val="28"/>
          <w:szCs w:val="28"/>
          <w:lang w:val="en-US" w:eastAsia="zh-CN"/>
        </w:rPr>
        <w:instrText xml:space="preserve"> HYPERLINK \l _Toc7526 </w:instrText>
      </w:r>
      <w:r>
        <w:rPr>
          <w:rFonts w:hint="eastAsia" w:ascii="Times New Roman" w:hAnsi="Times New Roman" w:eastAsia="宋体" w:cs="Times New Roman"/>
          <w:bCs w:val="0"/>
          <w:snapToGrid w:val="0"/>
          <w:color w:val="auto"/>
          <w:sz w:val="28"/>
          <w:szCs w:val="28"/>
          <w:lang w:val="en-US" w:eastAsia="zh-CN"/>
        </w:rPr>
        <w:fldChar w:fldCharType="separate"/>
      </w:r>
      <w:r>
        <w:rPr>
          <w:rFonts w:hint="default" w:ascii="Times New Roman" w:hAnsi="Times New Roman" w:eastAsia="宋体" w:cs="Times New Roman"/>
          <w:color w:val="auto"/>
          <w:sz w:val="28"/>
          <w:szCs w:val="28"/>
        </w:rPr>
        <w:t>三、区域环境质量现状、环境保护目标及评价标准</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_Toc7526 \h </w:instrText>
      </w:r>
      <w:r>
        <w:rPr>
          <w:rFonts w:ascii="Times New Roman" w:hAnsi="Times New Roman"/>
          <w:color w:val="auto"/>
          <w:sz w:val="28"/>
          <w:szCs w:val="28"/>
        </w:rPr>
        <w:fldChar w:fldCharType="separate"/>
      </w:r>
      <w:r>
        <w:rPr>
          <w:rFonts w:ascii="Times New Roman" w:hAnsi="Times New Roman"/>
          <w:color w:val="auto"/>
          <w:sz w:val="28"/>
          <w:szCs w:val="28"/>
        </w:rPr>
        <w:t>23</w:t>
      </w:r>
      <w:r>
        <w:rPr>
          <w:rFonts w:ascii="Times New Roman" w:hAnsi="Times New Roman"/>
          <w:color w:val="auto"/>
          <w:sz w:val="28"/>
          <w:szCs w:val="28"/>
        </w:rPr>
        <w:fldChar w:fldCharType="end"/>
      </w:r>
      <w:r>
        <w:rPr>
          <w:rFonts w:hint="eastAsia" w:ascii="Times New Roman" w:hAnsi="Times New Roman" w:eastAsia="宋体" w:cs="Times New Roman"/>
          <w:bCs w:val="0"/>
          <w:snapToGrid w:val="0"/>
          <w:color w:val="auto"/>
          <w:sz w:val="28"/>
          <w:szCs w:val="28"/>
          <w:lang w:val="en-US" w:eastAsia="zh-CN"/>
        </w:rPr>
        <w:fldChar w:fldCharType="end"/>
      </w:r>
    </w:p>
    <w:p w14:paraId="61C924DF">
      <w:pPr>
        <w:pStyle w:val="23"/>
        <w:keepNext w:val="0"/>
        <w:keepLines w:val="0"/>
        <w:pageBreakBefore w:val="0"/>
        <w:widowControl w:val="0"/>
        <w:tabs>
          <w:tab w:val="right" w:leader="dot" w:pos="8844"/>
        </w:tabs>
        <w:kinsoku/>
        <w:wordWrap/>
        <w:overflowPunct/>
        <w:topLinePunct w:val="0"/>
        <w:autoSpaceDE/>
        <w:autoSpaceDN/>
        <w:bidi w:val="0"/>
        <w:adjustRightInd/>
        <w:spacing w:line="360" w:lineRule="auto"/>
        <w:textAlignment w:val="auto"/>
        <w:rPr>
          <w:rFonts w:ascii="Times New Roman" w:hAnsi="Times New Roman"/>
          <w:color w:val="auto"/>
          <w:sz w:val="28"/>
          <w:szCs w:val="28"/>
        </w:rPr>
      </w:pPr>
      <w:r>
        <w:rPr>
          <w:rFonts w:hint="eastAsia" w:ascii="Times New Roman" w:hAnsi="Times New Roman" w:eastAsia="宋体" w:cs="Times New Roman"/>
          <w:bCs w:val="0"/>
          <w:snapToGrid w:val="0"/>
          <w:color w:val="auto"/>
          <w:sz w:val="28"/>
          <w:szCs w:val="28"/>
          <w:lang w:val="en-US" w:eastAsia="zh-CN"/>
        </w:rPr>
        <w:fldChar w:fldCharType="begin"/>
      </w:r>
      <w:r>
        <w:rPr>
          <w:rFonts w:hint="eastAsia" w:ascii="Times New Roman" w:hAnsi="Times New Roman" w:eastAsia="宋体" w:cs="Times New Roman"/>
          <w:bCs w:val="0"/>
          <w:snapToGrid w:val="0"/>
          <w:color w:val="auto"/>
          <w:sz w:val="28"/>
          <w:szCs w:val="28"/>
          <w:lang w:val="en-US" w:eastAsia="zh-CN"/>
        </w:rPr>
        <w:instrText xml:space="preserve"> HYPERLINK \l _Toc19128 </w:instrText>
      </w:r>
      <w:r>
        <w:rPr>
          <w:rFonts w:hint="eastAsia" w:ascii="Times New Roman" w:hAnsi="Times New Roman" w:eastAsia="宋体" w:cs="Times New Roman"/>
          <w:bCs w:val="0"/>
          <w:snapToGrid w:val="0"/>
          <w:color w:val="auto"/>
          <w:sz w:val="28"/>
          <w:szCs w:val="28"/>
          <w:lang w:val="en-US" w:eastAsia="zh-CN"/>
        </w:rPr>
        <w:fldChar w:fldCharType="separate"/>
      </w:r>
      <w:r>
        <w:rPr>
          <w:rFonts w:hint="default" w:ascii="Times New Roman" w:hAnsi="Times New Roman" w:eastAsia="宋体" w:cs="Times New Roman"/>
          <w:color w:val="auto"/>
          <w:sz w:val="28"/>
          <w:szCs w:val="28"/>
        </w:rPr>
        <w:t>四、主要环境影响和保护措施</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_Toc19128 \h </w:instrText>
      </w:r>
      <w:r>
        <w:rPr>
          <w:rFonts w:ascii="Times New Roman" w:hAnsi="Times New Roman"/>
          <w:color w:val="auto"/>
          <w:sz w:val="28"/>
          <w:szCs w:val="28"/>
        </w:rPr>
        <w:fldChar w:fldCharType="separate"/>
      </w:r>
      <w:r>
        <w:rPr>
          <w:rFonts w:ascii="Times New Roman" w:hAnsi="Times New Roman"/>
          <w:color w:val="auto"/>
          <w:sz w:val="28"/>
          <w:szCs w:val="28"/>
        </w:rPr>
        <w:t>31</w:t>
      </w:r>
      <w:r>
        <w:rPr>
          <w:rFonts w:ascii="Times New Roman" w:hAnsi="Times New Roman"/>
          <w:color w:val="auto"/>
          <w:sz w:val="28"/>
          <w:szCs w:val="28"/>
        </w:rPr>
        <w:fldChar w:fldCharType="end"/>
      </w:r>
      <w:r>
        <w:rPr>
          <w:rFonts w:hint="eastAsia" w:ascii="Times New Roman" w:hAnsi="Times New Roman" w:eastAsia="宋体" w:cs="Times New Roman"/>
          <w:bCs w:val="0"/>
          <w:snapToGrid w:val="0"/>
          <w:color w:val="auto"/>
          <w:sz w:val="28"/>
          <w:szCs w:val="28"/>
          <w:lang w:val="en-US" w:eastAsia="zh-CN"/>
        </w:rPr>
        <w:fldChar w:fldCharType="end"/>
      </w:r>
    </w:p>
    <w:p w14:paraId="7DAF4569">
      <w:pPr>
        <w:pStyle w:val="23"/>
        <w:keepNext w:val="0"/>
        <w:keepLines w:val="0"/>
        <w:pageBreakBefore w:val="0"/>
        <w:widowControl w:val="0"/>
        <w:tabs>
          <w:tab w:val="right" w:leader="dot" w:pos="8844"/>
        </w:tabs>
        <w:kinsoku/>
        <w:wordWrap/>
        <w:overflowPunct/>
        <w:topLinePunct w:val="0"/>
        <w:autoSpaceDE/>
        <w:autoSpaceDN/>
        <w:bidi w:val="0"/>
        <w:adjustRightInd/>
        <w:spacing w:line="360" w:lineRule="auto"/>
        <w:textAlignment w:val="auto"/>
        <w:rPr>
          <w:rFonts w:ascii="Times New Roman" w:hAnsi="Times New Roman"/>
          <w:color w:val="auto"/>
          <w:sz w:val="28"/>
          <w:szCs w:val="28"/>
        </w:rPr>
      </w:pPr>
      <w:r>
        <w:rPr>
          <w:rFonts w:hint="eastAsia" w:ascii="Times New Roman" w:hAnsi="Times New Roman" w:eastAsia="宋体" w:cs="Times New Roman"/>
          <w:bCs w:val="0"/>
          <w:snapToGrid w:val="0"/>
          <w:color w:val="auto"/>
          <w:sz w:val="28"/>
          <w:szCs w:val="28"/>
          <w:lang w:val="en-US" w:eastAsia="zh-CN"/>
        </w:rPr>
        <w:fldChar w:fldCharType="begin"/>
      </w:r>
      <w:r>
        <w:rPr>
          <w:rFonts w:hint="eastAsia" w:ascii="Times New Roman" w:hAnsi="Times New Roman" w:eastAsia="宋体" w:cs="Times New Roman"/>
          <w:bCs w:val="0"/>
          <w:snapToGrid w:val="0"/>
          <w:color w:val="auto"/>
          <w:sz w:val="28"/>
          <w:szCs w:val="28"/>
          <w:lang w:val="en-US" w:eastAsia="zh-CN"/>
        </w:rPr>
        <w:instrText xml:space="preserve"> HYPERLINK \l _Toc740 </w:instrText>
      </w:r>
      <w:r>
        <w:rPr>
          <w:rFonts w:hint="eastAsia" w:ascii="Times New Roman" w:hAnsi="Times New Roman" w:eastAsia="宋体" w:cs="Times New Roman"/>
          <w:bCs w:val="0"/>
          <w:snapToGrid w:val="0"/>
          <w:color w:val="auto"/>
          <w:sz w:val="28"/>
          <w:szCs w:val="28"/>
          <w:lang w:val="en-US" w:eastAsia="zh-CN"/>
        </w:rPr>
        <w:fldChar w:fldCharType="separate"/>
      </w:r>
      <w:r>
        <w:rPr>
          <w:rFonts w:hint="default" w:ascii="Times New Roman" w:hAnsi="Times New Roman" w:eastAsia="宋体" w:cs="Times New Roman"/>
          <w:color w:val="auto"/>
          <w:sz w:val="28"/>
          <w:szCs w:val="28"/>
        </w:rPr>
        <w:t>五、环境保护措施监督检查清单</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_Toc740 \h </w:instrText>
      </w:r>
      <w:r>
        <w:rPr>
          <w:rFonts w:ascii="Times New Roman" w:hAnsi="Times New Roman"/>
          <w:color w:val="auto"/>
          <w:sz w:val="28"/>
          <w:szCs w:val="28"/>
        </w:rPr>
        <w:fldChar w:fldCharType="separate"/>
      </w:r>
      <w:r>
        <w:rPr>
          <w:rFonts w:ascii="Times New Roman" w:hAnsi="Times New Roman"/>
          <w:color w:val="auto"/>
          <w:sz w:val="28"/>
          <w:szCs w:val="28"/>
        </w:rPr>
        <w:t>72</w:t>
      </w:r>
      <w:r>
        <w:rPr>
          <w:rFonts w:ascii="Times New Roman" w:hAnsi="Times New Roman"/>
          <w:color w:val="auto"/>
          <w:sz w:val="28"/>
          <w:szCs w:val="28"/>
        </w:rPr>
        <w:fldChar w:fldCharType="end"/>
      </w:r>
      <w:r>
        <w:rPr>
          <w:rFonts w:hint="eastAsia" w:ascii="Times New Roman" w:hAnsi="Times New Roman" w:eastAsia="宋体" w:cs="Times New Roman"/>
          <w:bCs w:val="0"/>
          <w:snapToGrid w:val="0"/>
          <w:color w:val="auto"/>
          <w:sz w:val="28"/>
          <w:szCs w:val="28"/>
          <w:lang w:val="en-US" w:eastAsia="zh-CN"/>
        </w:rPr>
        <w:fldChar w:fldCharType="end"/>
      </w:r>
    </w:p>
    <w:p w14:paraId="39AACA2D">
      <w:pPr>
        <w:pStyle w:val="23"/>
        <w:keepNext w:val="0"/>
        <w:keepLines w:val="0"/>
        <w:pageBreakBefore w:val="0"/>
        <w:widowControl w:val="0"/>
        <w:tabs>
          <w:tab w:val="right" w:leader="dot" w:pos="8844"/>
        </w:tabs>
        <w:kinsoku/>
        <w:wordWrap/>
        <w:overflowPunct/>
        <w:topLinePunct w:val="0"/>
        <w:autoSpaceDE/>
        <w:autoSpaceDN/>
        <w:bidi w:val="0"/>
        <w:adjustRightInd/>
        <w:spacing w:line="360" w:lineRule="auto"/>
        <w:textAlignment w:val="auto"/>
        <w:rPr>
          <w:rFonts w:ascii="Times New Roman" w:hAnsi="Times New Roman"/>
          <w:color w:val="auto"/>
          <w:sz w:val="28"/>
          <w:szCs w:val="28"/>
        </w:rPr>
      </w:pPr>
      <w:r>
        <w:rPr>
          <w:rFonts w:hint="eastAsia" w:ascii="Times New Roman" w:hAnsi="Times New Roman" w:eastAsia="宋体" w:cs="Times New Roman"/>
          <w:bCs w:val="0"/>
          <w:snapToGrid w:val="0"/>
          <w:color w:val="auto"/>
          <w:sz w:val="28"/>
          <w:szCs w:val="28"/>
          <w:lang w:val="en-US" w:eastAsia="zh-CN"/>
        </w:rPr>
        <w:fldChar w:fldCharType="begin"/>
      </w:r>
      <w:r>
        <w:rPr>
          <w:rFonts w:hint="eastAsia" w:ascii="Times New Roman" w:hAnsi="Times New Roman" w:eastAsia="宋体" w:cs="Times New Roman"/>
          <w:bCs w:val="0"/>
          <w:snapToGrid w:val="0"/>
          <w:color w:val="auto"/>
          <w:sz w:val="28"/>
          <w:szCs w:val="28"/>
          <w:lang w:val="en-US" w:eastAsia="zh-CN"/>
        </w:rPr>
        <w:instrText xml:space="preserve"> HYPERLINK \l _Toc20773 </w:instrText>
      </w:r>
      <w:r>
        <w:rPr>
          <w:rFonts w:hint="eastAsia" w:ascii="Times New Roman" w:hAnsi="Times New Roman" w:eastAsia="宋体" w:cs="Times New Roman"/>
          <w:bCs w:val="0"/>
          <w:snapToGrid w:val="0"/>
          <w:color w:val="auto"/>
          <w:sz w:val="28"/>
          <w:szCs w:val="28"/>
          <w:lang w:val="en-US" w:eastAsia="zh-CN"/>
        </w:rPr>
        <w:fldChar w:fldCharType="separate"/>
      </w:r>
      <w:r>
        <w:rPr>
          <w:rFonts w:hint="default" w:ascii="Times New Roman" w:hAnsi="Times New Roman" w:eastAsia="宋体" w:cs="Times New Roman"/>
          <w:color w:val="auto"/>
          <w:sz w:val="28"/>
          <w:szCs w:val="28"/>
        </w:rPr>
        <w:t>六、结论</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_Toc20773 \h </w:instrText>
      </w:r>
      <w:r>
        <w:rPr>
          <w:rFonts w:ascii="Times New Roman" w:hAnsi="Times New Roman"/>
          <w:color w:val="auto"/>
          <w:sz w:val="28"/>
          <w:szCs w:val="28"/>
        </w:rPr>
        <w:fldChar w:fldCharType="separate"/>
      </w:r>
      <w:r>
        <w:rPr>
          <w:rFonts w:ascii="Times New Roman" w:hAnsi="Times New Roman"/>
          <w:color w:val="auto"/>
          <w:sz w:val="28"/>
          <w:szCs w:val="28"/>
        </w:rPr>
        <w:t>73</w:t>
      </w:r>
      <w:r>
        <w:rPr>
          <w:rFonts w:ascii="Times New Roman" w:hAnsi="Times New Roman"/>
          <w:color w:val="auto"/>
          <w:sz w:val="28"/>
          <w:szCs w:val="28"/>
        </w:rPr>
        <w:fldChar w:fldCharType="end"/>
      </w:r>
      <w:r>
        <w:rPr>
          <w:rFonts w:hint="eastAsia" w:ascii="Times New Roman" w:hAnsi="Times New Roman" w:eastAsia="宋体" w:cs="Times New Roman"/>
          <w:bCs w:val="0"/>
          <w:snapToGrid w:val="0"/>
          <w:color w:val="auto"/>
          <w:sz w:val="28"/>
          <w:szCs w:val="28"/>
          <w:lang w:val="en-US" w:eastAsia="zh-CN"/>
        </w:rPr>
        <w:fldChar w:fldCharType="end"/>
      </w:r>
    </w:p>
    <w:p w14:paraId="3FF20164">
      <w:pPr>
        <w:pStyle w:val="34"/>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left="0" w:firstLine="0"/>
        <w:jc w:val="left"/>
        <w:textAlignment w:val="auto"/>
        <w:outlineLvl w:val="0"/>
        <w:rPr>
          <w:rFonts w:hint="eastAsia" w:ascii="Times New Roman" w:hAnsi="Times New Roman" w:eastAsia="宋体" w:cs="Times New Roman"/>
          <w:b w:val="0"/>
          <w:bCs w:val="0"/>
          <w:snapToGrid w:val="0"/>
          <w:color w:val="auto"/>
          <w:sz w:val="24"/>
          <w:szCs w:val="24"/>
          <w:lang w:val="en-US" w:eastAsia="zh-CN"/>
        </w:rPr>
      </w:pPr>
      <w:r>
        <w:rPr>
          <w:rFonts w:hint="eastAsia" w:ascii="Times New Roman" w:hAnsi="Times New Roman" w:eastAsia="宋体" w:cs="Times New Roman"/>
          <w:bCs w:val="0"/>
          <w:snapToGrid w:val="0"/>
          <w:color w:val="auto"/>
          <w:sz w:val="28"/>
          <w:szCs w:val="28"/>
          <w:lang w:val="en-US" w:eastAsia="zh-CN"/>
        </w:rPr>
        <w:fldChar w:fldCharType="end"/>
      </w:r>
    </w:p>
    <w:p w14:paraId="3B95F33E">
      <w:pPr>
        <w:pStyle w:val="3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jc w:val="left"/>
        <w:textAlignment w:val="auto"/>
        <w:outlineLvl w:val="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附图</w:t>
      </w:r>
    </w:p>
    <w:p w14:paraId="178E0AB8">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rPr>
        <w:t>附图1：</w:t>
      </w:r>
      <w:r>
        <w:rPr>
          <w:rFonts w:hint="eastAsia" w:ascii="Times New Roman" w:hAnsi="Times New Roman" w:eastAsia="宋体" w:cs="Times New Roman"/>
          <w:b w:val="0"/>
          <w:bCs w:val="0"/>
          <w:color w:val="auto"/>
          <w:sz w:val="24"/>
          <w:szCs w:val="24"/>
          <w:highlight w:val="none"/>
          <w:lang w:val="en-US" w:eastAsia="zh-CN"/>
        </w:rPr>
        <w:t>新疆生产建设兵团第七师一三一团第三单元连队规划图</w:t>
      </w:r>
    </w:p>
    <w:p w14:paraId="38144B7A">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lang w:val="en-US" w:eastAsia="zh-CN"/>
        </w:rPr>
        <w:t>附图2：</w:t>
      </w:r>
      <w:r>
        <w:rPr>
          <w:rFonts w:hint="eastAsia" w:ascii="Times New Roman" w:hAnsi="Times New Roman" w:eastAsia="宋体" w:cs="Times New Roman"/>
          <w:b w:val="0"/>
          <w:bCs w:val="0"/>
          <w:color w:val="auto"/>
          <w:sz w:val="24"/>
          <w:szCs w:val="24"/>
          <w:highlight w:val="none"/>
        </w:rPr>
        <w:t>新疆</w:t>
      </w:r>
      <w:r>
        <w:rPr>
          <w:rFonts w:hint="eastAsia" w:ascii="Times New Roman" w:hAnsi="Times New Roman" w:eastAsia="宋体" w:cs="Times New Roman"/>
          <w:b w:val="0"/>
          <w:bCs w:val="0"/>
          <w:color w:val="auto"/>
          <w:sz w:val="24"/>
          <w:szCs w:val="24"/>
          <w:highlight w:val="none"/>
          <w:lang w:val="en-US" w:eastAsia="zh-CN"/>
        </w:rPr>
        <w:t>生产建设兵团环境管控单元</w:t>
      </w:r>
      <w:r>
        <w:rPr>
          <w:rFonts w:hint="eastAsia" w:ascii="Times New Roman" w:hAnsi="Times New Roman" w:eastAsia="宋体" w:cs="Times New Roman"/>
          <w:b w:val="0"/>
          <w:bCs w:val="0"/>
          <w:color w:val="auto"/>
          <w:sz w:val="24"/>
          <w:szCs w:val="24"/>
          <w:highlight w:val="none"/>
        </w:rPr>
        <w:t>图</w:t>
      </w:r>
    </w:p>
    <w:p w14:paraId="340F80ED">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附图</w:t>
      </w:r>
      <w:r>
        <w:rPr>
          <w:rFonts w:hint="eastAsia" w:ascii="Times New Roman" w:hAnsi="Times New Roman" w:eastAsia="宋体" w:cs="Times New Roman"/>
          <w:b w:val="0"/>
          <w:bCs w:val="0"/>
          <w:color w:val="auto"/>
          <w:sz w:val="24"/>
          <w:szCs w:val="24"/>
          <w:highlight w:val="none"/>
          <w:lang w:val="en-US" w:eastAsia="zh-CN"/>
        </w:rPr>
        <w:t>3</w:t>
      </w:r>
      <w:r>
        <w:rPr>
          <w:rFonts w:hint="eastAsia"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lang w:val="en-US" w:eastAsia="zh-CN"/>
        </w:rPr>
        <w:t>第七师胡杨河市</w:t>
      </w:r>
      <w:r>
        <w:rPr>
          <w:rFonts w:hint="eastAsia" w:ascii="Times New Roman" w:hAnsi="Times New Roman" w:eastAsia="宋体" w:cs="Times New Roman"/>
          <w:b w:val="0"/>
          <w:bCs w:val="0"/>
          <w:color w:val="auto"/>
          <w:sz w:val="24"/>
          <w:szCs w:val="24"/>
          <w:highlight w:val="none"/>
        </w:rPr>
        <w:t>环境管控单元图</w:t>
      </w:r>
    </w:p>
    <w:p w14:paraId="37479313">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附图</w:t>
      </w:r>
      <w:r>
        <w:rPr>
          <w:rFonts w:hint="default" w:ascii="Times New Roman" w:hAnsi="Times New Roman" w:eastAsia="宋体" w:cs="Times New Roman"/>
          <w:b w:val="0"/>
          <w:bCs w:val="0"/>
          <w:color w:val="auto"/>
          <w:sz w:val="24"/>
          <w:szCs w:val="24"/>
          <w:highlight w:val="none"/>
          <w:lang w:val="en-US" w:eastAsia="zh-CN"/>
        </w:rPr>
        <w:t>4</w:t>
      </w:r>
      <w:r>
        <w:rPr>
          <w:rFonts w:hint="eastAsia" w:ascii="Times New Roman" w:hAnsi="Times New Roman" w:eastAsia="宋体" w:cs="Times New Roman"/>
          <w:b w:val="0"/>
          <w:bCs w:val="0"/>
          <w:color w:val="auto"/>
          <w:sz w:val="24"/>
          <w:szCs w:val="24"/>
          <w:highlight w:val="none"/>
          <w:lang w:val="en-US" w:eastAsia="zh-CN"/>
        </w:rPr>
        <w:t>：新疆维吾尔自治区“三线一单”信息应用平台查询管控单元结果</w:t>
      </w:r>
    </w:p>
    <w:p w14:paraId="1B1A9A44">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附图5：地理位置图</w:t>
      </w:r>
    </w:p>
    <w:p w14:paraId="616BD749">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附图6：周边环境关系图</w:t>
      </w:r>
    </w:p>
    <w:p w14:paraId="032EEA1F">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附图</w:t>
      </w:r>
      <w:r>
        <w:rPr>
          <w:rFonts w:hint="eastAsia" w:ascii="Times New Roman" w:hAnsi="Times New Roman" w:eastAsia="宋体" w:cs="Times New Roman"/>
          <w:b w:val="0"/>
          <w:bCs w:val="0"/>
          <w:color w:val="auto"/>
          <w:sz w:val="24"/>
          <w:szCs w:val="24"/>
          <w:highlight w:val="none"/>
          <w:lang w:val="en-US" w:eastAsia="zh-CN"/>
        </w:rPr>
        <w:t>7</w:t>
      </w:r>
      <w:r>
        <w:rPr>
          <w:rFonts w:hint="eastAsia"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lang w:val="en-US" w:eastAsia="zh-CN"/>
        </w:rPr>
        <w:t>项目</w:t>
      </w:r>
      <w:r>
        <w:rPr>
          <w:rFonts w:hint="eastAsia" w:ascii="Times New Roman" w:hAnsi="Times New Roman" w:eastAsia="宋体" w:cs="Times New Roman"/>
          <w:b w:val="0"/>
          <w:bCs w:val="0"/>
          <w:color w:val="auto"/>
          <w:sz w:val="24"/>
          <w:szCs w:val="24"/>
          <w:highlight w:val="none"/>
        </w:rPr>
        <w:t>平面布置图</w:t>
      </w:r>
    </w:p>
    <w:p w14:paraId="489264EB">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lang w:eastAsia="zh-CN"/>
        </w:rPr>
      </w:pPr>
      <w:r>
        <w:rPr>
          <w:rFonts w:hint="eastAsia" w:ascii="Times New Roman" w:hAnsi="Times New Roman" w:eastAsia="宋体" w:cs="Times New Roman"/>
          <w:b w:val="0"/>
          <w:bCs w:val="0"/>
          <w:color w:val="auto"/>
          <w:sz w:val="24"/>
          <w:szCs w:val="24"/>
          <w:highlight w:val="none"/>
        </w:rPr>
        <w:t>附图</w:t>
      </w:r>
      <w:r>
        <w:rPr>
          <w:rFonts w:hint="eastAsia" w:ascii="Times New Roman" w:hAnsi="Times New Roman" w:eastAsia="宋体" w:cs="Times New Roman"/>
          <w:b w:val="0"/>
          <w:bCs w:val="0"/>
          <w:color w:val="auto"/>
          <w:sz w:val="24"/>
          <w:szCs w:val="24"/>
          <w:highlight w:val="none"/>
          <w:lang w:val="en-US" w:eastAsia="zh-CN"/>
        </w:rPr>
        <w:t>8：</w:t>
      </w:r>
      <w:r>
        <w:rPr>
          <w:rFonts w:hint="eastAsia" w:ascii="Times New Roman" w:hAnsi="Times New Roman" w:eastAsia="宋体" w:cs="Times New Roman"/>
          <w:b w:val="0"/>
          <w:bCs w:val="0"/>
          <w:color w:val="auto"/>
          <w:sz w:val="24"/>
          <w:szCs w:val="24"/>
          <w:highlight w:val="none"/>
        </w:rPr>
        <w:t>现状监测布点图</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大气</w:t>
      </w:r>
      <w:r>
        <w:rPr>
          <w:rFonts w:hint="eastAsia" w:ascii="Times New Roman" w:hAnsi="Times New Roman" w:eastAsia="宋体" w:cs="Times New Roman"/>
          <w:b w:val="0"/>
          <w:bCs w:val="0"/>
          <w:color w:val="auto"/>
          <w:sz w:val="24"/>
          <w:szCs w:val="24"/>
          <w:highlight w:val="none"/>
          <w:lang w:eastAsia="zh-CN"/>
        </w:rPr>
        <w:t>）</w:t>
      </w:r>
    </w:p>
    <w:p w14:paraId="71378874">
      <w:pPr>
        <w:pStyle w:val="4"/>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left="0" w:firstLine="0"/>
        <w:textAlignment w:val="auto"/>
        <w:rPr>
          <w:rFonts w:hint="eastAsia" w:ascii="Times New Roman" w:hAnsi="Times New Roman" w:eastAsia="宋体" w:cs="Times New Roman"/>
          <w:b w:val="0"/>
          <w:bCs w:val="0"/>
          <w:color w:val="auto"/>
          <w:sz w:val="24"/>
          <w:szCs w:val="24"/>
          <w:highlight w:val="none"/>
          <w:lang w:eastAsia="zh-CN"/>
        </w:rPr>
      </w:pPr>
      <w:r>
        <w:rPr>
          <w:rFonts w:hint="eastAsia" w:ascii="Times New Roman" w:hAnsi="Times New Roman" w:eastAsia="宋体" w:cs="Times New Roman"/>
          <w:b w:val="0"/>
          <w:bCs w:val="0"/>
          <w:color w:val="auto"/>
          <w:sz w:val="24"/>
          <w:szCs w:val="24"/>
          <w:highlight w:val="none"/>
        </w:rPr>
        <w:t>附图</w:t>
      </w:r>
      <w:r>
        <w:rPr>
          <w:rFonts w:hint="eastAsia" w:ascii="Times New Roman" w:hAnsi="Times New Roman" w:eastAsia="宋体" w:cs="Times New Roman"/>
          <w:b w:val="0"/>
          <w:bCs w:val="0"/>
          <w:color w:val="auto"/>
          <w:sz w:val="24"/>
          <w:szCs w:val="24"/>
          <w:highlight w:val="none"/>
          <w:lang w:val="en-US" w:eastAsia="zh-CN"/>
        </w:rPr>
        <w:t>9：</w:t>
      </w:r>
      <w:r>
        <w:rPr>
          <w:rFonts w:hint="eastAsia" w:ascii="Times New Roman" w:hAnsi="Times New Roman" w:eastAsia="宋体" w:cs="Times New Roman"/>
          <w:b w:val="0"/>
          <w:bCs w:val="0"/>
          <w:color w:val="auto"/>
          <w:sz w:val="24"/>
          <w:szCs w:val="24"/>
          <w:highlight w:val="none"/>
        </w:rPr>
        <w:t>现状监测布点图</w:t>
      </w:r>
      <w:r>
        <w:rPr>
          <w:rFonts w:hint="eastAsia"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地表水</w:t>
      </w:r>
      <w:r>
        <w:rPr>
          <w:rFonts w:hint="eastAsia" w:ascii="Times New Roman" w:hAnsi="Times New Roman" w:eastAsia="宋体" w:cs="Times New Roman"/>
          <w:b w:val="0"/>
          <w:bCs w:val="0"/>
          <w:color w:val="auto"/>
          <w:sz w:val="24"/>
          <w:szCs w:val="24"/>
          <w:highlight w:val="none"/>
          <w:lang w:eastAsia="zh-CN"/>
        </w:rPr>
        <w:t>）</w:t>
      </w:r>
    </w:p>
    <w:p w14:paraId="0C5D5877">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eastAsia" w:ascii="Times New Roman" w:hAnsi="Times New Roman" w:eastAsia="宋体"/>
          <w:b w:val="0"/>
          <w:bCs w:val="0"/>
          <w:color w:val="auto"/>
          <w:sz w:val="24"/>
          <w:szCs w:val="24"/>
          <w:highlight w:val="none"/>
        </w:rPr>
      </w:pPr>
    </w:p>
    <w:p w14:paraId="6B867D28">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eastAsia"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4"/>
          <w:szCs w:val="24"/>
          <w:lang w:val="en-US" w:eastAsia="zh-CN"/>
        </w:rPr>
        <w:t>附件</w:t>
      </w:r>
    </w:p>
    <w:p w14:paraId="075C11C9">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default"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4"/>
          <w:szCs w:val="24"/>
          <w:lang w:val="en-US" w:eastAsia="zh-CN"/>
        </w:rPr>
        <w:t>附件一：委托书</w:t>
      </w:r>
    </w:p>
    <w:p w14:paraId="6BE32C82">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default"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4"/>
          <w:szCs w:val="24"/>
          <w:lang w:val="en-US" w:eastAsia="zh-CN"/>
        </w:rPr>
        <w:t>附件二：项目备案证</w:t>
      </w:r>
    </w:p>
    <w:p w14:paraId="1DB24244">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eastAsia"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4"/>
          <w:szCs w:val="24"/>
          <w:lang w:val="en-US" w:eastAsia="zh-CN"/>
        </w:rPr>
        <w:t>附件三：生物质颗粒检测报告</w:t>
      </w:r>
    </w:p>
    <w:p w14:paraId="0CE7F5E1">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eastAsia"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4"/>
          <w:szCs w:val="24"/>
          <w:lang w:val="en-US" w:eastAsia="zh-CN"/>
        </w:rPr>
        <w:t>附件四：特征污染物TSP补充监测</w:t>
      </w:r>
    </w:p>
    <w:p w14:paraId="241B365E">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eastAsia"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4"/>
          <w:szCs w:val="24"/>
          <w:lang w:val="en-US" w:eastAsia="zh-CN"/>
        </w:rPr>
        <w:t>附件五：环境质量现状检测报告（引用地表水）</w:t>
      </w:r>
    </w:p>
    <w:p w14:paraId="757F37F8">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default"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4"/>
          <w:szCs w:val="24"/>
          <w:lang w:val="en-US" w:eastAsia="zh-CN"/>
        </w:rPr>
        <w:t>附件六：建设用地规划许可证</w:t>
      </w:r>
    </w:p>
    <w:p w14:paraId="28527918">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default"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4"/>
          <w:szCs w:val="24"/>
          <w:lang w:val="en-US" w:eastAsia="zh-CN"/>
        </w:rPr>
        <w:t>附件七：规划条件及规划附图</w:t>
      </w:r>
    </w:p>
    <w:p w14:paraId="4D229A4D">
      <w:pPr>
        <w:keepNext w:val="0"/>
        <w:keepLines w:val="0"/>
        <w:pageBreakBefore w:val="0"/>
        <w:widowControl w:val="0"/>
        <w:kinsoku/>
        <w:wordWrap/>
        <w:overflowPunct/>
        <w:topLinePunct w:val="0"/>
        <w:autoSpaceDE/>
        <w:autoSpaceDN/>
        <w:bidi w:val="0"/>
        <w:snapToGrid w:val="0"/>
        <w:spacing w:beforeAutospacing="0" w:afterAutospacing="0" w:line="360" w:lineRule="auto"/>
        <w:ind w:left="0" w:firstLine="0"/>
        <w:textAlignment w:val="auto"/>
        <w:rPr>
          <w:rFonts w:hint="default" w:ascii="Times New Roman" w:hAnsi="Times New Roman" w:eastAsia="宋体" w:cs="宋体"/>
          <w:b w:val="0"/>
          <w:bCs w:val="0"/>
          <w:color w:val="auto"/>
          <w:sz w:val="24"/>
          <w:szCs w:val="24"/>
          <w:lang w:val="en-US"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6C525277">
      <w:pPr>
        <w:pStyle w:val="48"/>
        <w:keepNext w:val="0"/>
        <w:keepLines w:val="0"/>
        <w:pageBreakBefore w:val="0"/>
        <w:widowControl/>
        <w:kinsoku/>
        <w:wordWrap/>
        <w:overflowPunct/>
        <w:topLinePunct w:val="0"/>
        <w:autoSpaceDE/>
        <w:autoSpaceDN/>
        <w:bidi w:val="0"/>
        <w:adjustRightInd/>
        <w:snapToGrid/>
        <w:spacing w:beforeAutospacing="0"/>
        <w:textAlignment w:val="auto"/>
        <w:rPr>
          <w:rFonts w:hint="default" w:ascii="Times New Roman" w:hAnsi="Times New Roman" w:eastAsia="宋体" w:cs="Times New Roman"/>
          <w:color w:val="auto"/>
        </w:rPr>
      </w:pPr>
      <w:bookmarkStart w:id="0" w:name="_Toc28310"/>
      <w:bookmarkStart w:id="1" w:name="_Toc6502"/>
      <w:bookmarkStart w:id="2" w:name="_Toc27745"/>
      <w:r>
        <w:rPr>
          <w:rFonts w:hint="default" w:ascii="Times New Roman" w:hAnsi="Times New Roman" w:eastAsia="宋体" w:cs="Times New Roman"/>
          <w:color w:val="auto"/>
        </w:rPr>
        <w:t>一、建设项目基本情况</w:t>
      </w:r>
      <w:bookmarkEnd w:id="0"/>
      <w:bookmarkEnd w:id="1"/>
    </w:p>
    <w:tbl>
      <w:tblPr>
        <w:tblStyle w:val="39"/>
        <w:tblW w:w="90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03"/>
        <w:gridCol w:w="756"/>
        <w:gridCol w:w="2489"/>
        <w:gridCol w:w="79"/>
        <w:gridCol w:w="1386"/>
        <w:gridCol w:w="596"/>
        <w:gridCol w:w="3106"/>
      </w:tblGrid>
      <w:tr w14:paraId="6ED645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11860C4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建设项目名称</w:t>
            </w:r>
          </w:p>
        </w:tc>
        <w:tc>
          <w:tcPr>
            <w:tcW w:w="7656" w:type="dxa"/>
            <w:gridSpan w:val="5"/>
            <w:noWrap w:val="0"/>
            <w:vAlign w:val="center"/>
          </w:tcPr>
          <w:p w14:paraId="24AE6D59">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lang w:eastAsia="zh-CN"/>
              </w:rPr>
            </w:pPr>
            <w:r>
              <w:rPr>
                <w:rFonts w:hint="eastAsia" w:cs="Times New Roman"/>
                <w:color w:val="auto"/>
                <w:sz w:val="24"/>
                <w:lang w:eastAsia="zh-CN"/>
              </w:rPr>
              <w:t>年产5万吨玉米压片、3万吨饲料、1万吨玉米杂粮建设项目</w:t>
            </w:r>
          </w:p>
        </w:tc>
      </w:tr>
      <w:tr w14:paraId="780B9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479929C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项目代码</w:t>
            </w:r>
          </w:p>
        </w:tc>
        <w:tc>
          <w:tcPr>
            <w:tcW w:w="7656" w:type="dxa"/>
            <w:gridSpan w:val="5"/>
            <w:noWrap w:val="0"/>
            <w:vAlign w:val="center"/>
          </w:tcPr>
          <w:p w14:paraId="36ED50C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2505-660709-01-223976</w:t>
            </w:r>
          </w:p>
        </w:tc>
      </w:tr>
      <w:tr w14:paraId="3DF38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3B25DC8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建设单位联系人</w:t>
            </w:r>
          </w:p>
        </w:tc>
        <w:tc>
          <w:tcPr>
            <w:tcW w:w="2489" w:type="dxa"/>
            <w:noWrap w:val="0"/>
            <w:vAlign w:val="center"/>
          </w:tcPr>
          <w:p w14:paraId="72005DF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邢帅</w:t>
            </w:r>
          </w:p>
        </w:tc>
        <w:tc>
          <w:tcPr>
            <w:tcW w:w="2061" w:type="dxa"/>
            <w:gridSpan w:val="3"/>
            <w:noWrap w:val="0"/>
            <w:vAlign w:val="center"/>
          </w:tcPr>
          <w:p w14:paraId="565FF03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联系方式</w:t>
            </w:r>
          </w:p>
        </w:tc>
        <w:tc>
          <w:tcPr>
            <w:tcW w:w="3106" w:type="dxa"/>
            <w:noWrap w:val="0"/>
            <w:vAlign w:val="center"/>
          </w:tcPr>
          <w:p w14:paraId="1D084FB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18935853125</w:t>
            </w:r>
          </w:p>
        </w:tc>
      </w:tr>
      <w:tr w14:paraId="73872C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0A9A2FE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建设地点</w:t>
            </w:r>
          </w:p>
        </w:tc>
        <w:tc>
          <w:tcPr>
            <w:tcW w:w="7656" w:type="dxa"/>
            <w:gridSpan w:val="5"/>
            <w:noWrap w:val="0"/>
            <w:vAlign w:val="center"/>
          </w:tcPr>
          <w:p w14:paraId="44648647">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jc w:val="center"/>
              <w:textAlignment w:val="auto"/>
              <w:rPr>
                <w:rFonts w:hint="default" w:ascii="Times New Roman" w:hAnsi="Times New Roman" w:eastAsia="宋体" w:cs="Times New Roman"/>
                <w:color w:val="auto"/>
                <w:sz w:val="24"/>
                <w:highlight w:val="yellow"/>
                <w:lang w:val="en-US"/>
              </w:rPr>
            </w:pPr>
            <w:r>
              <w:rPr>
                <w:rFonts w:hint="eastAsia" w:ascii="Times New Roman" w:hAnsi="Times New Roman" w:eastAsia="宋体" w:cs="Times New Roman"/>
                <w:color w:val="auto"/>
                <w:sz w:val="24"/>
                <w:highlight w:val="none"/>
                <w:lang w:val="en-US" w:eastAsia="zh-CN"/>
              </w:rPr>
              <w:t>新疆生产建设兵团第七师131团1连漠河大道以东，217国道以西</w:t>
            </w:r>
          </w:p>
        </w:tc>
      </w:tr>
      <w:tr w14:paraId="26E82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2C74450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地理坐标</w:t>
            </w:r>
          </w:p>
        </w:tc>
        <w:tc>
          <w:tcPr>
            <w:tcW w:w="7656" w:type="dxa"/>
            <w:gridSpan w:val="5"/>
            <w:noWrap w:val="0"/>
            <w:vAlign w:val="center"/>
          </w:tcPr>
          <w:p w14:paraId="698121DF">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Chars="0" w:right="0"/>
              <w:jc w:val="center"/>
              <w:textAlignment w:val="auto"/>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中心坐标</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u w:val="single"/>
              </w:rPr>
              <w:t>E8</w:t>
            </w:r>
            <w:r>
              <w:rPr>
                <w:rFonts w:hint="eastAsia" w:ascii="Times New Roman" w:hAnsi="Times New Roman" w:eastAsia="宋体" w:cs="Times New Roman"/>
                <w:color w:val="auto"/>
                <w:sz w:val="24"/>
                <w:highlight w:val="none"/>
                <w:u w:val="single"/>
                <w:lang w:val="en-US" w:eastAsia="zh-CN"/>
              </w:rPr>
              <w:t>4</w:t>
            </w:r>
            <w:r>
              <w:rPr>
                <w:rFonts w:hint="default" w:ascii="Times New Roman" w:hAnsi="Times New Roman" w:eastAsia="宋体" w:cs="Times New Roman"/>
                <w:color w:val="auto"/>
                <w:sz w:val="24"/>
                <w:highlight w:val="none"/>
              </w:rPr>
              <w:t>度</w:t>
            </w:r>
            <w:r>
              <w:rPr>
                <w:rFonts w:hint="eastAsia" w:ascii="Times New Roman" w:hAnsi="Times New Roman" w:eastAsia="宋体" w:cs="Times New Roman"/>
                <w:color w:val="auto"/>
                <w:sz w:val="24"/>
                <w:highlight w:val="none"/>
                <w:u w:val="single"/>
                <w:lang w:val="en-US" w:eastAsia="zh-CN"/>
              </w:rPr>
              <w:t>52</w:t>
            </w:r>
            <w:r>
              <w:rPr>
                <w:rFonts w:hint="default" w:ascii="Times New Roman" w:hAnsi="Times New Roman" w:eastAsia="宋体" w:cs="Times New Roman"/>
                <w:color w:val="auto"/>
                <w:sz w:val="24"/>
                <w:highlight w:val="none"/>
              </w:rPr>
              <w:t>分</w:t>
            </w:r>
            <w:r>
              <w:rPr>
                <w:rFonts w:hint="eastAsia" w:ascii="Times New Roman" w:hAnsi="Times New Roman" w:eastAsia="宋体" w:cs="Times New Roman"/>
                <w:color w:val="auto"/>
                <w:sz w:val="24"/>
                <w:highlight w:val="none"/>
                <w:u w:val="single"/>
                <w:lang w:val="en-US" w:eastAsia="zh-CN"/>
              </w:rPr>
              <w:t>08.977</w:t>
            </w:r>
            <w:r>
              <w:rPr>
                <w:rFonts w:hint="default" w:ascii="Times New Roman" w:hAnsi="Times New Roman" w:eastAsia="宋体" w:cs="Times New Roman"/>
                <w:color w:val="auto"/>
                <w:sz w:val="24"/>
                <w:highlight w:val="none"/>
              </w:rPr>
              <w:t>秒，</w:t>
            </w:r>
            <w:r>
              <w:rPr>
                <w:rFonts w:hint="default" w:ascii="Times New Roman" w:hAnsi="Times New Roman" w:eastAsia="宋体" w:cs="Times New Roman"/>
                <w:color w:val="auto"/>
                <w:sz w:val="24"/>
                <w:highlight w:val="none"/>
                <w:u w:val="none"/>
              </w:rPr>
              <w:t>N</w:t>
            </w:r>
            <w:r>
              <w:rPr>
                <w:rFonts w:hint="eastAsia" w:ascii="Times New Roman" w:hAnsi="Times New Roman" w:eastAsia="宋体" w:cs="Times New Roman"/>
                <w:color w:val="auto"/>
                <w:sz w:val="24"/>
                <w:highlight w:val="none"/>
                <w:u w:val="single"/>
                <w:lang w:val="en-US" w:eastAsia="zh-CN"/>
              </w:rPr>
              <w:t>44</w:t>
            </w:r>
            <w:r>
              <w:rPr>
                <w:rFonts w:hint="default" w:ascii="Times New Roman" w:hAnsi="Times New Roman" w:eastAsia="宋体" w:cs="Times New Roman"/>
                <w:color w:val="auto"/>
                <w:sz w:val="24"/>
                <w:highlight w:val="none"/>
              </w:rPr>
              <w:t>度</w:t>
            </w:r>
            <w:r>
              <w:rPr>
                <w:rFonts w:hint="eastAsia" w:ascii="Times New Roman" w:hAnsi="Times New Roman" w:eastAsia="宋体" w:cs="Times New Roman"/>
                <w:color w:val="auto"/>
                <w:sz w:val="24"/>
                <w:highlight w:val="none"/>
                <w:u w:val="single"/>
                <w:lang w:val="en-US" w:eastAsia="zh-CN"/>
              </w:rPr>
              <w:t>29</w:t>
            </w:r>
            <w:r>
              <w:rPr>
                <w:rFonts w:hint="default" w:ascii="Times New Roman" w:hAnsi="Times New Roman" w:eastAsia="宋体" w:cs="Times New Roman"/>
                <w:color w:val="auto"/>
                <w:sz w:val="24"/>
                <w:highlight w:val="none"/>
              </w:rPr>
              <w:t>分</w:t>
            </w:r>
            <w:r>
              <w:rPr>
                <w:rFonts w:hint="eastAsia" w:ascii="Times New Roman" w:hAnsi="Times New Roman" w:eastAsia="宋体" w:cs="Times New Roman"/>
                <w:color w:val="auto"/>
                <w:sz w:val="24"/>
                <w:highlight w:val="none"/>
                <w:u w:val="single"/>
                <w:lang w:val="en-US" w:eastAsia="zh-CN"/>
              </w:rPr>
              <w:t>08.333</w:t>
            </w:r>
            <w:r>
              <w:rPr>
                <w:rFonts w:hint="default" w:ascii="Times New Roman" w:hAnsi="Times New Roman" w:eastAsia="宋体" w:cs="Times New Roman"/>
                <w:color w:val="auto"/>
                <w:sz w:val="24"/>
                <w:highlight w:val="none"/>
              </w:rPr>
              <w:t>秒</w:t>
            </w:r>
          </w:p>
        </w:tc>
      </w:tr>
      <w:tr w14:paraId="731461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5EAD6D3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国民经济</w:t>
            </w:r>
          </w:p>
          <w:p w14:paraId="7959297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行业类别</w:t>
            </w:r>
          </w:p>
        </w:tc>
        <w:tc>
          <w:tcPr>
            <w:tcW w:w="2568" w:type="dxa"/>
            <w:gridSpan w:val="2"/>
            <w:noWrap w:val="0"/>
            <w:vAlign w:val="center"/>
          </w:tcPr>
          <w:p w14:paraId="13156473">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D4430热力生产和供应</w:t>
            </w:r>
          </w:p>
        </w:tc>
        <w:tc>
          <w:tcPr>
            <w:tcW w:w="1386" w:type="dxa"/>
            <w:noWrap w:val="0"/>
            <w:vAlign w:val="center"/>
          </w:tcPr>
          <w:p w14:paraId="0E8A622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bookmarkStart w:id="3" w:name="_Hlk49843745"/>
            <w:r>
              <w:rPr>
                <w:rFonts w:hint="default" w:ascii="Times New Roman" w:hAnsi="Times New Roman" w:eastAsia="宋体" w:cs="Times New Roman"/>
                <w:color w:val="auto"/>
                <w:sz w:val="24"/>
              </w:rPr>
              <w:t>建设项目</w:t>
            </w:r>
          </w:p>
          <w:p w14:paraId="76B9CCF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行业类别</w:t>
            </w:r>
            <w:bookmarkEnd w:id="3"/>
          </w:p>
        </w:tc>
        <w:tc>
          <w:tcPr>
            <w:tcW w:w="3702" w:type="dxa"/>
            <w:gridSpan w:val="2"/>
            <w:noWrap w:val="0"/>
            <w:vAlign w:val="center"/>
          </w:tcPr>
          <w:p w14:paraId="559CEFFD">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szCs w:val="24"/>
                <w:lang w:val="en-US" w:eastAsia="zh-CN"/>
              </w:rPr>
              <w:t>四十一、电力、热力生产和供应业91.热力生产和供应工程（包括建设单位自建自用的供热工程）</w:t>
            </w:r>
          </w:p>
        </w:tc>
      </w:tr>
      <w:tr w14:paraId="7A9CCF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3691AFA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宋体"/>
                <w:color w:val="auto"/>
                <w:sz w:val="24"/>
              </w:rPr>
            </w:pPr>
            <w:r>
              <w:rPr>
                <w:rFonts w:hint="eastAsia" w:ascii="Times New Roman" w:hAnsi="Times New Roman" w:eastAsia="宋体" w:cs="宋体"/>
                <w:color w:val="auto"/>
                <w:sz w:val="24"/>
              </w:rPr>
              <w:t>建设性质</w:t>
            </w:r>
          </w:p>
        </w:tc>
        <w:tc>
          <w:tcPr>
            <w:tcW w:w="2568" w:type="dxa"/>
            <w:gridSpan w:val="2"/>
            <w:noWrap w:val="0"/>
            <w:vAlign w:val="center"/>
          </w:tcPr>
          <w:p w14:paraId="1CBB11C7">
            <w:pPr>
              <w:keepNext w:val="0"/>
              <w:keepLines w:val="0"/>
              <w:suppressLineNumbers w:val="0"/>
              <w:spacing w:before="0" w:beforeAutospacing="0" w:after="0" w:afterAutospacing="0"/>
              <w:ind w:left="0" w:right="0"/>
              <w:jc w:val="left"/>
              <w:rPr>
                <w:rFonts w:hint="eastAsia" w:ascii="Times New Roman" w:hAnsi="Times New Roman" w:eastAsia="宋体" w:cs="宋体"/>
                <w:color w:val="auto"/>
                <w:sz w:val="24"/>
                <w:lang w:eastAsia="zh-CN"/>
              </w:rPr>
            </w:pPr>
            <w:r>
              <w:rPr>
                <w:rFonts w:hint="eastAsia" w:ascii="Times New Roman" w:hAnsi="Times New Roman" w:eastAsia="宋体" w:cs="宋体"/>
                <w:color w:val="auto"/>
                <w:sz w:val="24"/>
                <w:lang w:eastAsia="zh-CN"/>
              </w:rPr>
              <w:t>☑</w:t>
            </w:r>
            <w:r>
              <w:rPr>
                <w:rFonts w:hint="eastAsia" w:ascii="Times New Roman" w:hAnsi="Times New Roman" w:eastAsia="宋体" w:cs="宋体"/>
                <w:color w:val="auto"/>
                <w:sz w:val="24"/>
              </w:rPr>
              <w:t>新建（迁建</w:t>
            </w:r>
            <w:r>
              <w:rPr>
                <w:rFonts w:hint="eastAsia" w:ascii="Times New Roman" w:hAnsi="Times New Roman" w:cs="宋体"/>
                <w:color w:val="auto"/>
                <w:sz w:val="24"/>
                <w:lang w:eastAsia="zh-CN"/>
              </w:rPr>
              <w:t>）</w:t>
            </w:r>
          </w:p>
          <w:p w14:paraId="119EA3A9">
            <w:pPr>
              <w:keepNext w:val="0"/>
              <w:keepLines w:val="0"/>
              <w:suppressLineNumbers w:val="0"/>
              <w:spacing w:before="0" w:beforeAutospacing="0" w:after="0" w:afterAutospacing="0"/>
              <w:ind w:left="0" w:right="0"/>
              <w:jc w:val="left"/>
              <w:rPr>
                <w:rFonts w:hint="eastAsia" w:ascii="Times New Roman" w:hAnsi="Times New Roman" w:eastAsia="宋体" w:cs="宋体"/>
                <w:color w:val="auto"/>
                <w:sz w:val="24"/>
              </w:rPr>
            </w:pPr>
            <w:r>
              <w:rPr>
                <w:rFonts w:hint="eastAsia" w:ascii="Times New Roman" w:hAnsi="Times New Roman" w:eastAsia="宋体" w:cs="宋体"/>
                <w:color w:val="auto"/>
                <w:sz w:val="24"/>
                <w:lang w:eastAsia="zh-CN"/>
              </w:rPr>
              <w:t>□</w:t>
            </w:r>
            <w:r>
              <w:rPr>
                <w:rFonts w:hint="eastAsia" w:ascii="Times New Roman" w:hAnsi="Times New Roman" w:eastAsia="宋体" w:cs="宋体"/>
                <w:color w:val="auto"/>
                <w:sz w:val="24"/>
              </w:rPr>
              <w:t>改建</w:t>
            </w:r>
          </w:p>
          <w:p w14:paraId="20329405">
            <w:pPr>
              <w:keepNext w:val="0"/>
              <w:keepLines w:val="0"/>
              <w:suppressLineNumbers w:val="0"/>
              <w:spacing w:before="0" w:beforeAutospacing="0" w:after="0" w:afterAutospacing="0"/>
              <w:ind w:left="0" w:right="0"/>
              <w:jc w:val="left"/>
              <w:rPr>
                <w:rFonts w:hint="eastAsia" w:ascii="Times New Roman" w:hAnsi="Times New Roman" w:eastAsia="宋体" w:cs="宋体"/>
                <w:color w:val="auto"/>
                <w:sz w:val="24"/>
              </w:rPr>
            </w:pPr>
            <w:r>
              <w:rPr>
                <w:rFonts w:hint="eastAsia" w:ascii="Times New Roman" w:hAnsi="Times New Roman" w:eastAsia="宋体" w:cs="宋体"/>
                <w:color w:val="auto"/>
                <w:sz w:val="24"/>
              </w:rPr>
              <w:t>□扩建</w:t>
            </w:r>
          </w:p>
          <w:p w14:paraId="6901A73C">
            <w:pPr>
              <w:keepNext w:val="0"/>
              <w:keepLines w:val="0"/>
              <w:suppressLineNumbers w:val="0"/>
              <w:spacing w:before="0" w:beforeAutospacing="0" w:after="0" w:afterAutospacing="0"/>
              <w:ind w:left="0" w:right="0"/>
              <w:jc w:val="left"/>
              <w:rPr>
                <w:rFonts w:hint="eastAsia" w:ascii="Times New Roman" w:hAnsi="Times New Roman" w:eastAsia="宋体" w:cs="宋体"/>
                <w:color w:val="auto"/>
                <w:sz w:val="24"/>
              </w:rPr>
            </w:pPr>
            <w:r>
              <w:rPr>
                <w:rFonts w:hint="eastAsia" w:ascii="Times New Roman" w:hAnsi="Times New Roman" w:eastAsia="宋体" w:cs="宋体"/>
                <w:color w:val="auto"/>
                <w:sz w:val="24"/>
              </w:rPr>
              <w:t>□技术改造</w:t>
            </w:r>
          </w:p>
        </w:tc>
        <w:tc>
          <w:tcPr>
            <w:tcW w:w="1386" w:type="dxa"/>
            <w:noWrap w:val="0"/>
            <w:vAlign w:val="center"/>
          </w:tcPr>
          <w:p w14:paraId="46298B4D">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宋体"/>
                <w:color w:val="auto"/>
                <w:sz w:val="24"/>
              </w:rPr>
            </w:pPr>
            <w:r>
              <w:rPr>
                <w:rFonts w:hint="eastAsia" w:ascii="Times New Roman" w:hAnsi="Times New Roman" w:eastAsia="宋体" w:cs="宋体"/>
                <w:color w:val="auto"/>
                <w:sz w:val="24"/>
              </w:rPr>
              <w:t>建设项目</w:t>
            </w:r>
          </w:p>
          <w:p w14:paraId="3100C0B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宋体"/>
                <w:color w:val="auto"/>
                <w:sz w:val="24"/>
              </w:rPr>
            </w:pPr>
            <w:r>
              <w:rPr>
                <w:rFonts w:hint="eastAsia" w:ascii="Times New Roman" w:hAnsi="Times New Roman" w:eastAsia="宋体" w:cs="宋体"/>
                <w:color w:val="auto"/>
                <w:sz w:val="24"/>
              </w:rPr>
              <w:t>申报情形</w:t>
            </w:r>
          </w:p>
        </w:tc>
        <w:tc>
          <w:tcPr>
            <w:tcW w:w="3702" w:type="dxa"/>
            <w:gridSpan w:val="2"/>
            <w:noWrap w:val="0"/>
            <w:vAlign w:val="center"/>
          </w:tcPr>
          <w:p w14:paraId="42D97428">
            <w:pPr>
              <w:keepNext w:val="0"/>
              <w:keepLines w:val="0"/>
              <w:suppressLineNumbers w:val="0"/>
              <w:spacing w:before="0" w:beforeAutospacing="0" w:after="0" w:afterAutospacing="0"/>
              <w:ind w:left="0" w:right="0"/>
              <w:jc w:val="left"/>
              <w:rPr>
                <w:rFonts w:hint="eastAsia" w:ascii="Times New Roman" w:hAnsi="Times New Roman" w:eastAsia="宋体" w:cs="宋体"/>
                <w:color w:val="auto"/>
                <w:sz w:val="24"/>
              </w:rPr>
            </w:pPr>
            <w:r>
              <w:rPr>
                <w:rFonts w:hint="eastAsia" w:ascii="Times New Roman" w:hAnsi="Times New Roman" w:eastAsia="宋体" w:cs="宋体"/>
                <w:color w:val="auto"/>
                <w:sz w:val="24"/>
                <w:lang w:eastAsia="zh-CN"/>
              </w:rPr>
              <w:t>☑</w:t>
            </w:r>
            <w:r>
              <w:rPr>
                <w:rFonts w:hint="eastAsia" w:ascii="Times New Roman" w:hAnsi="Times New Roman" w:eastAsia="宋体" w:cs="宋体"/>
                <w:color w:val="auto"/>
                <w:sz w:val="24"/>
              </w:rPr>
              <w:t>首次申报项目</w:t>
            </w:r>
          </w:p>
          <w:p w14:paraId="175871AC">
            <w:pPr>
              <w:keepNext w:val="0"/>
              <w:keepLines w:val="0"/>
              <w:suppressLineNumbers w:val="0"/>
              <w:spacing w:before="0" w:beforeAutospacing="0" w:after="0" w:afterAutospacing="0"/>
              <w:ind w:left="0" w:right="0"/>
              <w:jc w:val="left"/>
              <w:rPr>
                <w:rFonts w:hint="eastAsia" w:ascii="Times New Roman" w:hAnsi="Times New Roman" w:eastAsia="宋体" w:cs="宋体"/>
                <w:color w:val="auto"/>
                <w:sz w:val="24"/>
              </w:rPr>
            </w:pPr>
            <w:r>
              <w:rPr>
                <w:rFonts w:hint="eastAsia" w:ascii="Times New Roman" w:hAnsi="Times New Roman" w:eastAsia="宋体" w:cs="宋体"/>
                <w:color w:val="auto"/>
                <w:sz w:val="24"/>
              </w:rPr>
              <w:t>□不予批准后再次申报项目</w:t>
            </w:r>
          </w:p>
          <w:p w14:paraId="15F098D9">
            <w:pPr>
              <w:keepNext w:val="0"/>
              <w:keepLines w:val="0"/>
              <w:suppressLineNumbers w:val="0"/>
              <w:spacing w:before="0" w:beforeAutospacing="0" w:after="0" w:afterAutospacing="0"/>
              <w:ind w:left="0" w:right="0"/>
              <w:jc w:val="left"/>
              <w:rPr>
                <w:rFonts w:hint="eastAsia" w:ascii="Times New Roman" w:hAnsi="Times New Roman" w:eastAsia="宋体" w:cs="宋体"/>
                <w:color w:val="auto"/>
                <w:sz w:val="24"/>
              </w:rPr>
            </w:pPr>
            <w:r>
              <w:rPr>
                <w:rFonts w:hint="eastAsia" w:ascii="Times New Roman" w:hAnsi="Times New Roman" w:eastAsia="宋体" w:cs="宋体"/>
                <w:color w:val="auto"/>
                <w:sz w:val="24"/>
              </w:rPr>
              <w:t>□超五年重新审核项目</w:t>
            </w:r>
          </w:p>
          <w:p w14:paraId="3566CBB7">
            <w:pPr>
              <w:keepNext w:val="0"/>
              <w:keepLines w:val="0"/>
              <w:suppressLineNumbers w:val="0"/>
              <w:spacing w:before="0" w:beforeAutospacing="0" w:after="0" w:afterAutospacing="0"/>
              <w:ind w:left="0" w:right="0"/>
              <w:jc w:val="left"/>
              <w:rPr>
                <w:rFonts w:hint="eastAsia" w:ascii="Times New Roman" w:hAnsi="Times New Roman" w:eastAsia="宋体" w:cs="宋体"/>
                <w:color w:val="auto"/>
                <w:sz w:val="24"/>
              </w:rPr>
            </w:pPr>
            <w:r>
              <w:rPr>
                <w:rFonts w:hint="eastAsia" w:ascii="Times New Roman" w:hAnsi="Times New Roman" w:eastAsia="宋体" w:cs="宋体"/>
                <w:color w:val="auto"/>
                <w:sz w:val="24"/>
              </w:rPr>
              <w:t>□重大变动重新报批项目</w:t>
            </w:r>
          </w:p>
        </w:tc>
      </w:tr>
      <w:tr w14:paraId="07BA3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71FFFFD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项目备案部门</w:t>
            </w:r>
          </w:p>
        </w:tc>
        <w:tc>
          <w:tcPr>
            <w:tcW w:w="2568" w:type="dxa"/>
            <w:gridSpan w:val="2"/>
            <w:noWrap w:val="0"/>
            <w:vAlign w:val="center"/>
          </w:tcPr>
          <w:p w14:paraId="6F1EA71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新疆生产建设兵团第七师一三一团经济发展办公室</w:t>
            </w:r>
          </w:p>
        </w:tc>
        <w:tc>
          <w:tcPr>
            <w:tcW w:w="1386" w:type="dxa"/>
            <w:noWrap w:val="0"/>
            <w:vAlign w:val="center"/>
          </w:tcPr>
          <w:p w14:paraId="339A9C8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项目备案文号</w:t>
            </w:r>
          </w:p>
        </w:tc>
        <w:tc>
          <w:tcPr>
            <w:tcW w:w="3702" w:type="dxa"/>
            <w:gridSpan w:val="2"/>
            <w:noWrap w:val="0"/>
            <w:vAlign w:val="center"/>
          </w:tcPr>
          <w:p w14:paraId="148B818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ascii="Times New Roman" w:hAnsi="Times New Roman" w:cs="Times New Roman"/>
                <w:color w:val="auto"/>
                <w:sz w:val="24"/>
                <w:lang w:val="en-US" w:eastAsia="zh-CN"/>
              </w:rPr>
              <w:t>经发办备〔2025〕15号</w:t>
            </w:r>
          </w:p>
        </w:tc>
      </w:tr>
      <w:tr w14:paraId="4999E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33AD4EEE">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lang w:eastAsia="zh-CN"/>
              </w:rPr>
            </w:pPr>
            <w:r>
              <w:rPr>
                <w:rFonts w:hint="default" w:ascii="Times New Roman" w:hAnsi="Times New Roman" w:eastAsia="宋体" w:cs="Times New Roman"/>
                <w:color w:val="auto"/>
                <w:sz w:val="24"/>
              </w:rPr>
              <w:t>总投资（万元</w:t>
            </w:r>
            <w:r>
              <w:rPr>
                <w:rFonts w:hint="eastAsia" w:ascii="Times New Roman" w:hAnsi="Times New Roman" w:cs="Times New Roman"/>
                <w:color w:val="auto"/>
                <w:sz w:val="24"/>
                <w:lang w:eastAsia="zh-CN"/>
              </w:rPr>
              <w:t>）</w:t>
            </w:r>
          </w:p>
        </w:tc>
        <w:tc>
          <w:tcPr>
            <w:tcW w:w="2568" w:type="dxa"/>
            <w:gridSpan w:val="2"/>
            <w:noWrap w:val="0"/>
            <w:vAlign w:val="center"/>
          </w:tcPr>
          <w:p w14:paraId="43537BC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kern w:val="0"/>
                <w:sz w:val="24"/>
                <w:highlight w:val="none"/>
                <w:lang w:val="en-US" w:eastAsia="zh-CN"/>
              </w:rPr>
              <w:t>4000</w:t>
            </w:r>
          </w:p>
        </w:tc>
        <w:tc>
          <w:tcPr>
            <w:tcW w:w="1386" w:type="dxa"/>
            <w:noWrap w:val="0"/>
            <w:tcMar>
              <w:top w:w="16" w:type="dxa"/>
              <w:left w:w="16" w:type="dxa"/>
              <w:right w:w="16" w:type="dxa"/>
            </w:tcMar>
            <w:vAlign w:val="center"/>
          </w:tcPr>
          <w:p w14:paraId="196C3EB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环保投资（万元</w:t>
            </w:r>
            <w:r>
              <w:rPr>
                <w:rFonts w:hint="eastAsia" w:ascii="Times New Roman" w:hAnsi="Times New Roman" w:cs="Times New Roman"/>
                <w:color w:val="auto"/>
                <w:sz w:val="24"/>
                <w:highlight w:val="none"/>
                <w:lang w:eastAsia="zh-CN"/>
              </w:rPr>
              <w:t>）</w:t>
            </w:r>
          </w:p>
        </w:tc>
        <w:tc>
          <w:tcPr>
            <w:tcW w:w="3702" w:type="dxa"/>
            <w:gridSpan w:val="2"/>
            <w:noWrap w:val="0"/>
            <w:vAlign w:val="center"/>
          </w:tcPr>
          <w:p w14:paraId="200EDBD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68.5</w:t>
            </w:r>
          </w:p>
        </w:tc>
      </w:tr>
      <w:tr w14:paraId="4A4E5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7F5CBD43">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lang w:eastAsia="zh-CN"/>
              </w:rPr>
            </w:pPr>
            <w:r>
              <w:rPr>
                <w:rFonts w:hint="default" w:ascii="Times New Roman" w:hAnsi="Times New Roman" w:eastAsia="宋体" w:cs="Times New Roman"/>
                <w:color w:val="auto"/>
                <w:sz w:val="24"/>
              </w:rPr>
              <w:t>环保投资占比（%</w:t>
            </w:r>
            <w:r>
              <w:rPr>
                <w:rFonts w:hint="eastAsia" w:ascii="Times New Roman" w:hAnsi="Times New Roman" w:cs="Times New Roman"/>
                <w:color w:val="auto"/>
                <w:sz w:val="24"/>
                <w:lang w:eastAsia="zh-CN"/>
              </w:rPr>
              <w:t>）</w:t>
            </w:r>
          </w:p>
        </w:tc>
        <w:tc>
          <w:tcPr>
            <w:tcW w:w="2568" w:type="dxa"/>
            <w:gridSpan w:val="2"/>
            <w:noWrap w:val="0"/>
            <w:vAlign w:val="center"/>
          </w:tcPr>
          <w:p w14:paraId="6E8C3F9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1.71</w:t>
            </w:r>
          </w:p>
        </w:tc>
        <w:tc>
          <w:tcPr>
            <w:tcW w:w="1386" w:type="dxa"/>
            <w:noWrap w:val="0"/>
            <w:tcMar>
              <w:top w:w="16" w:type="dxa"/>
              <w:left w:w="16" w:type="dxa"/>
              <w:right w:w="16" w:type="dxa"/>
            </w:tcMar>
            <w:vAlign w:val="center"/>
          </w:tcPr>
          <w:p w14:paraId="10B9DA1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施工工期</w:t>
            </w:r>
          </w:p>
        </w:tc>
        <w:tc>
          <w:tcPr>
            <w:tcW w:w="3702" w:type="dxa"/>
            <w:gridSpan w:val="2"/>
            <w:noWrap w:val="0"/>
            <w:vAlign w:val="center"/>
          </w:tcPr>
          <w:p w14:paraId="6BBCF49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szCs w:val="24"/>
                <w:highlight w:val="none"/>
                <w:lang w:val="en-US" w:eastAsia="zh-CN"/>
              </w:rPr>
              <w:t>10个月</w:t>
            </w:r>
          </w:p>
        </w:tc>
      </w:tr>
      <w:tr w14:paraId="7526CE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59" w:type="dxa"/>
            <w:gridSpan w:val="2"/>
            <w:noWrap w:val="0"/>
            <w:tcMar>
              <w:top w:w="16" w:type="dxa"/>
              <w:left w:w="16" w:type="dxa"/>
              <w:right w:w="16" w:type="dxa"/>
            </w:tcMar>
            <w:vAlign w:val="center"/>
          </w:tcPr>
          <w:p w14:paraId="52B842E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是否开工建设</w:t>
            </w:r>
          </w:p>
        </w:tc>
        <w:tc>
          <w:tcPr>
            <w:tcW w:w="2568" w:type="dxa"/>
            <w:gridSpan w:val="2"/>
            <w:noWrap w:val="0"/>
            <w:vAlign w:val="center"/>
          </w:tcPr>
          <w:p w14:paraId="5870920A">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否</w:t>
            </w:r>
          </w:p>
          <w:p w14:paraId="55EA6D21">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color w:val="auto"/>
                <w:sz w:val="24"/>
                <w:highlight w:val="yellow"/>
                <w:lang w:val="en-US" w:eastAsia="zh-CN"/>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是</w:t>
            </w:r>
            <w:r>
              <w:rPr>
                <w:rFonts w:hint="eastAsia" w:cs="Times New Roman"/>
                <w:color w:val="auto"/>
                <w:sz w:val="24"/>
                <w:highlight w:val="none"/>
                <w:lang w:eastAsia="zh-CN"/>
              </w:rPr>
              <w:t>：</w:t>
            </w:r>
            <w:r>
              <w:rPr>
                <w:rFonts w:hint="eastAsia" w:cs="Times New Roman"/>
                <w:color w:val="auto"/>
                <w:sz w:val="24"/>
                <w:highlight w:val="none"/>
                <w:u w:val="single"/>
                <w:lang w:val="en-US" w:eastAsia="zh-CN"/>
              </w:rPr>
              <w:t>厂区内已建成1座10000吨粮仓、2座2000吨粮仓、厂房的钢架结构及部分硬化，本项目目前处于停工状态，正在及时办理环保手续。</w:t>
            </w:r>
          </w:p>
        </w:tc>
        <w:tc>
          <w:tcPr>
            <w:tcW w:w="1386" w:type="dxa"/>
            <w:noWrap w:val="0"/>
            <w:tcMar>
              <w:top w:w="16" w:type="dxa"/>
              <w:left w:w="16" w:type="dxa"/>
              <w:right w:w="16" w:type="dxa"/>
            </w:tcMar>
            <w:vAlign w:val="center"/>
          </w:tcPr>
          <w:p w14:paraId="129E8EE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highlight w:val="yellow"/>
                <w:lang w:eastAsia="zh-CN"/>
              </w:rPr>
            </w:pPr>
            <w:r>
              <w:rPr>
                <w:rFonts w:hint="default" w:ascii="Times New Roman" w:hAnsi="Times New Roman" w:eastAsia="宋体" w:cs="Times New Roman"/>
                <w:color w:val="auto"/>
                <w:spacing w:val="-6"/>
                <w:sz w:val="24"/>
                <w:highlight w:val="none"/>
              </w:rPr>
              <w:t>用地面积（m</w:t>
            </w:r>
            <w:r>
              <w:rPr>
                <w:rFonts w:hint="default" w:ascii="Times New Roman" w:hAnsi="Times New Roman" w:eastAsia="宋体" w:cs="Times New Roman"/>
                <w:color w:val="auto"/>
                <w:spacing w:val="-6"/>
                <w:sz w:val="24"/>
                <w:highlight w:val="none"/>
                <w:vertAlign w:val="superscript"/>
              </w:rPr>
              <w:t>2</w:t>
            </w:r>
            <w:r>
              <w:rPr>
                <w:rFonts w:hint="eastAsia" w:ascii="Times New Roman" w:hAnsi="Times New Roman" w:cs="Times New Roman"/>
                <w:color w:val="auto"/>
                <w:spacing w:val="-6"/>
                <w:sz w:val="24"/>
                <w:highlight w:val="none"/>
                <w:lang w:eastAsia="zh-CN"/>
              </w:rPr>
              <w:t>）</w:t>
            </w:r>
          </w:p>
        </w:tc>
        <w:tc>
          <w:tcPr>
            <w:tcW w:w="3702" w:type="dxa"/>
            <w:gridSpan w:val="2"/>
            <w:noWrap w:val="0"/>
            <w:vAlign w:val="center"/>
          </w:tcPr>
          <w:p w14:paraId="6CFF0301">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Chars="0" w:right="0"/>
              <w:jc w:val="center"/>
              <w:textAlignment w:val="auto"/>
              <w:rPr>
                <w:rFonts w:hint="default" w:ascii="Times New Roman" w:hAnsi="Times New Roman" w:eastAsia="宋体" w:cs="Times New Roman"/>
                <w:color w:val="auto"/>
                <w:sz w:val="24"/>
                <w:highlight w:val="none"/>
                <w:vertAlign w:val="baseline"/>
                <w:lang w:val="en-US" w:eastAsia="zh-CN"/>
              </w:rPr>
            </w:pPr>
            <w:r>
              <w:rPr>
                <w:rFonts w:hint="eastAsia" w:ascii="Times New Roman" w:hAnsi="Times New Roman" w:eastAsia="宋体" w:cs="Times New Roman"/>
                <w:color w:val="auto"/>
                <w:sz w:val="24"/>
                <w:highlight w:val="none"/>
                <w:lang w:val="en-US" w:eastAsia="zh-CN"/>
              </w:rPr>
              <w:t>35835.27</w:t>
            </w:r>
          </w:p>
        </w:tc>
      </w:tr>
      <w:tr w14:paraId="1CF54C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9" w:type="dxa"/>
            <w:gridSpan w:val="2"/>
            <w:noWrap w:val="0"/>
            <w:vAlign w:val="center"/>
          </w:tcPr>
          <w:p w14:paraId="5C60B4C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专项评价设置情况</w:t>
            </w:r>
          </w:p>
        </w:tc>
        <w:tc>
          <w:tcPr>
            <w:tcW w:w="7656" w:type="dxa"/>
            <w:gridSpan w:val="5"/>
            <w:noWrap w:val="0"/>
            <w:vAlign w:val="center"/>
          </w:tcPr>
          <w:p w14:paraId="3C09B6EE">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4"/>
              </w:rPr>
            </w:pPr>
            <w:r>
              <w:rPr>
                <w:rFonts w:hint="eastAsia" w:ascii="Times New Roman" w:hAnsi="Times New Roman" w:eastAsia="宋体" w:cs="Times New Roman"/>
                <w:color w:val="auto"/>
                <w:kern w:val="2"/>
                <w:sz w:val="24"/>
                <w:lang w:val="en-US" w:eastAsia="zh-CN"/>
              </w:rPr>
              <w:t>无</w:t>
            </w:r>
          </w:p>
        </w:tc>
      </w:tr>
      <w:tr w14:paraId="7CCDEE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9" w:type="dxa"/>
            <w:gridSpan w:val="2"/>
            <w:noWrap w:val="0"/>
            <w:vAlign w:val="center"/>
          </w:tcPr>
          <w:p w14:paraId="5FA2EAD2">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sz w:val="24"/>
              </w:rPr>
              <w:t>规划情况</w:t>
            </w:r>
          </w:p>
        </w:tc>
        <w:tc>
          <w:tcPr>
            <w:tcW w:w="7656" w:type="dxa"/>
            <w:gridSpan w:val="5"/>
            <w:noWrap w:val="0"/>
            <w:vAlign w:val="center"/>
          </w:tcPr>
          <w:p w14:paraId="022AE307">
            <w:pPr>
              <w:keepNext w:val="0"/>
              <w:keepLines w:val="0"/>
              <w:suppressLineNumbers w:val="0"/>
              <w:spacing w:before="0" w:beforeAutospacing="0" w:after="0" w:afterAutospacing="0" w:line="240" w:lineRule="auto"/>
              <w:ind w:left="0" w:right="0" w:firstLine="0" w:firstLineChars="0"/>
              <w:jc w:val="center"/>
              <w:rPr>
                <w:rFonts w:hint="default"/>
                <w:color w:val="auto"/>
                <w:lang w:val="en-US" w:eastAsia="zh-CN"/>
              </w:rPr>
            </w:pPr>
            <w:r>
              <w:rPr>
                <w:rFonts w:hint="eastAsia"/>
                <w:color w:val="auto"/>
                <w:lang w:val="en-US" w:eastAsia="zh-CN"/>
              </w:rPr>
              <w:t>无</w:t>
            </w:r>
          </w:p>
        </w:tc>
      </w:tr>
      <w:tr w14:paraId="35F92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9" w:type="dxa"/>
            <w:gridSpan w:val="2"/>
            <w:noWrap w:val="0"/>
            <w:vAlign w:val="center"/>
          </w:tcPr>
          <w:p w14:paraId="4CAD0E8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sz w:val="24"/>
              </w:rPr>
              <w:t>规划环境影响评价情况</w:t>
            </w:r>
          </w:p>
        </w:tc>
        <w:tc>
          <w:tcPr>
            <w:tcW w:w="7656" w:type="dxa"/>
            <w:gridSpan w:val="5"/>
            <w:noWrap w:val="0"/>
            <w:vAlign w:val="center"/>
          </w:tcPr>
          <w:p w14:paraId="40DE3FA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无</w:t>
            </w:r>
          </w:p>
        </w:tc>
      </w:tr>
      <w:tr w14:paraId="083349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9" w:type="dxa"/>
            <w:gridSpan w:val="2"/>
            <w:noWrap w:val="0"/>
            <w:vAlign w:val="center"/>
          </w:tcPr>
          <w:p w14:paraId="37D50A79">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规划及规划环境影响评价符合性分析</w:t>
            </w:r>
          </w:p>
        </w:tc>
        <w:tc>
          <w:tcPr>
            <w:tcW w:w="7656" w:type="dxa"/>
            <w:gridSpan w:val="5"/>
            <w:noWrap w:val="0"/>
            <w:vAlign w:val="center"/>
          </w:tcPr>
          <w:p w14:paraId="1BB702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无</w:t>
            </w:r>
          </w:p>
        </w:tc>
      </w:tr>
      <w:tr w14:paraId="31B58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03" w:type="dxa"/>
            <w:noWrap w:val="0"/>
            <w:vAlign w:val="center"/>
          </w:tcPr>
          <w:p w14:paraId="1E09D326">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其他符合性分析</w:t>
            </w:r>
          </w:p>
        </w:tc>
        <w:tc>
          <w:tcPr>
            <w:tcW w:w="8412" w:type="dxa"/>
            <w:gridSpan w:val="6"/>
            <w:noWrap w:val="0"/>
            <w:vAlign w:val="center"/>
          </w:tcPr>
          <w:p w14:paraId="72237530">
            <w:pPr>
              <w:keepNext w:val="0"/>
              <w:keepLines w:val="0"/>
              <w:pageBreakBefore w:val="0"/>
              <w:widowControl w:val="0"/>
              <w:numPr>
                <w:ilvl w:val="0"/>
                <w:numId w:val="6"/>
              </w:numPr>
              <w:suppressLineNumbers w:val="0"/>
              <w:kinsoku/>
              <w:wordWrap/>
              <w:overflowPunct/>
              <w:topLinePunct w:val="0"/>
              <w:bidi w:val="0"/>
              <w:snapToGrid/>
              <w:spacing w:before="0" w:beforeAutospacing="0" w:after="0" w:afterAutospacing="0" w:line="360" w:lineRule="auto"/>
              <w:ind w:left="0" w:right="0"/>
              <w:jc w:val="both"/>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产业政策符合性分析</w:t>
            </w:r>
          </w:p>
          <w:p w14:paraId="3B2AB32F">
            <w:pPr>
              <w:keepNext w:val="0"/>
              <w:keepLines w:val="0"/>
              <w:pageBreakBefore w:val="0"/>
              <w:widowControl w:val="0"/>
              <w:numPr>
                <w:ilvl w:val="1"/>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2"/>
                <w:sz w:val="24"/>
                <w:szCs w:val="32"/>
                <w:highlight w:val="none"/>
                <w:lang w:val="en-US" w:eastAsia="zh-CN"/>
              </w:rPr>
            </w:pPr>
            <w:r>
              <w:rPr>
                <w:rFonts w:hint="default" w:ascii="Times New Roman" w:hAnsi="Times New Roman" w:eastAsia="宋体" w:cs="Times New Roman"/>
                <w:b/>
                <w:bCs/>
                <w:color w:val="auto"/>
                <w:kern w:val="2"/>
                <w:sz w:val="24"/>
                <w:szCs w:val="32"/>
                <w:lang w:val="en-US" w:eastAsia="zh-CN" w:bidi="ar-SA"/>
              </w:rPr>
              <w:t>1.1</w:t>
            </w:r>
            <w:r>
              <w:rPr>
                <w:rFonts w:hint="eastAsia" w:ascii="Times New Roman" w:hAnsi="Times New Roman" w:eastAsia="宋体" w:cs="Times New Roman"/>
                <w:b/>
                <w:bCs/>
                <w:color w:val="auto"/>
                <w:kern w:val="2"/>
                <w:sz w:val="24"/>
                <w:szCs w:val="32"/>
                <w:lang w:val="en-US" w:eastAsia="zh-CN" w:bidi="ar-SA"/>
              </w:rPr>
              <w:t xml:space="preserve"> </w:t>
            </w:r>
            <w:r>
              <w:rPr>
                <w:rFonts w:hint="eastAsia" w:cs="Times New Roman"/>
                <w:b/>
                <w:bCs/>
                <w:color w:val="auto"/>
                <w:kern w:val="2"/>
                <w:sz w:val="24"/>
                <w:szCs w:val="32"/>
                <w:highlight w:val="none"/>
                <w:lang w:val="en-US" w:eastAsia="zh-CN"/>
              </w:rPr>
              <w:t>与</w:t>
            </w:r>
            <w:r>
              <w:rPr>
                <w:rFonts w:hint="default" w:ascii="Times New Roman" w:hAnsi="Times New Roman" w:eastAsia="宋体" w:cs="Times New Roman"/>
                <w:b/>
                <w:bCs/>
                <w:color w:val="auto"/>
                <w:kern w:val="2"/>
                <w:sz w:val="24"/>
                <w:szCs w:val="32"/>
                <w:highlight w:val="none"/>
              </w:rPr>
              <w:t>《产业结构调整指导目录（202</w:t>
            </w:r>
            <w:r>
              <w:rPr>
                <w:rFonts w:hint="eastAsia" w:ascii="Times New Roman" w:hAnsi="Times New Roman" w:eastAsia="宋体" w:cs="Times New Roman"/>
                <w:b/>
                <w:bCs/>
                <w:color w:val="auto"/>
                <w:kern w:val="2"/>
                <w:sz w:val="24"/>
                <w:szCs w:val="32"/>
                <w:highlight w:val="none"/>
                <w:lang w:val="en-US" w:eastAsia="zh-CN"/>
              </w:rPr>
              <w:t>4</w:t>
            </w:r>
            <w:r>
              <w:rPr>
                <w:rFonts w:hint="default" w:ascii="Times New Roman" w:hAnsi="Times New Roman" w:eastAsia="宋体" w:cs="Times New Roman"/>
                <w:b/>
                <w:bCs/>
                <w:color w:val="auto"/>
                <w:kern w:val="2"/>
                <w:sz w:val="24"/>
                <w:szCs w:val="32"/>
                <w:highlight w:val="none"/>
              </w:rPr>
              <w:t>年</w:t>
            </w:r>
            <w:r>
              <w:rPr>
                <w:rFonts w:hint="eastAsia" w:ascii="Times New Roman" w:hAnsi="Times New Roman" w:eastAsia="宋体" w:cs="Times New Roman"/>
                <w:b/>
                <w:bCs/>
                <w:color w:val="auto"/>
                <w:kern w:val="2"/>
                <w:sz w:val="24"/>
                <w:szCs w:val="32"/>
                <w:highlight w:val="none"/>
                <w:lang w:val="en-US" w:eastAsia="zh-CN"/>
              </w:rPr>
              <w:t>本</w:t>
            </w:r>
            <w:r>
              <w:rPr>
                <w:rFonts w:hint="eastAsia" w:ascii="Times New Roman" w:hAnsi="Times New Roman" w:cs="Times New Roman"/>
                <w:b/>
                <w:bCs/>
                <w:color w:val="auto"/>
                <w:kern w:val="2"/>
                <w:sz w:val="24"/>
                <w:szCs w:val="32"/>
                <w:highlight w:val="none"/>
                <w:lang w:eastAsia="zh-CN"/>
              </w:rPr>
              <w:t>）</w:t>
            </w:r>
            <w:r>
              <w:rPr>
                <w:rFonts w:hint="default" w:ascii="Times New Roman" w:hAnsi="Times New Roman" w:eastAsia="宋体" w:cs="Times New Roman"/>
                <w:b/>
                <w:bCs/>
                <w:color w:val="auto"/>
                <w:kern w:val="2"/>
                <w:sz w:val="24"/>
                <w:szCs w:val="32"/>
                <w:highlight w:val="none"/>
              </w:rPr>
              <w:t>》</w:t>
            </w:r>
            <w:r>
              <w:rPr>
                <w:rFonts w:hint="eastAsia" w:ascii="Times New Roman" w:hAnsi="Times New Roman" w:eastAsia="宋体" w:cs="Times New Roman"/>
                <w:b/>
                <w:bCs/>
                <w:color w:val="auto"/>
                <w:kern w:val="2"/>
                <w:sz w:val="24"/>
                <w:szCs w:val="32"/>
                <w:highlight w:val="none"/>
                <w:lang w:val="en-US" w:eastAsia="zh-CN"/>
              </w:rPr>
              <w:t>符合性分析</w:t>
            </w:r>
          </w:p>
          <w:p w14:paraId="68C43290">
            <w:pPr>
              <w:keepNext w:val="0"/>
              <w:keepLines w:val="0"/>
              <w:pageBreakBefore w:val="0"/>
              <w:widowControl w:val="0"/>
              <w:numPr>
                <w:ilvl w:val="1"/>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textAlignment w:val="auto"/>
              <w:rPr>
                <w:rFonts w:hint="eastAsia"/>
                <w:color w:val="auto"/>
                <w:sz w:val="24"/>
                <w:szCs w:val="24"/>
              </w:rPr>
            </w:pPr>
            <w:r>
              <w:rPr>
                <w:rFonts w:hint="default" w:ascii="Times New Roman" w:hAnsi="Times New Roman" w:eastAsia="宋体" w:cs="Times New Roman"/>
                <w:color w:val="auto"/>
                <w:kern w:val="2"/>
                <w:sz w:val="24"/>
                <w:szCs w:val="32"/>
                <w:highlight w:val="none"/>
              </w:rPr>
              <w:t>根据《产业结构调整指导目录（202</w:t>
            </w:r>
            <w:r>
              <w:rPr>
                <w:rFonts w:hint="eastAsia" w:ascii="Times New Roman" w:hAnsi="Times New Roman" w:eastAsia="宋体" w:cs="Times New Roman"/>
                <w:color w:val="auto"/>
                <w:kern w:val="2"/>
                <w:sz w:val="24"/>
                <w:szCs w:val="32"/>
                <w:highlight w:val="none"/>
                <w:lang w:val="en-US" w:eastAsia="zh-CN"/>
              </w:rPr>
              <w:t>4</w:t>
            </w:r>
            <w:r>
              <w:rPr>
                <w:rFonts w:hint="default" w:ascii="Times New Roman" w:hAnsi="Times New Roman" w:eastAsia="宋体" w:cs="Times New Roman"/>
                <w:color w:val="auto"/>
                <w:kern w:val="2"/>
                <w:sz w:val="24"/>
                <w:szCs w:val="32"/>
                <w:highlight w:val="none"/>
              </w:rPr>
              <w:t>年</w:t>
            </w:r>
            <w:r>
              <w:rPr>
                <w:rFonts w:hint="eastAsia" w:ascii="Times New Roman" w:hAnsi="Times New Roman" w:eastAsia="宋体" w:cs="Times New Roman"/>
                <w:color w:val="auto"/>
                <w:kern w:val="2"/>
                <w:sz w:val="24"/>
                <w:szCs w:val="32"/>
                <w:highlight w:val="none"/>
                <w:lang w:val="en-US" w:eastAsia="zh-CN"/>
              </w:rPr>
              <w:t>本</w:t>
            </w:r>
            <w:r>
              <w:rPr>
                <w:rFonts w:hint="eastAsia" w:ascii="Times New Roman" w:hAnsi="Times New Roman" w:cs="Times New Roman"/>
                <w:color w:val="auto"/>
                <w:kern w:val="2"/>
                <w:sz w:val="24"/>
                <w:szCs w:val="32"/>
                <w:highlight w:val="none"/>
                <w:lang w:eastAsia="zh-CN"/>
              </w:rPr>
              <w:t>）</w:t>
            </w:r>
            <w:r>
              <w:rPr>
                <w:rFonts w:hint="default" w:ascii="Times New Roman" w:hAnsi="Times New Roman" w:eastAsia="宋体" w:cs="Times New Roman"/>
                <w:color w:val="auto"/>
                <w:kern w:val="2"/>
                <w:sz w:val="24"/>
                <w:szCs w:val="32"/>
                <w:highlight w:val="none"/>
              </w:rPr>
              <w:t>》，本项目不在其规定的</w:t>
            </w:r>
            <w:r>
              <w:rPr>
                <w:rFonts w:hint="eastAsia" w:ascii="Times New Roman" w:hAnsi="Times New Roman" w:cs="Times New Roman"/>
                <w:color w:val="auto"/>
                <w:kern w:val="2"/>
                <w:sz w:val="24"/>
                <w:szCs w:val="32"/>
                <w:highlight w:val="none"/>
                <w:lang w:eastAsia="zh-CN"/>
              </w:rPr>
              <w:t>“</w:t>
            </w:r>
            <w:r>
              <w:rPr>
                <w:rFonts w:hint="default" w:ascii="Times New Roman" w:hAnsi="Times New Roman" w:eastAsia="宋体" w:cs="Times New Roman"/>
                <w:color w:val="auto"/>
                <w:kern w:val="2"/>
                <w:sz w:val="24"/>
                <w:szCs w:val="32"/>
                <w:highlight w:val="none"/>
              </w:rPr>
              <w:t>鼓励类</w:t>
            </w:r>
            <w:r>
              <w:rPr>
                <w:rFonts w:hint="eastAsia" w:ascii="Times New Roman" w:hAnsi="Times New Roman" w:cs="Times New Roman"/>
                <w:color w:val="auto"/>
                <w:kern w:val="2"/>
                <w:sz w:val="24"/>
                <w:szCs w:val="32"/>
                <w:highlight w:val="none"/>
                <w:lang w:eastAsia="zh-CN"/>
              </w:rPr>
              <w:t>”“</w:t>
            </w:r>
            <w:r>
              <w:rPr>
                <w:rFonts w:hint="default" w:ascii="Times New Roman" w:hAnsi="Times New Roman" w:eastAsia="宋体" w:cs="Times New Roman"/>
                <w:color w:val="auto"/>
                <w:kern w:val="2"/>
                <w:sz w:val="24"/>
                <w:szCs w:val="32"/>
                <w:highlight w:val="none"/>
              </w:rPr>
              <w:t>限制类</w:t>
            </w:r>
            <w:r>
              <w:rPr>
                <w:rFonts w:hint="eastAsia" w:ascii="Times New Roman" w:hAnsi="Times New Roman" w:cs="Times New Roman"/>
                <w:color w:val="auto"/>
                <w:kern w:val="2"/>
                <w:sz w:val="24"/>
                <w:szCs w:val="32"/>
                <w:highlight w:val="none"/>
                <w:lang w:eastAsia="zh-CN"/>
              </w:rPr>
              <w:t>”</w:t>
            </w:r>
            <w:r>
              <w:rPr>
                <w:rFonts w:hint="default" w:ascii="Times New Roman" w:hAnsi="Times New Roman" w:eastAsia="宋体" w:cs="Times New Roman"/>
                <w:color w:val="auto"/>
                <w:kern w:val="2"/>
                <w:sz w:val="24"/>
                <w:szCs w:val="32"/>
                <w:highlight w:val="none"/>
              </w:rPr>
              <w:t>和</w:t>
            </w:r>
            <w:r>
              <w:rPr>
                <w:rFonts w:hint="eastAsia" w:ascii="Times New Roman" w:hAnsi="Times New Roman" w:cs="Times New Roman"/>
                <w:color w:val="auto"/>
                <w:kern w:val="2"/>
                <w:sz w:val="24"/>
                <w:szCs w:val="32"/>
                <w:highlight w:val="none"/>
                <w:lang w:eastAsia="zh-CN"/>
              </w:rPr>
              <w:t>“</w:t>
            </w:r>
            <w:r>
              <w:rPr>
                <w:rFonts w:hint="default" w:ascii="Times New Roman" w:hAnsi="Times New Roman" w:eastAsia="宋体" w:cs="Times New Roman"/>
                <w:color w:val="auto"/>
                <w:kern w:val="2"/>
                <w:sz w:val="24"/>
                <w:szCs w:val="32"/>
                <w:highlight w:val="none"/>
              </w:rPr>
              <w:t>淘汰类</w:t>
            </w:r>
            <w:r>
              <w:rPr>
                <w:rFonts w:hint="eastAsia" w:ascii="Times New Roman" w:hAnsi="Times New Roman" w:cs="Times New Roman"/>
                <w:color w:val="auto"/>
                <w:kern w:val="2"/>
                <w:sz w:val="24"/>
                <w:szCs w:val="32"/>
                <w:highlight w:val="none"/>
                <w:lang w:eastAsia="zh-CN"/>
              </w:rPr>
              <w:t>”</w:t>
            </w:r>
            <w:r>
              <w:rPr>
                <w:rFonts w:hint="default" w:ascii="Times New Roman" w:hAnsi="Times New Roman" w:eastAsia="宋体" w:cs="Times New Roman"/>
                <w:color w:val="auto"/>
                <w:kern w:val="2"/>
                <w:sz w:val="24"/>
                <w:szCs w:val="32"/>
                <w:highlight w:val="none"/>
              </w:rPr>
              <w:t>之列，可视为</w:t>
            </w:r>
            <w:r>
              <w:rPr>
                <w:rFonts w:hint="eastAsia" w:ascii="Times New Roman" w:hAnsi="Times New Roman" w:cs="Times New Roman"/>
                <w:color w:val="auto"/>
                <w:kern w:val="2"/>
                <w:sz w:val="24"/>
                <w:szCs w:val="32"/>
                <w:highlight w:val="none"/>
                <w:lang w:eastAsia="zh-CN"/>
              </w:rPr>
              <w:t>“</w:t>
            </w:r>
            <w:r>
              <w:rPr>
                <w:rFonts w:hint="default" w:ascii="Times New Roman" w:hAnsi="Times New Roman" w:eastAsia="宋体" w:cs="Times New Roman"/>
                <w:color w:val="auto"/>
                <w:kern w:val="2"/>
                <w:sz w:val="24"/>
                <w:szCs w:val="32"/>
                <w:highlight w:val="none"/>
              </w:rPr>
              <w:t>允许类</w:t>
            </w:r>
            <w:r>
              <w:rPr>
                <w:rFonts w:hint="eastAsia" w:ascii="Times New Roman" w:hAnsi="Times New Roman" w:cs="Times New Roman"/>
                <w:color w:val="auto"/>
                <w:kern w:val="2"/>
                <w:sz w:val="24"/>
                <w:szCs w:val="32"/>
                <w:highlight w:val="none"/>
                <w:lang w:eastAsia="zh-CN"/>
              </w:rPr>
              <w:t>”</w:t>
            </w:r>
            <w:r>
              <w:rPr>
                <w:rFonts w:hint="eastAsia" w:ascii="Times New Roman" w:hAnsi="Times New Roman" w:eastAsia="宋体" w:cs="Times New Roman"/>
                <w:color w:val="auto"/>
                <w:kern w:val="2"/>
                <w:sz w:val="24"/>
                <w:szCs w:val="32"/>
                <w:highlight w:val="none"/>
                <w:lang w:eastAsia="zh-CN"/>
              </w:rPr>
              <w:t>。</w:t>
            </w:r>
            <w:r>
              <w:rPr>
                <w:rFonts w:hint="eastAsia"/>
                <w:color w:val="auto"/>
                <w:sz w:val="24"/>
                <w:szCs w:val="24"/>
              </w:rPr>
              <w:t>经查阅，本项目不属于《市场准入负面清单（202</w:t>
            </w:r>
            <w:r>
              <w:rPr>
                <w:rFonts w:hint="eastAsia"/>
                <w:color w:val="auto"/>
                <w:sz w:val="24"/>
                <w:szCs w:val="24"/>
                <w:lang w:val="en-US" w:eastAsia="zh-CN"/>
              </w:rPr>
              <w:t>5</w:t>
            </w:r>
            <w:r>
              <w:rPr>
                <w:rFonts w:hint="eastAsia"/>
                <w:color w:val="auto"/>
                <w:sz w:val="24"/>
                <w:szCs w:val="24"/>
              </w:rPr>
              <w:t>年版）》中的禁止准入类项目</w:t>
            </w:r>
            <w:r>
              <w:rPr>
                <w:rFonts w:hint="eastAsia" w:cs="Times New Roman"/>
                <w:b w:val="0"/>
                <w:bCs w:val="0"/>
                <w:color w:val="auto"/>
                <w:sz w:val="24"/>
                <w:highlight w:val="none"/>
                <w:lang w:val="en-US" w:eastAsia="zh-CN"/>
              </w:rPr>
              <w:t>，</w:t>
            </w:r>
            <w:r>
              <w:rPr>
                <w:rFonts w:hint="eastAsia"/>
                <w:color w:val="auto"/>
                <w:sz w:val="24"/>
                <w:szCs w:val="24"/>
                <w:lang w:val="en-US" w:eastAsia="zh-CN"/>
              </w:rPr>
              <w:t>符合国家产业政策</w:t>
            </w:r>
            <w:r>
              <w:rPr>
                <w:rFonts w:hint="eastAsia"/>
                <w:color w:val="auto"/>
                <w:sz w:val="24"/>
                <w:szCs w:val="24"/>
              </w:rPr>
              <w:t>。</w:t>
            </w:r>
          </w:p>
          <w:p w14:paraId="17A38B7E">
            <w:pPr>
              <w:keepNext w:val="0"/>
              <w:keepLines w:val="0"/>
              <w:pageBreakBefore w:val="0"/>
              <w:widowControl w:val="0"/>
              <w:numPr>
                <w:ilvl w:val="1"/>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Times New Roman"/>
                <w:b/>
                <w:bCs/>
                <w:color w:val="auto"/>
                <w:kern w:val="2"/>
                <w:sz w:val="24"/>
                <w:szCs w:val="32"/>
                <w:highlight w:val="none"/>
                <w:lang w:val="en-US" w:eastAsia="zh-CN"/>
              </w:rPr>
            </w:pPr>
            <w:r>
              <w:rPr>
                <w:rFonts w:hint="default" w:ascii="Times New Roman" w:hAnsi="Times New Roman" w:eastAsia="宋体" w:cs="Times New Roman"/>
                <w:b/>
                <w:bCs/>
                <w:color w:val="auto"/>
                <w:kern w:val="2"/>
                <w:sz w:val="24"/>
                <w:szCs w:val="32"/>
                <w:lang w:val="en-US" w:eastAsia="zh-CN" w:bidi="ar-SA"/>
              </w:rPr>
              <w:t>1.</w:t>
            </w:r>
            <w:r>
              <w:rPr>
                <w:rFonts w:hint="eastAsia" w:ascii="Times New Roman" w:hAnsi="Times New Roman" w:eastAsia="宋体" w:cs="Times New Roman"/>
                <w:b/>
                <w:bCs/>
                <w:color w:val="auto"/>
                <w:kern w:val="2"/>
                <w:sz w:val="24"/>
                <w:szCs w:val="32"/>
                <w:lang w:val="en-US" w:eastAsia="zh-CN" w:bidi="ar-SA"/>
              </w:rPr>
              <w:t xml:space="preserve">2 </w:t>
            </w:r>
            <w:r>
              <w:rPr>
                <w:rFonts w:hint="eastAsia" w:cs="Times New Roman"/>
                <w:b/>
                <w:bCs/>
                <w:color w:val="auto"/>
                <w:kern w:val="2"/>
                <w:sz w:val="24"/>
                <w:szCs w:val="32"/>
                <w:highlight w:val="none"/>
                <w:lang w:val="en-US" w:eastAsia="zh-CN"/>
              </w:rPr>
              <w:t>与</w:t>
            </w:r>
            <w:r>
              <w:rPr>
                <w:rFonts w:hint="eastAsia" w:ascii="Times New Roman" w:hAnsi="Times New Roman" w:eastAsia="宋体" w:cs="Times New Roman"/>
                <w:b/>
                <w:bCs/>
                <w:color w:val="auto"/>
                <w:kern w:val="2"/>
                <w:sz w:val="24"/>
                <w:szCs w:val="32"/>
                <w:highlight w:val="none"/>
                <w:lang w:val="en-US" w:eastAsia="zh-CN"/>
              </w:rPr>
              <w:t>建设项目备案相符性分析</w:t>
            </w:r>
          </w:p>
          <w:p w14:paraId="18B0023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szCs w:val="24"/>
                <w:lang w:val="en-US" w:eastAsia="zh-CN"/>
              </w:rPr>
            </w:pPr>
            <w:r>
              <w:rPr>
                <w:rFonts w:hint="eastAsia"/>
                <w:color w:val="auto"/>
                <w:sz w:val="24"/>
                <w:szCs w:val="24"/>
                <w:lang w:val="en-US" w:eastAsia="zh-CN"/>
              </w:rPr>
              <w:t>2025年5月29日，胡杨河华优农业有限公司在</w:t>
            </w:r>
            <w:r>
              <w:rPr>
                <w:rFonts w:hint="eastAsia" w:cs="Times New Roman"/>
                <w:color w:val="auto"/>
                <w:sz w:val="24"/>
                <w:lang w:val="en-US" w:eastAsia="zh-CN"/>
              </w:rPr>
              <w:t>新疆生产建设兵团第七师一三一团经济发展办公室</w:t>
            </w:r>
            <w:r>
              <w:rPr>
                <w:rFonts w:hint="eastAsia"/>
                <w:color w:val="auto"/>
                <w:sz w:val="24"/>
                <w:szCs w:val="24"/>
                <w:lang w:val="en-US" w:eastAsia="zh-CN"/>
              </w:rPr>
              <w:t>备案，备案号为：</w:t>
            </w:r>
            <w:r>
              <w:rPr>
                <w:rFonts w:hint="eastAsia" w:ascii="Times New Roman" w:hAnsi="Times New Roman" w:cs="Times New Roman"/>
                <w:color w:val="auto"/>
                <w:sz w:val="24"/>
                <w:lang w:val="en-US" w:eastAsia="zh-CN"/>
              </w:rPr>
              <w:t>经发办备〔2025〕15号（</w:t>
            </w:r>
            <w:r>
              <w:rPr>
                <w:rFonts w:hint="eastAsia" w:ascii="Times New Roman" w:hAnsi="Times New Roman" w:cs="Times New Roman"/>
                <w:b/>
                <w:bCs/>
                <w:color w:val="auto"/>
                <w:sz w:val="24"/>
                <w:lang w:val="en-US" w:eastAsia="zh-CN"/>
              </w:rPr>
              <w:t>附件二</w:t>
            </w:r>
            <w:r>
              <w:rPr>
                <w:rFonts w:hint="eastAsia" w:ascii="Times New Roman" w:hAnsi="Times New Roman" w:cs="Times New Roman"/>
                <w:color w:val="auto"/>
                <w:sz w:val="24"/>
                <w:lang w:val="en-US" w:eastAsia="zh-CN"/>
              </w:rPr>
              <w:t>）</w:t>
            </w:r>
            <w:r>
              <w:rPr>
                <w:rFonts w:hint="eastAsia"/>
                <w:color w:val="auto"/>
                <w:sz w:val="24"/>
                <w:szCs w:val="24"/>
                <w:lang w:val="en-US" w:eastAsia="zh-CN"/>
              </w:rPr>
              <w:t>。本项目为备案证中建设项目一期工程，本项目与备案证相符性分析见表1-1。</w:t>
            </w:r>
          </w:p>
          <w:p w14:paraId="2C3293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b/>
                <w:bCs/>
                <w:color w:val="auto"/>
                <w:sz w:val="21"/>
                <w:szCs w:val="24"/>
                <w:lang w:val="en-US" w:eastAsia="zh-CN"/>
              </w:rPr>
            </w:pPr>
            <w:r>
              <w:rPr>
                <w:rFonts w:hint="eastAsia"/>
                <w:b/>
                <w:bCs/>
                <w:color w:val="auto"/>
                <w:sz w:val="21"/>
                <w:szCs w:val="24"/>
                <w:lang w:val="en-US" w:eastAsia="zh-CN"/>
              </w:rPr>
              <w:t>表1-1  本项目与备案证相符性分析一览表</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3030"/>
              <w:gridCol w:w="2951"/>
              <w:gridCol w:w="1540"/>
            </w:tblGrid>
            <w:tr w14:paraId="5973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 w:type="pct"/>
                  <w:vAlign w:val="center"/>
                </w:tcPr>
                <w:p w14:paraId="41A82F9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b/>
                      <w:bCs/>
                      <w:color w:val="auto"/>
                      <w:sz w:val="21"/>
                      <w:szCs w:val="21"/>
                      <w:vertAlign w:val="baseline"/>
                      <w:lang w:val="en-US" w:eastAsia="zh-CN"/>
                    </w:rPr>
                  </w:pPr>
                  <w:r>
                    <w:rPr>
                      <w:rFonts w:hint="eastAsia" w:ascii="Times New Roman" w:hAnsi="Times New Roman" w:eastAsia="宋体"/>
                      <w:b/>
                      <w:bCs/>
                      <w:color w:val="auto"/>
                      <w:sz w:val="21"/>
                      <w:szCs w:val="21"/>
                      <w:vertAlign w:val="baseline"/>
                      <w:lang w:val="en-US" w:eastAsia="zh-CN"/>
                    </w:rPr>
                    <w:t>类别</w:t>
                  </w:r>
                </w:p>
              </w:tc>
              <w:tc>
                <w:tcPr>
                  <w:tcW w:w="1850" w:type="pct"/>
                  <w:vAlign w:val="center"/>
                </w:tcPr>
                <w:p w14:paraId="5C4ECD3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b/>
                      <w:bCs/>
                      <w:color w:val="auto"/>
                      <w:sz w:val="21"/>
                      <w:szCs w:val="21"/>
                      <w:vertAlign w:val="baseline"/>
                      <w:lang w:val="en-US" w:eastAsia="zh-CN"/>
                    </w:rPr>
                  </w:pPr>
                  <w:r>
                    <w:rPr>
                      <w:rFonts w:hint="eastAsia" w:ascii="Times New Roman" w:hAnsi="Times New Roman" w:eastAsia="宋体"/>
                      <w:b/>
                      <w:bCs/>
                      <w:color w:val="auto"/>
                      <w:sz w:val="21"/>
                      <w:szCs w:val="21"/>
                      <w:vertAlign w:val="baseline"/>
                      <w:lang w:val="en-US" w:eastAsia="zh-CN"/>
                    </w:rPr>
                    <w:t>备案文件内容</w:t>
                  </w:r>
                </w:p>
              </w:tc>
              <w:tc>
                <w:tcPr>
                  <w:tcW w:w="1802" w:type="pct"/>
                  <w:vAlign w:val="center"/>
                </w:tcPr>
                <w:p w14:paraId="1BB0151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b/>
                      <w:bCs/>
                      <w:color w:val="auto"/>
                      <w:sz w:val="21"/>
                      <w:szCs w:val="21"/>
                      <w:vertAlign w:val="baseline"/>
                      <w:lang w:val="en-US" w:eastAsia="zh-CN"/>
                    </w:rPr>
                  </w:pPr>
                  <w:r>
                    <w:rPr>
                      <w:rFonts w:hint="eastAsia" w:ascii="Times New Roman" w:hAnsi="Times New Roman" w:eastAsia="宋体"/>
                      <w:b/>
                      <w:bCs/>
                      <w:color w:val="auto"/>
                      <w:sz w:val="21"/>
                      <w:szCs w:val="21"/>
                      <w:vertAlign w:val="baseline"/>
                      <w:lang w:val="en-US" w:eastAsia="zh-CN"/>
                    </w:rPr>
                    <w:t>本项目拟建设评价内容</w:t>
                  </w:r>
                </w:p>
              </w:tc>
              <w:tc>
                <w:tcPr>
                  <w:tcW w:w="940" w:type="pct"/>
                  <w:vAlign w:val="center"/>
                </w:tcPr>
                <w:p w14:paraId="5284914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b/>
                      <w:bCs/>
                      <w:color w:val="auto"/>
                      <w:sz w:val="21"/>
                      <w:szCs w:val="21"/>
                      <w:vertAlign w:val="baseline"/>
                      <w:lang w:val="en-US" w:eastAsia="zh-CN"/>
                    </w:rPr>
                  </w:pPr>
                  <w:r>
                    <w:rPr>
                      <w:rFonts w:hint="eastAsia" w:ascii="Times New Roman" w:hAnsi="Times New Roman" w:eastAsia="宋体"/>
                      <w:b/>
                      <w:bCs/>
                      <w:color w:val="auto"/>
                      <w:sz w:val="21"/>
                      <w:szCs w:val="21"/>
                      <w:vertAlign w:val="baseline"/>
                      <w:lang w:val="en-US" w:eastAsia="zh-CN"/>
                    </w:rPr>
                    <w:t>是否一致</w:t>
                  </w:r>
                </w:p>
              </w:tc>
            </w:tr>
            <w:tr w14:paraId="4BD7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 w:type="pct"/>
                  <w:vAlign w:val="center"/>
                </w:tcPr>
                <w:p w14:paraId="73E537E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项目名称</w:t>
                  </w:r>
                </w:p>
              </w:tc>
              <w:tc>
                <w:tcPr>
                  <w:tcW w:w="1850" w:type="pct"/>
                  <w:vAlign w:val="center"/>
                </w:tcPr>
                <w:p w14:paraId="5EB2F8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cs="Times New Roman"/>
                      <w:color w:val="auto"/>
                      <w:sz w:val="21"/>
                      <w:szCs w:val="21"/>
                      <w:lang w:eastAsia="zh-CN"/>
                    </w:rPr>
                    <w:t>年产5万吨玉米压片、3万吨饲料、1万吨玉米杂粮建设项目</w:t>
                  </w:r>
                </w:p>
              </w:tc>
              <w:tc>
                <w:tcPr>
                  <w:tcW w:w="1802" w:type="pct"/>
                  <w:vAlign w:val="center"/>
                </w:tcPr>
                <w:p w14:paraId="76DF35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cs="Times New Roman"/>
                      <w:color w:val="auto"/>
                      <w:sz w:val="21"/>
                      <w:szCs w:val="21"/>
                      <w:lang w:eastAsia="zh-CN"/>
                    </w:rPr>
                    <w:t>年产5万吨玉米压片、3万吨饲料、1万吨玉米杂粮建设项目</w:t>
                  </w:r>
                </w:p>
              </w:tc>
              <w:tc>
                <w:tcPr>
                  <w:tcW w:w="940" w:type="pct"/>
                  <w:vAlign w:val="center"/>
                </w:tcPr>
                <w:p w14:paraId="72E4AA4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一致</w:t>
                  </w:r>
                </w:p>
              </w:tc>
            </w:tr>
            <w:tr w14:paraId="186C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 w:type="pct"/>
                  <w:vAlign w:val="center"/>
                </w:tcPr>
                <w:p w14:paraId="689012A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建设单位</w:t>
                  </w:r>
                </w:p>
              </w:tc>
              <w:tc>
                <w:tcPr>
                  <w:tcW w:w="1850" w:type="pct"/>
                  <w:vAlign w:val="center"/>
                </w:tcPr>
                <w:p w14:paraId="248F02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胡杨河华优农业有限公司</w:t>
                  </w:r>
                </w:p>
              </w:tc>
              <w:tc>
                <w:tcPr>
                  <w:tcW w:w="1802" w:type="pct"/>
                  <w:vAlign w:val="center"/>
                </w:tcPr>
                <w:p w14:paraId="7B4F476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胡杨河华优农业有限公司</w:t>
                  </w:r>
                </w:p>
              </w:tc>
              <w:tc>
                <w:tcPr>
                  <w:tcW w:w="940" w:type="pct"/>
                  <w:vAlign w:val="center"/>
                </w:tcPr>
                <w:p w14:paraId="2D67A2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一致</w:t>
                  </w:r>
                </w:p>
              </w:tc>
            </w:tr>
            <w:tr w14:paraId="0955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 w:type="pct"/>
                  <w:vAlign w:val="center"/>
                </w:tcPr>
                <w:p w14:paraId="082241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总投资</w:t>
                  </w:r>
                </w:p>
              </w:tc>
              <w:tc>
                <w:tcPr>
                  <w:tcW w:w="1850" w:type="pct"/>
                  <w:vAlign w:val="center"/>
                </w:tcPr>
                <w:p w14:paraId="024E153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6500万元</w:t>
                  </w:r>
                </w:p>
              </w:tc>
              <w:tc>
                <w:tcPr>
                  <w:tcW w:w="1802" w:type="pct"/>
                  <w:vAlign w:val="center"/>
                </w:tcPr>
                <w:p w14:paraId="3618C88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4000万元</w:t>
                  </w:r>
                </w:p>
              </w:tc>
              <w:tc>
                <w:tcPr>
                  <w:tcW w:w="940" w:type="pct"/>
                  <w:vAlign w:val="center"/>
                </w:tcPr>
                <w:p w14:paraId="6C6564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一期工程总投资4</w:t>
                  </w:r>
                  <w:r>
                    <w:rPr>
                      <w:rFonts w:hint="eastAsia"/>
                      <w:color w:val="auto"/>
                      <w:sz w:val="21"/>
                      <w:szCs w:val="21"/>
                      <w:vertAlign w:val="baseline"/>
                      <w:lang w:val="en-US" w:eastAsia="zh-CN"/>
                    </w:rPr>
                    <w:t>0</w:t>
                  </w:r>
                  <w:r>
                    <w:rPr>
                      <w:rFonts w:hint="eastAsia" w:ascii="Times New Roman" w:hAnsi="Times New Roman" w:eastAsia="宋体"/>
                      <w:color w:val="auto"/>
                      <w:sz w:val="21"/>
                      <w:szCs w:val="21"/>
                      <w:vertAlign w:val="baseline"/>
                      <w:lang w:val="en-US" w:eastAsia="zh-CN"/>
                    </w:rPr>
                    <w:t>00万元。</w:t>
                  </w:r>
                </w:p>
              </w:tc>
            </w:tr>
            <w:tr w14:paraId="77C7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 w:type="pct"/>
                  <w:vAlign w:val="center"/>
                </w:tcPr>
                <w:p w14:paraId="651F041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项目性质</w:t>
                  </w:r>
                </w:p>
              </w:tc>
              <w:tc>
                <w:tcPr>
                  <w:tcW w:w="1850" w:type="pct"/>
                  <w:vAlign w:val="center"/>
                </w:tcPr>
                <w:p w14:paraId="350FFF4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新建</w:t>
                  </w:r>
                </w:p>
              </w:tc>
              <w:tc>
                <w:tcPr>
                  <w:tcW w:w="1802" w:type="pct"/>
                  <w:vAlign w:val="center"/>
                </w:tcPr>
                <w:p w14:paraId="52387B3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新建</w:t>
                  </w:r>
                </w:p>
              </w:tc>
              <w:tc>
                <w:tcPr>
                  <w:tcW w:w="940" w:type="pct"/>
                  <w:vAlign w:val="center"/>
                </w:tcPr>
                <w:p w14:paraId="2DFB73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一致</w:t>
                  </w:r>
                </w:p>
              </w:tc>
            </w:tr>
            <w:tr w14:paraId="2DF9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 w:type="pct"/>
                  <w:vAlign w:val="center"/>
                </w:tcPr>
                <w:p w14:paraId="0ACD5FF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建设地点</w:t>
                  </w:r>
                </w:p>
              </w:tc>
              <w:tc>
                <w:tcPr>
                  <w:tcW w:w="1850" w:type="pct"/>
                  <w:vAlign w:val="center"/>
                </w:tcPr>
                <w:p w14:paraId="5061ABA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s="Times New Roman"/>
                      <w:color w:val="auto"/>
                      <w:sz w:val="21"/>
                      <w:szCs w:val="21"/>
                      <w:highlight w:val="none"/>
                      <w:lang w:val="en-US" w:eastAsia="zh-CN"/>
                    </w:rPr>
                    <w:t>新疆生产建设兵团第七师131团1连漠河大道以东，217国道以西</w:t>
                  </w:r>
                </w:p>
              </w:tc>
              <w:tc>
                <w:tcPr>
                  <w:tcW w:w="1802" w:type="pct"/>
                  <w:vAlign w:val="center"/>
                </w:tcPr>
                <w:p w14:paraId="435F32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s="Times New Roman"/>
                      <w:color w:val="auto"/>
                      <w:sz w:val="21"/>
                      <w:szCs w:val="21"/>
                      <w:highlight w:val="none"/>
                      <w:lang w:val="en-US" w:eastAsia="zh-CN"/>
                    </w:rPr>
                    <w:t>新疆生产建设兵团第七师131团1连漠河大道以东，217国道以西</w:t>
                  </w:r>
                </w:p>
              </w:tc>
              <w:tc>
                <w:tcPr>
                  <w:tcW w:w="940" w:type="pct"/>
                  <w:vAlign w:val="center"/>
                </w:tcPr>
                <w:p w14:paraId="1EC14D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一致</w:t>
                  </w:r>
                </w:p>
              </w:tc>
            </w:tr>
            <w:tr w14:paraId="7F40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 w:type="pct"/>
                  <w:vAlign w:val="center"/>
                </w:tcPr>
                <w:p w14:paraId="1D1D143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建设规模及内容</w:t>
                  </w:r>
                </w:p>
              </w:tc>
              <w:tc>
                <w:tcPr>
                  <w:tcW w:w="1850" w:type="pct"/>
                  <w:vAlign w:val="center"/>
                </w:tcPr>
                <w:p w14:paraId="3F044D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（1）一期：新建1千吨烘干塔、1万吨储粮仓、3000m钢结构厂房。（2）二期、三期：完成饲料、玉米压片等生产线建设。（注：每期均有配套供热</w:t>
                  </w:r>
                  <w:r>
                    <w:rPr>
                      <w:rFonts w:hint="eastAsia"/>
                      <w:color w:val="auto"/>
                      <w:sz w:val="21"/>
                      <w:szCs w:val="21"/>
                      <w:vertAlign w:val="baseline"/>
                      <w:lang w:val="en-US" w:eastAsia="zh-CN"/>
                    </w:rPr>
                    <w:t>生物质热风炉</w:t>
                  </w:r>
                  <w:r>
                    <w:rPr>
                      <w:rFonts w:hint="eastAsia" w:ascii="Times New Roman" w:hAnsi="Times New Roman" w:eastAsia="宋体"/>
                      <w:color w:val="auto"/>
                      <w:sz w:val="21"/>
                      <w:szCs w:val="21"/>
                      <w:vertAlign w:val="baseline"/>
                      <w:lang w:val="en-US" w:eastAsia="zh-CN"/>
                    </w:rPr>
                    <w:t>）</w:t>
                  </w:r>
                </w:p>
              </w:tc>
              <w:tc>
                <w:tcPr>
                  <w:tcW w:w="1802" w:type="pct"/>
                  <w:vAlign w:val="center"/>
                </w:tcPr>
                <w:p w14:paraId="059AF7E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新建1千吨烘干塔、1万吨储粮仓、3000m钢结构厂房。（注：一期工程配套</w:t>
                  </w:r>
                  <w:r>
                    <w:rPr>
                      <w:rFonts w:hint="eastAsia"/>
                      <w:color w:val="auto"/>
                      <w:sz w:val="21"/>
                      <w:szCs w:val="21"/>
                      <w:vertAlign w:val="baseline"/>
                      <w:lang w:val="en-US" w:eastAsia="zh-CN"/>
                    </w:rPr>
                    <w:t>20t/h生物质热风炉</w:t>
                  </w:r>
                  <w:r>
                    <w:rPr>
                      <w:rFonts w:hint="eastAsia" w:ascii="Times New Roman" w:hAnsi="Times New Roman" w:eastAsia="宋体"/>
                      <w:color w:val="auto"/>
                      <w:sz w:val="21"/>
                      <w:szCs w:val="21"/>
                      <w:vertAlign w:val="baseline"/>
                      <w:lang w:val="en-US" w:eastAsia="zh-CN"/>
                    </w:rPr>
                    <w:t>1台）</w:t>
                  </w:r>
                </w:p>
              </w:tc>
              <w:tc>
                <w:tcPr>
                  <w:tcW w:w="940" w:type="pct"/>
                  <w:vAlign w:val="center"/>
                </w:tcPr>
                <w:p w14:paraId="6CAF9D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本项目为备案证中一期工程，与备案内容一致</w:t>
                  </w:r>
                </w:p>
              </w:tc>
            </w:tr>
          </w:tbl>
          <w:p w14:paraId="483240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color w:val="auto"/>
                <w:sz w:val="24"/>
                <w:szCs w:val="24"/>
                <w:lang w:val="en-US" w:eastAsia="zh-CN"/>
              </w:rPr>
            </w:pPr>
            <w:r>
              <w:rPr>
                <w:rFonts w:hint="eastAsia"/>
                <w:color w:val="auto"/>
                <w:sz w:val="24"/>
                <w:szCs w:val="24"/>
                <w:lang w:val="en-US" w:eastAsia="zh-CN"/>
              </w:rPr>
              <w:t>根据上表分析可知，本项目在建设单位、项目性质及建设地点方面均与备案文件相符。总投资方面，由于本项目为备案证中一期工程，不包含二期工程的投资，因此本项目总投资较备案证中有所减少；建设规模及内容方面，本项目与备案证中一期工程建设规模及内容一致。</w:t>
            </w:r>
          </w:p>
          <w:p w14:paraId="2004F6DC">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2、</w:t>
            </w:r>
            <w:r>
              <w:rPr>
                <w:rFonts w:hint="eastAsia" w:cs="Times New Roman"/>
                <w:b/>
                <w:bCs/>
                <w:color w:val="auto"/>
                <w:kern w:val="2"/>
                <w:sz w:val="24"/>
                <w:szCs w:val="24"/>
                <w:lang w:val="en-US" w:eastAsia="zh-CN" w:bidi="ar-SA"/>
              </w:rPr>
              <w:t>生态环境分区管控要求</w:t>
            </w:r>
            <w:r>
              <w:rPr>
                <w:rFonts w:hint="default" w:ascii="Times New Roman" w:hAnsi="Times New Roman" w:eastAsia="宋体" w:cs="Times New Roman"/>
                <w:b/>
                <w:bCs/>
                <w:color w:val="auto"/>
                <w:kern w:val="2"/>
                <w:sz w:val="24"/>
                <w:szCs w:val="24"/>
                <w:lang w:val="en-US" w:eastAsia="zh-CN" w:bidi="ar-SA"/>
              </w:rPr>
              <w:t>符合性分析</w:t>
            </w:r>
          </w:p>
          <w:p w14:paraId="3AD24E6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color w:val="auto"/>
                <w:sz w:val="24"/>
                <w:szCs w:val="32"/>
              </w:rPr>
            </w:pPr>
            <w:r>
              <w:rPr>
                <w:rFonts w:hint="eastAsia"/>
                <w:color w:val="auto"/>
                <w:sz w:val="24"/>
                <w:szCs w:val="32"/>
                <w:lang w:val="en-US" w:eastAsia="zh-CN"/>
              </w:rPr>
              <w:t>根据新疆生产建设兵团生态环境局2024年12月16日发布的《新疆生产建设兵团2023年度生态环境分区管控动态更新成果公告》中，第七师共计60个环境管控单元，其中优先保护单元17个，重点管控单元31个，一般管控单元12个。通过对比“兵团生态环境分区管控信息平台”（网址：</w:t>
            </w:r>
            <w:r>
              <w:rPr>
                <w:rFonts w:hint="default"/>
                <w:color w:val="auto"/>
                <w:sz w:val="24"/>
                <w:szCs w:val="32"/>
                <w:lang w:val="en-US" w:eastAsia="zh-CN"/>
              </w:rPr>
              <w:t>https://www.btsthjsxyd.cn/</w:t>
            </w:r>
            <w:r>
              <w:rPr>
                <w:rFonts w:hint="eastAsia"/>
                <w:color w:val="auto"/>
                <w:sz w:val="24"/>
                <w:szCs w:val="32"/>
                <w:lang w:val="en-US" w:eastAsia="zh-CN"/>
              </w:rPr>
              <w:t>），本项目所在区域属于131团一般管控单元（单元编码：ZH65770930001）。</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lang w:val="en-US" w:eastAsia="zh-CN"/>
              </w:rPr>
              <w:t>新疆生产建设兵团环境管控单元</w:t>
            </w:r>
            <w:r>
              <w:rPr>
                <w:rFonts w:hint="default" w:ascii="Times New Roman" w:hAnsi="Times New Roman" w:eastAsia="宋体" w:cs="Times New Roman"/>
                <w:bCs/>
                <w:color w:val="auto"/>
                <w:sz w:val="24"/>
                <w:highlight w:val="none"/>
              </w:rPr>
              <w:t>图</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见</w:t>
            </w:r>
            <w:r>
              <w:rPr>
                <w:rFonts w:hint="eastAsia" w:ascii="Times New Roman" w:hAnsi="Times New Roman" w:eastAsia="宋体" w:cs="Times New Roman"/>
                <w:b/>
                <w:bCs w:val="0"/>
                <w:color w:val="auto"/>
                <w:sz w:val="24"/>
                <w:highlight w:val="none"/>
                <w:lang w:val="en-US" w:eastAsia="zh-CN"/>
              </w:rPr>
              <w:t>附图</w:t>
            </w:r>
            <w:r>
              <w:rPr>
                <w:rFonts w:hint="eastAsia" w:cs="Times New Roman"/>
                <w:b/>
                <w:bCs w:val="0"/>
                <w:color w:val="auto"/>
                <w:sz w:val="24"/>
                <w:highlight w:val="none"/>
                <w:lang w:val="en-US" w:eastAsia="zh-CN"/>
              </w:rPr>
              <w:t>2</w:t>
            </w:r>
            <w:r>
              <w:rPr>
                <w:rFonts w:hint="default" w:ascii="Times New Roman" w:hAnsi="Times New Roman" w:eastAsia="宋体" w:cs="Times New Roman"/>
                <w:bCs/>
                <w:color w:val="auto"/>
                <w:sz w:val="24"/>
                <w:highlight w:val="none"/>
              </w:rPr>
              <w:t>。</w:t>
            </w:r>
          </w:p>
          <w:p w14:paraId="1046DE83">
            <w:pPr>
              <w:keepNext w:val="0"/>
              <w:keepLines w:val="0"/>
              <w:pageBreakBefore w:val="0"/>
              <w:suppressLineNumbers w:val="0"/>
              <w:kinsoku/>
              <w:wordWrap/>
              <w:overflowPunct/>
              <w:topLinePunct w:val="0"/>
              <w:bidi w:val="0"/>
              <w:spacing w:before="0" w:beforeAutospacing="0" w:after="0" w:afterAutospacing="0" w:line="360" w:lineRule="auto"/>
              <w:ind w:left="0" w:right="0" w:firstLine="480" w:firstLineChars="200"/>
              <w:rPr>
                <w:rFonts w:hint="default"/>
                <w:color w:val="auto"/>
                <w:sz w:val="24"/>
                <w:szCs w:val="32"/>
              </w:rPr>
            </w:pPr>
            <w:r>
              <w:rPr>
                <w:rFonts w:hint="default"/>
                <w:color w:val="auto"/>
                <w:sz w:val="24"/>
                <w:szCs w:val="32"/>
              </w:rPr>
              <w:t>根据</w:t>
            </w:r>
            <w:r>
              <w:rPr>
                <w:rFonts w:hint="eastAsia" w:ascii="Times New Roman" w:hAnsi="Times New Roman"/>
                <w:color w:val="auto"/>
                <w:sz w:val="24"/>
                <w:szCs w:val="40"/>
              </w:rPr>
              <w:t>生态环境分区管控</w:t>
            </w:r>
            <w:r>
              <w:rPr>
                <w:rFonts w:hint="default"/>
                <w:color w:val="auto"/>
                <w:sz w:val="24"/>
                <w:szCs w:val="32"/>
              </w:rPr>
              <w:t>要求，落实</w:t>
            </w:r>
            <w:r>
              <w:rPr>
                <w:rFonts w:hint="eastAsia" w:ascii="宋体" w:hAnsi="宋体" w:eastAsia="宋体" w:cs="宋体"/>
                <w:color w:val="auto"/>
                <w:sz w:val="24"/>
                <w:szCs w:val="32"/>
                <w:lang w:val="zh-CN"/>
              </w:rPr>
              <w:t>“生</w:t>
            </w:r>
            <w:r>
              <w:rPr>
                <w:rFonts w:hint="eastAsia" w:ascii="宋体" w:hAnsi="宋体" w:eastAsia="宋体" w:cs="宋体"/>
                <w:color w:val="auto"/>
                <w:sz w:val="24"/>
                <w:szCs w:val="32"/>
              </w:rPr>
              <w:t>态保护红线、环境质量底线、资源利用上线和生态环境准入清单</w:t>
            </w:r>
            <w:r>
              <w:rPr>
                <w:rFonts w:hint="eastAsia" w:ascii="宋体" w:hAnsi="宋体" w:eastAsia="宋体" w:cs="宋体"/>
                <w:color w:val="auto"/>
                <w:sz w:val="24"/>
                <w:szCs w:val="32"/>
                <w:lang w:val="zh-CN"/>
              </w:rPr>
              <w:t>”</w:t>
            </w:r>
            <w:r>
              <w:rPr>
                <w:rFonts w:hint="default"/>
                <w:color w:val="auto"/>
                <w:sz w:val="24"/>
                <w:szCs w:val="32"/>
                <w:lang w:val="zh-CN"/>
              </w:rPr>
              <w:t>（简</w:t>
            </w:r>
            <w:r>
              <w:rPr>
                <w:rFonts w:hint="eastAsia" w:ascii="宋体" w:hAnsi="宋体" w:eastAsia="宋体" w:cs="宋体"/>
                <w:color w:val="auto"/>
                <w:sz w:val="24"/>
                <w:szCs w:val="32"/>
              </w:rPr>
              <w:t>称“三线一单”</w:t>
            </w:r>
            <w:r>
              <w:rPr>
                <w:rFonts w:hint="default"/>
                <w:color w:val="auto"/>
                <w:sz w:val="24"/>
                <w:szCs w:val="32"/>
              </w:rPr>
              <w:t>）约束，更好地发挥环评制度从源头防范环境污染和生态破坏的作用，加快推进改善环境质量。本项目建设</w:t>
            </w:r>
            <w:r>
              <w:rPr>
                <w:rFonts w:hint="eastAsia" w:ascii="宋体" w:hAnsi="宋体" w:eastAsia="宋体" w:cs="宋体"/>
                <w:color w:val="auto"/>
                <w:sz w:val="24"/>
                <w:szCs w:val="32"/>
              </w:rPr>
              <w:t>与“三线一单”的符合</w:t>
            </w:r>
            <w:r>
              <w:rPr>
                <w:rFonts w:hint="default"/>
                <w:color w:val="auto"/>
                <w:sz w:val="24"/>
                <w:szCs w:val="32"/>
              </w:rPr>
              <w:t>性分析见表</w:t>
            </w:r>
            <w:r>
              <w:rPr>
                <w:rFonts w:hint="eastAsia"/>
                <w:color w:val="auto"/>
                <w:sz w:val="24"/>
                <w:szCs w:val="32"/>
              </w:rPr>
              <w:t>1-</w:t>
            </w:r>
            <w:r>
              <w:rPr>
                <w:rFonts w:hint="eastAsia"/>
                <w:color w:val="auto"/>
                <w:sz w:val="24"/>
                <w:szCs w:val="32"/>
                <w:lang w:val="en-US" w:eastAsia="zh-CN"/>
              </w:rPr>
              <w:t>2</w:t>
            </w:r>
            <w:r>
              <w:rPr>
                <w:rFonts w:hint="default"/>
                <w:color w:val="auto"/>
                <w:sz w:val="24"/>
                <w:szCs w:val="32"/>
              </w:rPr>
              <w:t>。</w:t>
            </w:r>
          </w:p>
          <w:p w14:paraId="0C987656">
            <w:pPr>
              <w:keepNext w:val="0"/>
              <w:keepLines w:val="0"/>
              <w:pageBreakBefore w:val="0"/>
              <w:suppressLineNumbers w:val="0"/>
              <w:kinsoku/>
              <w:wordWrap/>
              <w:overflowPunct/>
              <w:topLinePunct w:val="0"/>
              <w:bidi w:val="0"/>
              <w:spacing w:before="0" w:beforeAutospacing="0" w:after="0" w:afterAutospacing="0" w:line="360" w:lineRule="auto"/>
              <w:ind w:left="0" w:right="0" w:firstLine="482" w:firstLineChars="200"/>
              <w:rPr>
                <w:rFonts w:hint="eastAsia" w:ascii="Times New Roman" w:hAnsi="Times New Roman" w:eastAsia="宋体" w:cs="宋体"/>
                <w:b/>
                <w:bCs w:val="0"/>
                <w:color w:val="auto"/>
                <w:sz w:val="24"/>
                <w:szCs w:val="24"/>
                <w:highlight w:val="none"/>
                <w:lang w:val="en-US" w:eastAsia="zh-CN"/>
              </w:rPr>
            </w:pPr>
            <w:r>
              <w:rPr>
                <w:rFonts w:hint="eastAsia" w:ascii="Times New Roman" w:hAnsi="Times New Roman" w:eastAsia="宋体" w:cs="宋体"/>
                <w:b/>
                <w:bCs w:val="0"/>
                <w:color w:val="auto"/>
                <w:sz w:val="24"/>
                <w:szCs w:val="24"/>
                <w:highlight w:val="none"/>
                <w:lang w:val="en-US" w:eastAsia="zh-CN"/>
              </w:rPr>
              <w:t>2.1 生态保护红线</w:t>
            </w:r>
          </w:p>
          <w:p w14:paraId="38EB891F">
            <w:pPr>
              <w:keepNext w:val="0"/>
              <w:keepLines w:val="0"/>
              <w:pageBreakBefore w:val="0"/>
              <w:widowControl/>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jc w:val="both"/>
              <w:textAlignment w:val="baseline"/>
              <w:rPr>
                <w:rFonts w:hint="default" w:ascii="Times New Roman" w:hAnsi="Times New Roman" w:cs="Times New Roman"/>
                <w:snapToGrid/>
                <w:color w:val="auto"/>
                <w:kern w:val="2"/>
                <w:sz w:val="24"/>
                <w:szCs w:val="24"/>
                <w:lang w:val="en-US" w:eastAsia="zh-CN" w:bidi="ar-SA"/>
              </w:rPr>
            </w:pPr>
            <w:r>
              <w:rPr>
                <w:rFonts w:hint="default" w:ascii="Times New Roman" w:hAnsi="Times New Roman" w:cs="Times New Roman"/>
                <w:snapToGrid/>
                <w:color w:val="auto"/>
                <w:kern w:val="2"/>
                <w:sz w:val="24"/>
                <w:szCs w:val="24"/>
                <w:lang w:val="en-US" w:eastAsia="zh-CN" w:bidi="ar-SA"/>
              </w:rPr>
              <w:t>按</w:t>
            </w:r>
            <w:r>
              <w:rPr>
                <w:rFonts w:hint="eastAsia" w:ascii="宋体" w:hAnsi="宋体" w:eastAsia="宋体" w:cs="宋体"/>
                <w:snapToGrid/>
                <w:color w:val="auto"/>
                <w:kern w:val="2"/>
                <w:sz w:val="24"/>
                <w:szCs w:val="24"/>
                <w:lang w:val="en-US" w:eastAsia="zh-CN" w:bidi="ar-SA"/>
              </w:rPr>
              <w:t>照“生态功能不降低、面积不减少、性质不改变”的基</w:t>
            </w:r>
            <w:r>
              <w:rPr>
                <w:rFonts w:hint="default" w:ascii="Times New Roman" w:hAnsi="Times New Roman" w:cs="Times New Roman"/>
                <w:snapToGrid/>
                <w:color w:val="auto"/>
                <w:kern w:val="2"/>
                <w:sz w:val="24"/>
                <w:szCs w:val="24"/>
                <w:lang w:val="en-US" w:eastAsia="zh-CN" w:bidi="ar-SA"/>
              </w:rPr>
              <w:t>本要求，对划定的生态保护红线实施严格管控，保障和维护国家生态安全的底线和生命线。</w:t>
            </w:r>
          </w:p>
          <w:p w14:paraId="0765B80B">
            <w:pPr>
              <w:keepNext w:val="0"/>
              <w:keepLines w:val="0"/>
              <w:pageBreakBefore w:val="0"/>
              <w:widowControl/>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jc w:val="both"/>
              <w:textAlignment w:val="baseline"/>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snapToGrid/>
                <w:color w:val="auto"/>
                <w:kern w:val="2"/>
                <w:sz w:val="24"/>
                <w:szCs w:val="24"/>
                <w:lang w:val="en-US" w:eastAsia="zh-CN" w:bidi="ar-SA"/>
              </w:rPr>
              <w:t>本项目位于</w:t>
            </w:r>
            <w:r>
              <w:rPr>
                <w:rFonts w:hint="eastAsia" w:cs="Times New Roman"/>
                <w:snapToGrid/>
                <w:color w:val="auto"/>
                <w:kern w:val="2"/>
                <w:sz w:val="24"/>
                <w:szCs w:val="24"/>
                <w:lang w:val="en-US" w:eastAsia="zh-CN" w:bidi="ar-SA"/>
              </w:rPr>
              <w:t>新疆生产建设兵团</w:t>
            </w:r>
            <w:r>
              <w:rPr>
                <w:rFonts w:hint="eastAsia" w:ascii="Times New Roman" w:hAnsi="Times New Roman" w:eastAsia="宋体" w:cs="Times New Roman"/>
                <w:color w:val="auto"/>
                <w:sz w:val="24"/>
                <w:highlight w:val="none"/>
                <w:lang w:val="en-US" w:eastAsia="zh-CN"/>
              </w:rPr>
              <w:t>第七师131团1连漠河大道以东，217国道以西，距131团1连西侧570m。根据新疆生产建设兵团第七师一三一团第三单元连队规划图，本项目所在地用地性质已划分为工业用地（</w:t>
            </w:r>
            <w:r>
              <w:rPr>
                <w:rFonts w:hint="eastAsia" w:ascii="Times New Roman" w:hAnsi="Times New Roman" w:eastAsia="宋体" w:cs="Times New Roman"/>
                <w:b/>
                <w:bCs/>
                <w:color w:val="auto"/>
                <w:sz w:val="24"/>
                <w:highlight w:val="none"/>
                <w:lang w:val="en-US" w:eastAsia="zh-CN"/>
              </w:rPr>
              <w:t>附图1</w:t>
            </w:r>
            <w:r>
              <w:rPr>
                <w:rFonts w:hint="eastAsia"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highlight w:val="none"/>
                <w:lang w:val="en-US" w:eastAsia="zh-CN"/>
              </w:rPr>
              <w:t>周边无自然保护区、风景名胜区、同时不在生态保护红线范围内，符合生态保护红线相关要求。</w:t>
            </w:r>
          </w:p>
          <w:p w14:paraId="05D9B758">
            <w:pPr>
              <w:keepNext w:val="0"/>
              <w:keepLines w:val="0"/>
              <w:pageBreakBefore w:val="0"/>
              <w:suppressLineNumbers w:val="0"/>
              <w:kinsoku/>
              <w:wordWrap/>
              <w:overflowPunct/>
              <w:topLinePunct w:val="0"/>
              <w:bidi w:val="0"/>
              <w:spacing w:before="0" w:beforeAutospacing="0" w:after="0" w:afterAutospacing="0" w:line="360" w:lineRule="auto"/>
              <w:ind w:left="0" w:right="0" w:firstLine="482" w:firstLineChars="200"/>
              <w:rPr>
                <w:rFonts w:hint="eastAsia" w:ascii="Times New Roman" w:hAnsi="Times New Roman" w:eastAsia="宋体" w:cs="宋体"/>
                <w:b/>
                <w:bCs w:val="0"/>
                <w:color w:val="auto"/>
                <w:sz w:val="24"/>
                <w:szCs w:val="24"/>
                <w:highlight w:val="none"/>
                <w:lang w:val="en-US" w:eastAsia="zh-CN"/>
              </w:rPr>
            </w:pPr>
            <w:r>
              <w:rPr>
                <w:rFonts w:hint="eastAsia" w:ascii="Times New Roman" w:hAnsi="Times New Roman" w:eastAsia="宋体" w:cs="宋体"/>
                <w:b/>
                <w:bCs w:val="0"/>
                <w:color w:val="auto"/>
                <w:sz w:val="24"/>
                <w:szCs w:val="24"/>
                <w:highlight w:val="none"/>
                <w:lang w:val="en-US" w:eastAsia="zh-CN"/>
              </w:rPr>
              <w:t>2.2 环境质量底线</w:t>
            </w:r>
          </w:p>
          <w:p w14:paraId="7AF492E9">
            <w:pPr>
              <w:keepNext w:val="0"/>
              <w:keepLines w:val="0"/>
              <w:pageBreakBefore w:val="0"/>
              <w:widowControl/>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jc w:val="both"/>
              <w:textAlignment w:val="baseline"/>
              <w:rPr>
                <w:rFonts w:hint="eastAsia" w:ascii="Times New Roman" w:hAnsi="Times New Roman"/>
                <w:color w:val="auto"/>
                <w:sz w:val="24"/>
                <w:szCs w:val="21"/>
              </w:rPr>
            </w:pPr>
            <w:r>
              <w:rPr>
                <w:rFonts w:hint="eastAsia" w:ascii="Times New Roman" w:hAnsi="Times New Roman"/>
                <w:color w:val="auto"/>
                <w:sz w:val="24"/>
                <w:szCs w:val="21"/>
              </w:rPr>
              <w:t>全区水环境质量持续改善，受污染地表水体得到有效治理，饮用水安全保障水平持续提升，地下水超采得到严格控制，地下水水质保持稳定；全区环境空气质量有所提升，重污染天数持续减少，已达标城市环境空气质量保持稳定，未达标城市环境空气质量持续改善，沙尘影响严重地区做好防风固沙、生态环境保护修复等工作；全区土壤环境质量保持稳定，污染地块安全利用水平稳中有升，土壤环境风险得到进一步管控。</w:t>
            </w:r>
          </w:p>
          <w:p w14:paraId="7806F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本项目所在区域2023年环境空气质量</w:t>
            </w:r>
            <w:r>
              <w:rPr>
                <w:rFonts w:hint="default" w:ascii="Times New Roman" w:hAnsi="Times New Roman" w:eastAsia="宋体" w:cs="Times New Roman"/>
                <w:color w:val="auto"/>
                <w:sz w:val="24"/>
                <w:highlight w:val="none"/>
              </w:rPr>
              <w:t>满足《环境空气质量标准》（GB</w:t>
            </w:r>
            <w:r>
              <w:rPr>
                <w:rFonts w:hint="eastAsia"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rPr>
              <w:t>3095-2012</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及修改单中二级标准，表明项目区环境空气为达标区。</w:t>
            </w:r>
          </w:p>
          <w:p w14:paraId="450DF6BE">
            <w:pPr>
              <w:pStyle w:val="6"/>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b w:val="0"/>
                <w:bCs w:val="0"/>
                <w:color w:val="auto"/>
                <w:sz w:val="24"/>
                <w:szCs w:val="24"/>
                <w:highlight w:val="none"/>
              </w:rPr>
            </w:pPr>
            <w:r>
              <w:rPr>
                <w:rFonts w:hint="eastAsia" w:ascii="Times New Roman" w:hAnsi="Times New Roman" w:eastAsia="宋体" w:cs="Times New Roman"/>
                <w:b w:val="0"/>
                <w:bCs w:val="0"/>
                <w:color w:val="auto"/>
                <w:kern w:val="2"/>
                <w:sz w:val="24"/>
                <w:szCs w:val="24"/>
                <w:highlight w:val="none"/>
                <w:lang w:val="en-US" w:eastAsia="zh-CN" w:bidi="ar-SA"/>
              </w:rPr>
              <w:t>本项目</w:t>
            </w:r>
            <w:r>
              <w:rPr>
                <w:rFonts w:hint="eastAsia" w:cs="Times New Roman"/>
                <w:b w:val="0"/>
                <w:bCs w:val="0"/>
                <w:color w:val="auto"/>
                <w:kern w:val="2"/>
                <w:sz w:val="24"/>
                <w:szCs w:val="24"/>
                <w:highlight w:val="none"/>
                <w:lang w:val="en-US" w:eastAsia="zh-CN" w:bidi="ar-SA"/>
              </w:rPr>
              <w:t>1台生物质热风炉燃烧废气经配套的SNCR+旋风除尘+布袋除尘器处理后，由1根不低于17m排气筒达标排放</w:t>
            </w:r>
            <w:r>
              <w:rPr>
                <w:rFonts w:hint="eastAsia" w:ascii="Times New Roman" w:hAnsi="Times New Roman" w:eastAsia="宋体" w:cs="Times New Roman"/>
                <w:b w:val="0"/>
                <w:bCs w:val="0"/>
                <w:color w:val="auto"/>
                <w:kern w:val="2"/>
                <w:sz w:val="24"/>
                <w:szCs w:val="24"/>
                <w:highlight w:val="none"/>
                <w:lang w:val="en-US" w:eastAsia="zh-CN" w:bidi="ar-SA"/>
              </w:rPr>
              <w:t>，满足</w:t>
            </w:r>
            <w:r>
              <w:rPr>
                <w:rFonts w:hint="default" w:ascii="Times New Roman" w:hAnsi="Times New Roman" w:eastAsia="宋体" w:cs="Times New Roman"/>
                <w:b w:val="0"/>
                <w:bCs w:val="0"/>
                <w:color w:val="auto"/>
                <w:kern w:val="2"/>
                <w:sz w:val="24"/>
                <w:szCs w:val="24"/>
                <w:highlight w:val="none"/>
                <w:lang w:val="en-US" w:eastAsia="zh-CN" w:bidi="ar-SA"/>
              </w:rPr>
              <w:t>《锅炉大气污染物排放标准》（GB</w:t>
            </w:r>
            <w:r>
              <w:rPr>
                <w:rFonts w:hint="eastAsia" w:ascii="Times New Roman" w:hAnsi="Times New Roman" w:eastAsia="宋体" w:cs="Times New Roman"/>
                <w:b w:val="0"/>
                <w:bCs w:val="0"/>
                <w:color w:val="auto"/>
                <w:kern w:val="2"/>
                <w:sz w:val="24"/>
                <w:szCs w:val="24"/>
                <w:highlight w:val="none"/>
                <w:lang w:val="en-US" w:eastAsia="zh-CN" w:bidi="ar-SA"/>
              </w:rPr>
              <w:t xml:space="preserve"> </w:t>
            </w:r>
            <w:r>
              <w:rPr>
                <w:rFonts w:hint="default" w:ascii="Times New Roman" w:hAnsi="Times New Roman" w:eastAsia="宋体" w:cs="Times New Roman"/>
                <w:b w:val="0"/>
                <w:bCs w:val="0"/>
                <w:color w:val="auto"/>
                <w:kern w:val="2"/>
                <w:sz w:val="24"/>
                <w:szCs w:val="24"/>
                <w:highlight w:val="none"/>
                <w:lang w:val="en-US" w:eastAsia="zh-CN" w:bidi="ar-SA"/>
              </w:rPr>
              <w:t>13271-2014</w:t>
            </w:r>
            <w:r>
              <w:rPr>
                <w:rFonts w:hint="eastAsia" w:ascii="Times New Roman" w:hAnsi="Times New Roman" w:eastAsia="宋体" w:cs="Times New Roman"/>
                <w:b w:val="0"/>
                <w:bCs w:val="0"/>
                <w:color w:val="auto"/>
                <w:kern w:val="2"/>
                <w:sz w:val="24"/>
                <w:szCs w:val="24"/>
                <w:highlight w:val="none"/>
                <w:lang w:val="en-US" w:eastAsia="zh-CN" w:bidi="ar-SA"/>
              </w:rPr>
              <w:t>）</w:t>
            </w:r>
            <w:r>
              <w:rPr>
                <w:rFonts w:hint="default" w:ascii="Times New Roman" w:hAnsi="Times New Roman" w:eastAsia="宋体" w:cs="Times New Roman"/>
                <w:b w:val="0"/>
                <w:bCs w:val="0"/>
                <w:color w:val="auto"/>
                <w:kern w:val="2"/>
                <w:sz w:val="24"/>
                <w:szCs w:val="24"/>
                <w:highlight w:val="none"/>
                <w:lang w:val="en-US" w:eastAsia="zh-CN" w:bidi="ar-SA"/>
              </w:rPr>
              <w:t>中表3燃气锅炉大气污染物特别排放限值</w:t>
            </w:r>
            <w:r>
              <w:rPr>
                <w:rFonts w:hint="eastAsia" w:ascii="Times New Roman" w:hAnsi="Times New Roman" w:eastAsia="宋体" w:cs="Times New Roman"/>
                <w:b w:val="0"/>
                <w:bCs w:val="0"/>
                <w:color w:val="auto"/>
                <w:kern w:val="2"/>
                <w:sz w:val="24"/>
                <w:szCs w:val="24"/>
                <w:highlight w:val="none"/>
                <w:lang w:val="en-US" w:eastAsia="zh-CN" w:bidi="ar-SA"/>
              </w:rPr>
              <w:t>及</w:t>
            </w:r>
            <w:r>
              <w:rPr>
                <w:rFonts w:hint="eastAsia" w:cs="Times New Roman"/>
                <w:b w:val="0"/>
                <w:bCs w:val="0"/>
                <w:color w:val="auto"/>
                <w:kern w:val="2"/>
                <w:sz w:val="24"/>
                <w:szCs w:val="24"/>
                <w:highlight w:val="none"/>
                <w:lang w:val="en-US" w:eastAsia="zh-CN" w:bidi="ar-SA"/>
              </w:rPr>
              <w:t>排气筒高度要求</w:t>
            </w:r>
            <w:r>
              <w:rPr>
                <w:rFonts w:hint="eastAsia" w:ascii="Times New Roman" w:hAnsi="Times New Roman" w:eastAsia="宋体" w:cs="Times New Roman"/>
                <w:b w:val="0"/>
                <w:bCs w:val="0"/>
                <w:color w:val="auto"/>
                <w:kern w:val="2"/>
                <w:sz w:val="24"/>
                <w:szCs w:val="24"/>
                <w:highlight w:val="none"/>
                <w:lang w:val="en-US" w:eastAsia="zh-CN" w:bidi="ar-SA"/>
              </w:rPr>
              <w:t>；</w:t>
            </w:r>
            <w:r>
              <w:rPr>
                <w:rFonts w:hint="eastAsia" w:cs="Times New Roman"/>
                <w:b w:val="0"/>
                <w:bCs w:val="0"/>
                <w:color w:val="auto"/>
                <w:kern w:val="2"/>
                <w:sz w:val="24"/>
                <w:szCs w:val="24"/>
                <w:highlight w:val="none"/>
                <w:lang w:val="en-US" w:eastAsia="zh-CN" w:bidi="ar-SA"/>
              </w:rPr>
              <w:t>筛分过程在封闭车间进行同时设置布袋除尘器，烘干工序设抑尘罩抑尘，输送带及出料口封闭；</w:t>
            </w:r>
            <w:r>
              <w:rPr>
                <w:rFonts w:hint="eastAsia" w:ascii="Times New Roman" w:hAnsi="Times New Roman" w:eastAsia="宋体" w:cs="Times New Roman"/>
                <w:b w:val="0"/>
                <w:bCs w:val="0"/>
                <w:color w:val="auto"/>
                <w:kern w:val="2"/>
                <w:sz w:val="24"/>
                <w:szCs w:val="24"/>
                <w:highlight w:val="none"/>
                <w:lang w:val="en-US" w:eastAsia="zh-CN" w:bidi="ar-SA"/>
              </w:rPr>
              <w:t>生物质颗粒、燃烧灰渣、布袋除尘器收集尘分别由编织袋包装，减少无组织废气排放</w:t>
            </w:r>
            <w:r>
              <w:rPr>
                <w:rFonts w:hint="eastAsia" w:cs="Times New Roman"/>
                <w:b w:val="0"/>
                <w:bCs w:val="0"/>
                <w:color w:val="auto"/>
                <w:kern w:val="2"/>
                <w:sz w:val="24"/>
                <w:szCs w:val="24"/>
                <w:highlight w:val="none"/>
                <w:lang w:val="en-US" w:eastAsia="zh-CN" w:bidi="ar-SA"/>
              </w:rPr>
              <w:t>，满足</w:t>
            </w:r>
            <w:r>
              <w:rPr>
                <w:rFonts w:hint="eastAsia" w:ascii="Times New Roman"/>
                <w:b w:val="0"/>
                <w:bCs w:val="0"/>
                <w:color w:val="auto"/>
                <w:kern w:val="2"/>
                <w:sz w:val="24"/>
                <w:szCs w:val="40"/>
                <w:vertAlign w:val="baseline"/>
                <w:lang w:val="en-US" w:eastAsia="zh-CN" w:bidi="ar"/>
              </w:rPr>
              <w:t>《大气污染物综合排放标准》（GB</w:t>
            </w:r>
            <w:r>
              <w:rPr>
                <w:rFonts w:hint="eastAsia"/>
                <w:b w:val="0"/>
                <w:bCs w:val="0"/>
                <w:color w:val="auto"/>
                <w:kern w:val="2"/>
                <w:sz w:val="24"/>
                <w:szCs w:val="40"/>
                <w:vertAlign w:val="baseline"/>
                <w:lang w:val="en-US" w:eastAsia="zh-CN" w:bidi="ar"/>
              </w:rPr>
              <w:t xml:space="preserve"> </w:t>
            </w:r>
            <w:r>
              <w:rPr>
                <w:rFonts w:hint="eastAsia" w:ascii="Times New Roman"/>
                <w:b w:val="0"/>
                <w:bCs w:val="0"/>
                <w:color w:val="auto"/>
                <w:kern w:val="2"/>
                <w:sz w:val="24"/>
                <w:szCs w:val="40"/>
                <w:vertAlign w:val="baseline"/>
                <w:lang w:val="en-US" w:eastAsia="zh-CN" w:bidi="ar"/>
              </w:rPr>
              <w:t>16297-1996）无组织监控浓度限值（1.0mg/m</w:t>
            </w:r>
            <w:r>
              <w:rPr>
                <w:rFonts w:hint="eastAsia" w:ascii="Times New Roman"/>
                <w:b w:val="0"/>
                <w:bCs w:val="0"/>
                <w:color w:val="auto"/>
                <w:kern w:val="2"/>
                <w:sz w:val="24"/>
                <w:szCs w:val="40"/>
                <w:vertAlign w:val="superscript"/>
                <w:lang w:val="en-US" w:eastAsia="zh-CN" w:bidi="ar"/>
              </w:rPr>
              <w:t>3</w:t>
            </w:r>
            <w:r>
              <w:rPr>
                <w:rFonts w:hint="eastAsia" w:ascii="Times New Roman"/>
                <w:b w:val="0"/>
                <w:bCs w:val="0"/>
                <w:color w:val="auto"/>
                <w:kern w:val="2"/>
                <w:sz w:val="24"/>
                <w:szCs w:val="40"/>
                <w:vertAlign w:val="baseline"/>
                <w:lang w:val="en-US" w:eastAsia="zh-CN" w:bidi="ar"/>
              </w:rPr>
              <w:t>）</w:t>
            </w:r>
            <w:r>
              <w:rPr>
                <w:rFonts w:hint="eastAsia" w:ascii="Times New Roman" w:hAnsi="Times New Roman" w:eastAsia="宋体" w:cs="Times New Roman"/>
                <w:b w:val="0"/>
                <w:bCs w:val="0"/>
                <w:color w:val="auto"/>
                <w:kern w:val="2"/>
                <w:sz w:val="24"/>
                <w:szCs w:val="24"/>
                <w:highlight w:val="none"/>
                <w:lang w:val="en-US" w:eastAsia="zh-CN" w:bidi="ar-SA"/>
              </w:rPr>
              <w:t>，对</w:t>
            </w:r>
            <w:r>
              <w:rPr>
                <w:rFonts w:hint="eastAsia" w:ascii="Times New Roman" w:hAnsi="Times New Roman" w:eastAsia="宋体"/>
                <w:b w:val="0"/>
                <w:bCs w:val="0"/>
                <w:color w:val="auto"/>
                <w:sz w:val="24"/>
                <w:szCs w:val="24"/>
                <w:highlight w:val="none"/>
              </w:rPr>
              <w:t>区域环境空气质量影响较小，未突破大气环境质量底线</w:t>
            </w:r>
            <w:r>
              <w:rPr>
                <w:rFonts w:hint="eastAsia" w:ascii="Times New Roman" w:hAnsi="Times New Roman" w:eastAsia="宋体"/>
                <w:b w:val="0"/>
                <w:bCs w:val="0"/>
                <w:color w:val="auto"/>
                <w:sz w:val="24"/>
                <w:szCs w:val="24"/>
                <w:highlight w:val="none"/>
                <w:lang w:eastAsia="zh-CN"/>
              </w:rPr>
              <w:t>；</w:t>
            </w:r>
            <w:r>
              <w:rPr>
                <w:rFonts w:hint="eastAsia" w:ascii="Times New Roman" w:hAnsi="Times New Roman" w:eastAsia="宋体"/>
                <w:b w:val="0"/>
                <w:bCs w:val="0"/>
                <w:color w:val="auto"/>
                <w:sz w:val="24"/>
                <w:szCs w:val="24"/>
                <w:highlight w:val="none"/>
              </w:rPr>
              <w:t>项目运营过程</w:t>
            </w:r>
            <w:r>
              <w:rPr>
                <w:rFonts w:hint="eastAsia"/>
                <w:b w:val="0"/>
                <w:bCs w:val="0"/>
                <w:color w:val="auto"/>
                <w:sz w:val="24"/>
                <w:szCs w:val="24"/>
                <w:highlight w:val="none"/>
                <w:lang w:val="en-US" w:eastAsia="zh-CN"/>
              </w:rPr>
              <w:t>产生的</w:t>
            </w:r>
            <w:r>
              <w:rPr>
                <w:rFonts w:hint="eastAsia" w:cs="Times New Roman"/>
                <w:b w:val="0"/>
                <w:bCs w:val="0"/>
                <w:color w:val="auto"/>
                <w:kern w:val="2"/>
                <w:sz w:val="24"/>
                <w:szCs w:val="24"/>
                <w:highlight w:val="none"/>
                <w:lang w:val="en-US" w:eastAsia="zh-CN" w:bidi="ar-SA"/>
              </w:rPr>
              <w:t>生活污水收集至化粪池后定期由吸污车清污，拉运至天北经济技术开发区污水处理厂处理</w:t>
            </w:r>
            <w:r>
              <w:rPr>
                <w:rFonts w:hint="eastAsia" w:ascii="Times New Roman" w:hAnsi="Times New Roman" w:eastAsia="宋体"/>
                <w:b w:val="0"/>
                <w:bCs w:val="0"/>
                <w:color w:val="auto"/>
                <w:sz w:val="24"/>
                <w:szCs w:val="24"/>
                <w:highlight w:val="none"/>
                <w:lang w:val="en-US" w:eastAsia="zh-CN"/>
              </w:rPr>
              <w:t>，</w:t>
            </w:r>
            <w:r>
              <w:rPr>
                <w:rFonts w:hint="eastAsia" w:ascii="Times New Roman" w:hAnsi="Times New Roman" w:eastAsia="宋体"/>
                <w:b w:val="0"/>
                <w:bCs w:val="0"/>
                <w:color w:val="auto"/>
                <w:sz w:val="24"/>
                <w:szCs w:val="24"/>
                <w:highlight w:val="none"/>
              </w:rPr>
              <w:t>不与周边地表水体发生水力联系，未突破地表水环境质量底线。本项目主要噪声源为风机、</w:t>
            </w:r>
            <w:r>
              <w:rPr>
                <w:rFonts w:hint="eastAsia" w:ascii="Times New Roman" w:hAnsi="Times New Roman" w:eastAsia="宋体"/>
                <w:b w:val="0"/>
                <w:bCs w:val="0"/>
                <w:color w:val="auto"/>
                <w:sz w:val="24"/>
                <w:szCs w:val="24"/>
                <w:highlight w:val="none"/>
                <w:lang w:val="en-US" w:eastAsia="zh-CN"/>
              </w:rPr>
              <w:t>除尘器</w:t>
            </w:r>
            <w:r>
              <w:rPr>
                <w:rFonts w:hint="eastAsia" w:ascii="Times New Roman" w:hAnsi="Times New Roman" w:eastAsia="宋体"/>
                <w:b w:val="0"/>
                <w:bCs w:val="0"/>
                <w:color w:val="auto"/>
                <w:sz w:val="24"/>
                <w:szCs w:val="24"/>
                <w:highlight w:val="none"/>
              </w:rPr>
              <w:t>等设备噪声，采取减振、隔声等措施后，未突破声环境质量底线。本项目在做好防渗处理等措施的基础上，不会对地下水产生影响。</w:t>
            </w:r>
          </w:p>
          <w:p w14:paraId="2F917B94">
            <w:pPr>
              <w:pStyle w:val="6"/>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lang w:val="en-US" w:eastAsia="zh-CN"/>
              </w:rPr>
              <w:t>本项目施工期及运营期</w:t>
            </w:r>
            <w:r>
              <w:rPr>
                <w:rFonts w:hint="eastAsia" w:ascii="Times New Roman" w:hAnsi="Times New Roman" w:eastAsia="宋体" w:cs="Times New Roman"/>
                <w:b w:val="0"/>
                <w:bCs w:val="0"/>
                <w:color w:val="auto"/>
                <w:sz w:val="24"/>
                <w:szCs w:val="24"/>
                <w:highlight w:val="none"/>
              </w:rPr>
              <w:t>采取的环保措施能确保污染物对环境质量影响降到最低，不会突破所在区域环境质量底线。</w:t>
            </w:r>
          </w:p>
          <w:p w14:paraId="3EB173F7">
            <w:pPr>
              <w:pStyle w:val="6"/>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b/>
                <w:bCs w:val="0"/>
                <w:color w:val="auto"/>
                <w:sz w:val="24"/>
                <w:szCs w:val="24"/>
                <w:lang w:val="en-US" w:eastAsia="zh-CN"/>
              </w:rPr>
            </w:pPr>
            <w:r>
              <w:rPr>
                <w:rFonts w:hint="eastAsia"/>
                <w:b/>
                <w:bCs w:val="0"/>
                <w:color w:val="auto"/>
                <w:sz w:val="24"/>
                <w:szCs w:val="24"/>
                <w:lang w:val="en-US" w:eastAsia="zh-CN"/>
              </w:rPr>
              <w:t>2.3 资源利用上线</w:t>
            </w:r>
          </w:p>
          <w:p w14:paraId="7B94721F">
            <w:pPr>
              <w:keepNext w:val="0"/>
              <w:keepLines w:val="0"/>
              <w:pageBreakBefore w:val="0"/>
              <w:widowControl/>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jc w:val="both"/>
              <w:textAlignment w:val="baseline"/>
              <w:rPr>
                <w:rFonts w:hint="eastAsia"/>
                <w:color w:val="auto"/>
                <w:sz w:val="24"/>
                <w:szCs w:val="24"/>
                <w:highlight w:val="none"/>
              </w:rPr>
            </w:pPr>
            <w:r>
              <w:rPr>
                <w:rFonts w:hint="eastAsia"/>
                <w:color w:val="auto"/>
                <w:sz w:val="24"/>
                <w:szCs w:val="24"/>
                <w:highlight w:val="none"/>
              </w:rPr>
              <w:t>强化节约集约利用，持续提升资源能源利用效率，水资源、土地资源、能源消耗等达到国家、自治区下达的总量和强度控制目标。</w:t>
            </w:r>
          </w:p>
          <w:p w14:paraId="5721A36D">
            <w:pPr>
              <w:keepNext w:val="0"/>
              <w:keepLines w:val="0"/>
              <w:pageBreakBefore w:val="0"/>
              <w:widowControl/>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jc w:val="both"/>
              <w:textAlignment w:val="baseline"/>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本项目运营期</w:t>
            </w:r>
            <w:r>
              <w:rPr>
                <w:rFonts w:hint="eastAsia" w:cs="Times New Roman"/>
                <w:color w:val="auto"/>
                <w:sz w:val="24"/>
                <w:szCs w:val="24"/>
                <w:highlight w:val="none"/>
                <w:lang w:val="en-US" w:eastAsia="zh-CN"/>
              </w:rPr>
              <w:t>不新增建设用地，不消耗土地资源，仅消耗水资源（新鲜水用量为290m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/a）</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rPr>
              <w:t>项目资源消耗相对区域资源利用总量较少，因此项目符合资源利用上线要求。</w:t>
            </w:r>
          </w:p>
          <w:p w14:paraId="0A41C46C">
            <w:pPr>
              <w:pStyle w:val="6"/>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val="0"/>
                <w:color w:val="auto"/>
                <w:sz w:val="24"/>
                <w:szCs w:val="24"/>
                <w:lang w:val="en-US" w:eastAsia="zh-CN"/>
              </w:rPr>
            </w:pPr>
            <w:r>
              <w:rPr>
                <w:rFonts w:hint="eastAsia" w:ascii="Times New Roman" w:hAnsi="Times New Roman" w:eastAsia="宋体" w:cs="Times New Roman"/>
                <w:b/>
                <w:bCs w:val="0"/>
                <w:color w:val="auto"/>
                <w:sz w:val="24"/>
                <w:szCs w:val="24"/>
                <w:lang w:val="en-US" w:eastAsia="zh-CN"/>
              </w:rPr>
              <w:t>2.4 生态环境准入清单</w:t>
            </w:r>
          </w:p>
          <w:p w14:paraId="1B02AD5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2" w:firstLineChars="200"/>
              <w:textAlignment w:val="auto"/>
              <w:rPr>
                <w:rFonts w:hint="eastAsia" w:ascii="Times New Roman" w:hAnsi="Times New Roman" w:eastAsia="宋体" w:cs="Times New Roman"/>
                <w:b/>
                <w:bCs w:val="0"/>
                <w:color w:val="auto"/>
                <w:sz w:val="24"/>
                <w:highlight w:val="none"/>
                <w:lang w:val="en-US" w:eastAsia="zh-CN"/>
              </w:rPr>
            </w:pPr>
            <w:r>
              <w:rPr>
                <w:rFonts w:hint="eastAsia" w:ascii="Times New Roman" w:hAnsi="Times New Roman" w:eastAsia="宋体" w:cs="Times New Roman"/>
                <w:b/>
                <w:bCs w:val="0"/>
                <w:color w:val="auto"/>
                <w:sz w:val="24"/>
                <w:highlight w:val="none"/>
                <w:lang w:val="en-US" w:eastAsia="zh-CN"/>
              </w:rPr>
              <w:t>与《第七师胡杨河市“三线一单”生态环境分区管控方案》及《新疆生产建设兵团第七师胡杨河市生态环境分区管控更新成果</w:t>
            </w:r>
            <w:r>
              <w:rPr>
                <w:rFonts w:hint="eastAsia" w:cs="Times New Roman"/>
                <w:b/>
                <w:bCs w:val="0"/>
                <w:color w:val="auto"/>
                <w:sz w:val="24"/>
                <w:highlight w:val="none"/>
                <w:lang w:val="en-US" w:eastAsia="zh-CN"/>
              </w:rPr>
              <w:t>（</w:t>
            </w:r>
            <w:r>
              <w:rPr>
                <w:rFonts w:hint="eastAsia" w:ascii="Times New Roman" w:hAnsi="Times New Roman" w:eastAsia="宋体" w:cs="Times New Roman"/>
                <w:b/>
                <w:bCs w:val="0"/>
                <w:color w:val="auto"/>
                <w:sz w:val="24"/>
                <w:highlight w:val="none"/>
                <w:lang w:val="en-US" w:eastAsia="zh-CN"/>
              </w:rPr>
              <w:t>2023版</w:t>
            </w:r>
            <w:r>
              <w:rPr>
                <w:rFonts w:hint="eastAsia" w:cs="Times New Roman"/>
                <w:b/>
                <w:bCs w:val="0"/>
                <w:color w:val="auto"/>
                <w:sz w:val="24"/>
                <w:highlight w:val="none"/>
                <w:lang w:val="en-US" w:eastAsia="zh-CN"/>
              </w:rPr>
              <w:t>）</w:t>
            </w:r>
            <w:r>
              <w:rPr>
                <w:rFonts w:hint="eastAsia" w:ascii="Times New Roman" w:hAnsi="Times New Roman" w:eastAsia="宋体" w:cs="Times New Roman"/>
                <w:b/>
                <w:bCs w:val="0"/>
                <w:color w:val="auto"/>
                <w:sz w:val="24"/>
                <w:highlight w:val="none"/>
                <w:lang w:val="en-US" w:eastAsia="zh-CN"/>
              </w:rPr>
              <w:t>》符合性分析</w:t>
            </w:r>
          </w:p>
          <w:p w14:paraId="0BA496F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z w:val="24"/>
                <w:highlight w:val="none"/>
                <w:lang w:val="en-US" w:eastAsia="zh-CN"/>
              </w:rPr>
            </w:pPr>
            <w:r>
              <w:rPr>
                <w:rFonts w:hint="eastAsia" w:cs="Times New Roman"/>
                <w:bCs/>
                <w:color w:val="auto"/>
                <w:sz w:val="24"/>
                <w:highlight w:val="none"/>
                <w:lang w:eastAsia="zh-CN"/>
              </w:rPr>
              <w:t>（</w:t>
            </w:r>
            <w:r>
              <w:rPr>
                <w:rFonts w:hint="eastAsia" w:cs="Times New Roman"/>
                <w:bCs/>
                <w:color w:val="auto"/>
                <w:sz w:val="24"/>
                <w:highlight w:val="none"/>
                <w:lang w:val="en-US" w:eastAsia="zh-CN"/>
              </w:rPr>
              <w:t>1</w:t>
            </w:r>
            <w:r>
              <w:rPr>
                <w:rFonts w:hint="eastAsia" w:cs="Times New Roman"/>
                <w:bCs/>
                <w:color w:val="auto"/>
                <w:sz w:val="24"/>
                <w:highlight w:val="none"/>
                <w:lang w:eastAsia="zh-CN"/>
              </w:rPr>
              <w:t>）</w:t>
            </w:r>
            <w:r>
              <w:rPr>
                <w:rFonts w:hint="eastAsia" w:cs="Times New Roman"/>
                <w:bCs/>
                <w:color w:val="auto"/>
                <w:sz w:val="24"/>
                <w:highlight w:val="none"/>
                <w:lang w:val="en-US" w:eastAsia="zh-CN"/>
              </w:rPr>
              <w:t>生态保护红线符合性分析</w:t>
            </w:r>
          </w:p>
          <w:p w14:paraId="1A6FB51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根据《第七师胡杨河市“三线一单”生态环境分区管控方案》</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新疆生产建设兵团第七师胡杨河市人民政府于2021年6月25日印发</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第七师胡杨河市生态保护红线为：根据主导生态功能定位，实施差别化管理，确保生态保护红线生态功能不降低、面积不减少、性质不改变。对生态保护红线内的自然保护区、国家公园、风景名胜区、森林公园、地质公园、世界自然遗产、湿地公园、饮用水水源保护区等各类保护地的管理，法律法规和规章另有规定的，从其规定。</w:t>
            </w:r>
          </w:p>
          <w:p w14:paraId="7D1B4E4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项目位于第七师胡杨河市，项目占地不属于重点生态功能区、环境敏感区和脆弱区等生态红线区域，符合生态保护红线要求，不会导致辖区内生态服务功能下降。</w:t>
            </w:r>
          </w:p>
          <w:p w14:paraId="11E9694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highlight w:val="none"/>
              </w:rPr>
            </w:pP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2</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环境质量底线符合性分析</w:t>
            </w:r>
          </w:p>
          <w:p w14:paraId="3959B7F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根据《第七师胡杨河市“三线一单”生态环境分区管控方案》</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项目所在区域环境空气质量属于二类功能区，地下水属于</w:t>
            </w:r>
            <w:r>
              <w:rPr>
                <w:rFonts w:hint="default" w:ascii="Times New Roman" w:hAnsi="Times New Roman" w:eastAsia="宋体" w:cs="Times New Roman"/>
                <w:bCs/>
                <w:color w:val="auto"/>
                <w:sz w:val="24"/>
                <w:highlight w:val="none"/>
              </w:rPr>
              <w:t>Ⅲ</w:t>
            </w:r>
            <w:r>
              <w:rPr>
                <w:rFonts w:hint="eastAsia" w:ascii="Times New Roman" w:hAnsi="Times New Roman" w:eastAsia="宋体" w:cs="Times New Roman"/>
                <w:bCs/>
                <w:color w:val="auto"/>
                <w:sz w:val="24"/>
                <w:highlight w:val="none"/>
              </w:rPr>
              <w:t>类功能区，声环境属于</w:t>
            </w:r>
            <w:r>
              <w:rPr>
                <w:rFonts w:hint="eastAsia" w:cs="Times New Roman"/>
                <w:bCs/>
                <w:color w:val="auto"/>
                <w:sz w:val="24"/>
                <w:highlight w:val="none"/>
                <w:lang w:val="en-US" w:eastAsia="zh-CN"/>
              </w:rPr>
              <w:t>2</w:t>
            </w:r>
            <w:r>
              <w:rPr>
                <w:rFonts w:hint="eastAsia" w:ascii="Times New Roman" w:hAnsi="Times New Roman" w:eastAsia="宋体" w:cs="Times New Roman"/>
                <w:bCs/>
                <w:color w:val="auto"/>
                <w:sz w:val="24"/>
                <w:highlight w:val="none"/>
              </w:rPr>
              <w:t>类功能区。周边无与本项目发生地表联系的地表水体。本项目建成后各污染物均能达标排放，在落实本评价提出的污染防治措施、严格落实排污总量制度下项目排放的污染物对周边环境影响较小，不会改变现有环境质量等级，项目的实施不会影响区域环境质量目标的实现，符合环境质量底线要求。</w:t>
            </w:r>
          </w:p>
          <w:p w14:paraId="0303D17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highlight w:val="none"/>
              </w:rPr>
            </w:pP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3</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资源利用上线符合性分析</w:t>
            </w:r>
          </w:p>
          <w:p w14:paraId="2B09B25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强化节约集约利用，持续提升资源能源利用效率，水资源、土地资源、能源消耗达到国家、兵团下达的总量和强度控制目标，地下水超采得到严格控制。加快区域低碳发展，积极推动低碳试点城市建设，发挥低碳试点示范引领作用。</w:t>
            </w:r>
          </w:p>
          <w:p w14:paraId="6F84364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z w:val="24"/>
                <w:highlight w:val="none"/>
                <w:lang w:val="en-US" w:eastAsia="zh-CN"/>
              </w:rPr>
            </w:pPr>
            <w:r>
              <w:rPr>
                <w:rFonts w:hint="eastAsia" w:cs="Times New Roman"/>
                <w:bCs/>
                <w:color w:val="auto"/>
                <w:sz w:val="24"/>
                <w:highlight w:val="none"/>
                <w:lang w:val="en-US" w:eastAsia="zh-CN"/>
              </w:rPr>
              <w:t>本项目生物质热风炉运营时</w:t>
            </w:r>
            <w:r>
              <w:rPr>
                <w:rFonts w:hint="eastAsia" w:cs="Times New Roman"/>
                <w:color w:val="auto"/>
                <w:sz w:val="24"/>
                <w:szCs w:val="24"/>
                <w:highlight w:val="none"/>
                <w:lang w:val="en-US" w:eastAsia="zh-CN"/>
              </w:rPr>
              <w:t>消耗水资源（新鲜水用量为290m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/a）及电资源</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rPr>
              <w:t>项目资源消耗相对区域资源利用总量较少，</w:t>
            </w:r>
            <w:r>
              <w:rPr>
                <w:rFonts w:hint="eastAsia" w:ascii="Times New Roman" w:hAnsi="Times New Roman" w:eastAsia="宋体" w:cs="Times New Roman"/>
                <w:color w:val="auto"/>
                <w:sz w:val="24"/>
                <w:szCs w:val="24"/>
                <w:highlight w:val="none"/>
                <w:lang w:val="en-US" w:eastAsia="zh-CN"/>
              </w:rPr>
              <w:t>不会突破资源利用上线，</w:t>
            </w:r>
            <w:r>
              <w:rPr>
                <w:rFonts w:hint="eastAsia" w:ascii="Times New Roman" w:hAnsi="Times New Roman" w:eastAsia="宋体" w:cs="Times New Roman"/>
                <w:color w:val="auto"/>
                <w:sz w:val="24"/>
                <w:szCs w:val="24"/>
                <w:highlight w:val="none"/>
              </w:rPr>
              <w:t>因此项目符合资源利用上线要求。</w:t>
            </w:r>
          </w:p>
          <w:p w14:paraId="7FBCB0E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color w:val="auto"/>
                <w:highlight w:val="none"/>
              </w:rPr>
            </w:pPr>
            <w:r>
              <w:rPr>
                <w:rFonts w:hint="default" w:ascii="Times New Roman" w:hAnsi="Times New Roman" w:cs="Times New Roman"/>
                <w:snapToGrid/>
                <w:color w:val="auto"/>
                <w:kern w:val="2"/>
                <w:sz w:val="24"/>
                <w:szCs w:val="24"/>
                <w:lang w:val="en-US" w:eastAsia="zh-CN" w:bidi="ar-SA"/>
              </w:rPr>
              <w:t>本项目位于</w:t>
            </w:r>
            <w:r>
              <w:rPr>
                <w:rFonts w:hint="eastAsia" w:cs="Times New Roman"/>
                <w:snapToGrid/>
                <w:color w:val="auto"/>
                <w:kern w:val="2"/>
                <w:sz w:val="24"/>
                <w:szCs w:val="24"/>
                <w:lang w:val="en-US" w:eastAsia="zh-CN" w:bidi="ar-SA"/>
              </w:rPr>
              <w:t>新疆生产建设兵团</w:t>
            </w:r>
            <w:r>
              <w:rPr>
                <w:rFonts w:hint="eastAsia" w:ascii="Times New Roman" w:hAnsi="Times New Roman" w:eastAsia="宋体" w:cs="Times New Roman"/>
                <w:color w:val="auto"/>
                <w:sz w:val="24"/>
                <w:highlight w:val="none"/>
                <w:lang w:val="en-US" w:eastAsia="zh-CN"/>
              </w:rPr>
              <w:t>第七师131团1连漠河大道以东，217国道以西，距131团1连西侧570m。根据新疆生产建设兵团第七师一三一团第三单元连队规划图，本项目所在地用地性质已划分为工业用地</w:t>
            </w:r>
            <w:r>
              <w:rPr>
                <w:rFonts w:hint="eastAsia" w:ascii="Times New Roman" w:hAnsi="Times New Roman" w:eastAsia="宋体" w:cs="Times New Roman"/>
                <w:bCs/>
                <w:color w:val="auto"/>
                <w:sz w:val="24"/>
                <w:highlight w:val="none"/>
                <w:lang w:val="en-US" w:eastAsia="zh-CN"/>
              </w:rPr>
              <w:t>，项目占地范围为永久占地，不涉及国家公园、自然保护区、饮用水水源保护区等生态环境敏感区，本项目建设不在生态保护红线内。</w:t>
            </w:r>
            <w:r>
              <w:rPr>
                <w:rFonts w:hint="default" w:ascii="Times New Roman" w:hAnsi="Times New Roman" w:eastAsia="宋体" w:cs="Times New Roman"/>
                <w:bCs/>
                <w:color w:val="auto"/>
                <w:sz w:val="24"/>
                <w:highlight w:val="none"/>
              </w:rPr>
              <w:t>所在区域的管控单元</w:t>
            </w:r>
            <w:r>
              <w:rPr>
                <w:rFonts w:hint="eastAsia" w:cs="Times New Roman"/>
                <w:bCs/>
                <w:color w:val="auto"/>
                <w:sz w:val="24"/>
                <w:highlight w:val="none"/>
                <w:lang w:val="en-US" w:eastAsia="zh-CN"/>
              </w:rPr>
              <w:t>为</w:t>
            </w:r>
            <w:r>
              <w:rPr>
                <w:rFonts w:hint="eastAsia" w:cs="Times New Roman"/>
                <w:color w:val="auto"/>
                <w:sz w:val="24"/>
                <w:lang w:val="en-US" w:eastAsia="zh-CN"/>
              </w:rPr>
              <w:t>131团一般管控单元</w:t>
            </w:r>
            <w:r>
              <w:rPr>
                <w:rFonts w:hint="default" w:ascii="Times New Roman" w:hAnsi="Times New Roman" w:eastAsia="宋体" w:cs="Times New Roman"/>
                <w:color w:val="auto"/>
                <w:sz w:val="24"/>
                <w:highlight w:val="none"/>
              </w:rPr>
              <w:t>，单元编码</w:t>
            </w:r>
            <w:r>
              <w:rPr>
                <w:rFonts w:hint="eastAsia" w:cs="Times New Roman"/>
                <w:color w:val="auto"/>
                <w:sz w:val="24"/>
                <w:highlight w:val="none"/>
                <w:lang w:eastAsia="zh-CN"/>
              </w:rPr>
              <w:t>ZH65</w:t>
            </w:r>
            <w:r>
              <w:rPr>
                <w:rFonts w:hint="eastAsia" w:cs="Times New Roman"/>
                <w:color w:val="auto"/>
                <w:sz w:val="24"/>
                <w:highlight w:val="none"/>
                <w:lang w:val="en-US" w:eastAsia="zh-CN"/>
              </w:rPr>
              <w:t>770930001</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bCs/>
                <w:color w:val="auto"/>
                <w:sz w:val="24"/>
                <w:highlight w:val="none"/>
              </w:rPr>
              <w:t>符合性分析见表1</w:t>
            </w:r>
            <w:r>
              <w:rPr>
                <w:rFonts w:hint="eastAsia" w:ascii="Times New Roman" w:hAnsi="Times New Roman" w:eastAsia="宋体" w:cs="Times New Roman"/>
                <w:bCs/>
                <w:color w:val="auto"/>
                <w:sz w:val="24"/>
                <w:highlight w:val="none"/>
                <w:lang w:val="en-US" w:eastAsia="zh-CN"/>
              </w:rPr>
              <w:t>-</w:t>
            </w:r>
            <w:r>
              <w:rPr>
                <w:rFonts w:hint="eastAsia" w:cs="Times New Roman"/>
                <w:bCs/>
                <w:color w:val="auto"/>
                <w:sz w:val="24"/>
                <w:highlight w:val="none"/>
                <w:lang w:val="en-US" w:eastAsia="zh-CN"/>
              </w:rPr>
              <w:t>2</w:t>
            </w:r>
            <w:r>
              <w:rPr>
                <w:rFonts w:hint="default" w:ascii="Times New Roman" w:hAnsi="Times New Roman" w:eastAsia="宋体" w:cs="Times New Roman"/>
                <w:bCs/>
                <w:color w:val="auto"/>
                <w:sz w:val="24"/>
                <w:highlight w:val="none"/>
              </w:rPr>
              <w:t>。</w:t>
            </w:r>
            <w:r>
              <w:rPr>
                <w:rFonts w:hint="eastAsia" w:cs="Times New Roman"/>
                <w:bCs/>
                <w:color w:val="auto"/>
                <w:sz w:val="24"/>
                <w:highlight w:val="none"/>
                <w:lang w:eastAsia="zh-CN"/>
              </w:rPr>
              <w:t>“</w:t>
            </w:r>
            <w:r>
              <w:rPr>
                <w:rFonts w:hint="eastAsia" w:cs="Times New Roman"/>
                <w:bCs/>
                <w:color w:val="auto"/>
                <w:sz w:val="24"/>
                <w:highlight w:val="none"/>
                <w:lang w:val="en-US" w:eastAsia="zh-CN"/>
              </w:rPr>
              <w:t>第七师胡杨河市</w:t>
            </w:r>
            <w:r>
              <w:rPr>
                <w:rFonts w:hint="eastAsia" w:ascii="Times New Roman" w:hAnsi="Times New Roman" w:eastAsia="宋体" w:cs="Times New Roman"/>
                <w:bCs/>
                <w:color w:val="auto"/>
                <w:sz w:val="24"/>
                <w:highlight w:val="none"/>
                <w:lang w:val="en-US" w:eastAsia="zh-CN"/>
              </w:rPr>
              <w:t>环境管控单元</w:t>
            </w:r>
            <w:r>
              <w:rPr>
                <w:rFonts w:hint="default" w:ascii="Times New Roman" w:hAnsi="Times New Roman" w:eastAsia="宋体" w:cs="Times New Roman"/>
                <w:bCs/>
                <w:color w:val="auto"/>
                <w:sz w:val="24"/>
                <w:highlight w:val="none"/>
              </w:rPr>
              <w:t>图</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见</w:t>
            </w:r>
            <w:r>
              <w:rPr>
                <w:rFonts w:hint="eastAsia" w:ascii="Times New Roman" w:hAnsi="Times New Roman" w:eastAsia="宋体" w:cs="Times New Roman"/>
                <w:b/>
                <w:bCs w:val="0"/>
                <w:color w:val="auto"/>
                <w:sz w:val="24"/>
                <w:highlight w:val="none"/>
                <w:lang w:val="en-US" w:eastAsia="zh-CN"/>
              </w:rPr>
              <w:t>附图</w:t>
            </w:r>
            <w:r>
              <w:rPr>
                <w:rFonts w:hint="eastAsia" w:cs="Times New Roman"/>
                <w:b/>
                <w:bCs w:val="0"/>
                <w:color w:val="auto"/>
                <w:sz w:val="24"/>
                <w:highlight w:val="none"/>
                <w:lang w:val="en-US" w:eastAsia="zh-CN"/>
              </w:rPr>
              <w:t>3</w:t>
            </w:r>
            <w:r>
              <w:rPr>
                <w:rFonts w:hint="default" w:ascii="Times New Roman" w:hAnsi="Times New Roman" w:eastAsia="宋体" w:cs="Times New Roman"/>
                <w:bCs/>
                <w:color w:val="auto"/>
                <w:sz w:val="24"/>
                <w:highlight w:val="none"/>
              </w:rPr>
              <w:t>。</w:t>
            </w:r>
          </w:p>
          <w:p w14:paraId="1E09277F">
            <w:pPr>
              <w:pStyle w:val="147"/>
              <w:keepNext w:val="0"/>
              <w:keepLines w:val="0"/>
              <w:suppressLineNumbers w:val="0"/>
              <w:bidi w:val="0"/>
              <w:spacing w:before="0" w:beforeAutospacing="0" w:after="0" w:afterAutospacing="0"/>
              <w:ind w:left="0" w:right="0"/>
              <w:rPr>
                <w:color w:val="auto"/>
                <w:highlight w:val="none"/>
              </w:rPr>
            </w:pPr>
            <w:r>
              <w:rPr>
                <w:rFonts w:hint="eastAsia"/>
                <w:color w:val="auto"/>
                <w:highlight w:val="none"/>
              </w:rPr>
              <w:t>表1-</w:t>
            </w:r>
            <w:r>
              <w:rPr>
                <w:rFonts w:hint="eastAsia"/>
                <w:color w:val="auto"/>
                <w:highlight w:val="none"/>
                <w:lang w:val="en-US" w:eastAsia="zh-CN"/>
              </w:rPr>
              <w:t>2</w:t>
            </w:r>
            <w:r>
              <w:rPr>
                <w:rFonts w:hint="eastAsia"/>
                <w:color w:val="auto"/>
                <w:highlight w:val="none"/>
              </w:rPr>
              <w:t xml:space="preserve">  环境管控单元管控要求</w:t>
            </w:r>
          </w:p>
          <w:tbl>
            <w:tblPr>
              <w:tblStyle w:val="39"/>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
              <w:gridCol w:w="3459"/>
              <w:gridCol w:w="3582"/>
              <w:gridCol w:w="700"/>
            </w:tblGrid>
            <w:tr w14:paraId="4EB9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pct"/>
                  <w:gridSpan w:val="2"/>
                  <w:tcBorders>
                    <w:tl2br w:val="nil"/>
                    <w:tr2bl w:val="nil"/>
                  </w:tcBorders>
                  <w:vAlign w:val="center"/>
                </w:tcPr>
                <w:p w14:paraId="42E01254">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环境管控单元编码</w:t>
                  </w:r>
                </w:p>
              </w:tc>
              <w:tc>
                <w:tcPr>
                  <w:tcW w:w="2618" w:type="pct"/>
                  <w:gridSpan w:val="2"/>
                  <w:tcBorders>
                    <w:tl2br w:val="nil"/>
                    <w:tr2bl w:val="nil"/>
                  </w:tcBorders>
                  <w:vAlign w:val="center"/>
                </w:tcPr>
                <w:p w14:paraId="1B8EF94E">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lang w:val="en-US" w:eastAsia="zh-CN"/>
                    </w:rPr>
                  </w:pPr>
                  <w:r>
                    <w:rPr>
                      <w:rFonts w:hint="eastAsia"/>
                      <w:b/>
                      <w:bCs/>
                      <w:color w:val="auto"/>
                      <w:sz w:val="21"/>
                      <w:szCs w:val="21"/>
                      <w:highlight w:val="none"/>
                      <w:lang w:eastAsia="zh-CN"/>
                    </w:rPr>
                    <w:t>ZH65</w:t>
                  </w:r>
                  <w:r>
                    <w:rPr>
                      <w:rFonts w:hint="eastAsia"/>
                      <w:b/>
                      <w:bCs/>
                      <w:color w:val="auto"/>
                      <w:sz w:val="21"/>
                      <w:szCs w:val="21"/>
                      <w:highlight w:val="none"/>
                      <w:lang w:val="en-US" w:eastAsia="zh-CN"/>
                    </w:rPr>
                    <w:t>770930001</w:t>
                  </w:r>
                </w:p>
              </w:tc>
            </w:tr>
            <w:tr w14:paraId="5661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pct"/>
                  <w:gridSpan w:val="2"/>
                  <w:tcBorders>
                    <w:tl2br w:val="nil"/>
                    <w:tr2bl w:val="nil"/>
                  </w:tcBorders>
                  <w:vAlign w:val="center"/>
                </w:tcPr>
                <w:p w14:paraId="0A8F2962">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环境管控单元名称</w:t>
                  </w:r>
                </w:p>
              </w:tc>
              <w:tc>
                <w:tcPr>
                  <w:tcW w:w="2618" w:type="pct"/>
                  <w:gridSpan w:val="2"/>
                  <w:tcBorders>
                    <w:tl2br w:val="nil"/>
                    <w:tr2bl w:val="nil"/>
                  </w:tcBorders>
                  <w:vAlign w:val="center"/>
                </w:tcPr>
                <w:p w14:paraId="57D3BC72">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lang w:val="en-US"/>
                    </w:rPr>
                  </w:pPr>
                  <w:r>
                    <w:rPr>
                      <w:rFonts w:hint="eastAsia"/>
                      <w:b/>
                      <w:bCs/>
                      <w:color w:val="auto"/>
                      <w:sz w:val="21"/>
                      <w:szCs w:val="21"/>
                      <w:highlight w:val="none"/>
                      <w:lang w:val="en-US" w:eastAsia="zh-CN"/>
                    </w:rPr>
                    <w:t>131团一般管控单元</w:t>
                  </w:r>
                </w:p>
              </w:tc>
            </w:tr>
            <w:tr w14:paraId="7AE5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pct"/>
                  <w:gridSpan w:val="2"/>
                  <w:tcBorders>
                    <w:tl2br w:val="nil"/>
                    <w:tr2bl w:val="nil"/>
                  </w:tcBorders>
                  <w:vAlign w:val="center"/>
                </w:tcPr>
                <w:p w14:paraId="65C380E0">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环境管控单元属性</w:t>
                  </w:r>
                </w:p>
              </w:tc>
              <w:tc>
                <w:tcPr>
                  <w:tcW w:w="2618" w:type="pct"/>
                  <w:gridSpan w:val="2"/>
                  <w:tcBorders>
                    <w:tl2br w:val="nil"/>
                    <w:tr2bl w:val="nil"/>
                  </w:tcBorders>
                  <w:vAlign w:val="center"/>
                </w:tcPr>
                <w:p w14:paraId="63ACD209">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rPr>
                  </w:pPr>
                  <w:r>
                    <w:rPr>
                      <w:rFonts w:hint="eastAsia"/>
                      <w:b/>
                      <w:bCs/>
                      <w:color w:val="auto"/>
                      <w:sz w:val="21"/>
                      <w:szCs w:val="21"/>
                      <w:highlight w:val="none"/>
                      <w:lang w:val="en-US" w:eastAsia="zh-CN"/>
                    </w:rPr>
                    <w:t>一般</w:t>
                  </w:r>
                  <w:r>
                    <w:rPr>
                      <w:rFonts w:hint="eastAsia" w:ascii="Times New Roman" w:hAnsi="Times New Roman" w:eastAsia="宋体"/>
                      <w:b/>
                      <w:bCs/>
                      <w:color w:val="auto"/>
                      <w:sz w:val="21"/>
                      <w:szCs w:val="21"/>
                      <w:highlight w:val="none"/>
                    </w:rPr>
                    <w:t>管控单元</w:t>
                  </w:r>
                </w:p>
              </w:tc>
            </w:tr>
            <w:tr w14:paraId="4C75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381" w:type="pct"/>
                  <w:gridSpan w:val="2"/>
                  <w:tcBorders>
                    <w:tl2br w:val="nil"/>
                    <w:tr2bl w:val="nil"/>
                  </w:tcBorders>
                  <w:vAlign w:val="center"/>
                </w:tcPr>
                <w:p w14:paraId="2F333802">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管控要求</w:t>
                  </w:r>
                </w:p>
              </w:tc>
              <w:tc>
                <w:tcPr>
                  <w:tcW w:w="2190" w:type="pct"/>
                  <w:tcBorders>
                    <w:tl2br w:val="nil"/>
                    <w:tr2bl w:val="nil"/>
                  </w:tcBorders>
                  <w:vAlign w:val="center"/>
                </w:tcPr>
                <w:p w14:paraId="3A747944">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本项目情况</w:t>
                  </w:r>
                </w:p>
              </w:tc>
              <w:tc>
                <w:tcPr>
                  <w:tcW w:w="428" w:type="pct"/>
                  <w:tcBorders>
                    <w:tl2br w:val="nil"/>
                    <w:tr2bl w:val="nil"/>
                  </w:tcBorders>
                  <w:vAlign w:val="center"/>
                </w:tcPr>
                <w:p w14:paraId="49DC388B">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rPr>
                    <w:t>符合性</w:t>
                  </w:r>
                </w:p>
              </w:tc>
            </w:tr>
            <w:tr w14:paraId="555A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66" w:type="pct"/>
                  <w:tcBorders>
                    <w:tl2br w:val="nil"/>
                    <w:tr2bl w:val="nil"/>
                  </w:tcBorders>
                  <w:vAlign w:val="center"/>
                </w:tcPr>
                <w:p w14:paraId="1467B136">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left"/>
                    <w:rPr>
                      <w:rFonts w:hint="default"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空间布局约束</w:t>
                  </w:r>
                </w:p>
              </w:tc>
              <w:tc>
                <w:tcPr>
                  <w:tcW w:w="2114" w:type="pct"/>
                  <w:tcBorders>
                    <w:tl2br w:val="nil"/>
                    <w:tr2bl w:val="nil"/>
                  </w:tcBorders>
                  <w:vAlign w:val="center"/>
                </w:tcPr>
                <w:p w14:paraId="130080CB">
                  <w:pPr>
                    <w:pStyle w:val="11"/>
                    <w:keepNext w:val="0"/>
                    <w:keepLines w:val="0"/>
                    <w:pageBreakBefore w:val="0"/>
                    <w:numPr>
                      <w:ilvl w:val="0"/>
                      <w:numId w:val="0"/>
                    </w:numPr>
                    <w:suppressLineNumbers w:val="0"/>
                    <w:kinsoku/>
                    <w:wordWrap/>
                    <w:overflowPunct/>
                    <w:topLinePunct w:val="0"/>
                    <w:autoSpaceDE/>
                    <w:autoSpaceDN/>
                    <w:bidi w:val="0"/>
                    <w:adjustRightInd w:val="0"/>
                    <w:spacing w:before="0" w:beforeAutospacing="0" w:after="0" w:afterAutospacing="0" w:line="240" w:lineRule="auto"/>
                    <w:ind w:left="0" w:leftChars="0" w:right="0" w:rightChars="0" w:firstLine="0" w:firstLineChars="0"/>
                    <w:jc w:val="both"/>
                    <w:textAlignment w:val="auto"/>
                    <w:rPr>
                      <w:rFonts w:hint="eastAsia"/>
                      <w:color w:val="auto"/>
                      <w:sz w:val="21"/>
                      <w:szCs w:val="21"/>
                      <w:highlight w:val="none"/>
                    </w:rPr>
                  </w:pPr>
                  <w:r>
                    <w:rPr>
                      <w:rFonts w:hint="eastAsia" w:cs="Times New Roman"/>
                      <w:color w:val="auto"/>
                      <w:kern w:val="0"/>
                      <w:sz w:val="21"/>
                      <w:szCs w:val="21"/>
                      <w:lang w:val="en-US" w:eastAsia="zh-CN" w:bidi="ar-SA"/>
                    </w:rPr>
                    <w:t>（1）</w:t>
                  </w:r>
                  <w:r>
                    <w:rPr>
                      <w:rFonts w:hint="eastAsia"/>
                      <w:color w:val="auto"/>
                      <w:sz w:val="21"/>
                      <w:szCs w:val="21"/>
                      <w:highlight w:val="none"/>
                    </w:rPr>
                    <w:t>将保护现有荒漠植被作为防沙治沙的首要任务，划定为沙化土地封禁保护区，保护绿洲边缘荒漠林，避免营造高耗水的人工速生林。</w:t>
                  </w:r>
                </w:p>
                <w:p w14:paraId="0481B4DB">
                  <w:pPr>
                    <w:pStyle w:val="11"/>
                    <w:keepNext w:val="0"/>
                    <w:keepLines w:val="0"/>
                    <w:pageBreakBefore w:val="0"/>
                    <w:numPr>
                      <w:ilvl w:val="0"/>
                      <w:numId w:val="0"/>
                    </w:numPr>
                    <w:suppressLineNumbers w:val="0"/>
                    <w:kinsoku/>
                    <w:wordWrap/>
                    <w:overflowPunct/>
                    <w:topLinePunct w:val="0"/>
                    <w:autoSpaceDE/>
                    <w:autoSpaceDN/>
                    <w:bidi w:val="0"/>
                    <w:adjustRightInd w:val="0"/>
                    <w:spacing w:before="0" w:beforeAutospacing="0" w:after="0" w:afterAutospacing="0" w:line="240" w:lineRule="auto"/>
                    <w:ind w:left="0" w:leftChars="0" w:right="0" w:rightChars="0"/>
                    <w:jc w:val="both"/>
                    <w:textAlignment w:val="auto"/>
                    <w:rPr>
                      <w:rFonts w:hint="eastAsia" w:ascii="Times New Roman" w:hAnsi="Times New Roman" w:eastAsia="宋体" w:cs="Times New Roman"/>
                      <w:bCs/>
                      <w:color w:val="auto"/>
                      <w:kern w:val="2"/>
                      <w:sz w:val="21"/>
                      <w:szCs w:val="21"/>
                      <w:highlight w:val="yellow"/>
                      <w:lang w:val="en-US" w:eastAsia="zh-CN" w:bidi="ar-SA"/>
                    </w:rPr>
                  </w:pPr>
                  <w:r>
                    <w:rPr>
                      <w:rFonts w:hint="eastAsia"/>
                      <w:color w:val="auto"/>
                      <w:sz w:val="21"/>
                      <w:szCs w:val="21"/>
                      <w:highlight w:val="none"/>
                      <w:lang w:eastAsia="zh-CN"/>
                    </w:rPr>
                    <w:t>（</w:t>
                  </w:r>
                  <w:r>
                    <w:rPr>
                      <w:rFonts w:hint="eastAsia"/>
                      <w:color w:val="auto"/>
                      <w:sz w:val="21"/>
                      <w:szCs w:val="21"/>
                      <w:highlight w:val="none"/>
                    </w:rPr>
                    <w:t>2</w:t>
                  </w:r>
                  <w:r>
                    <w:rPr>
                      <w:rFonts w:hint="eastAsia"/>
                      <w:color w:val="auto"/>
                      <w:sz w:val="21"/>
                      <w:szCs w:val="21"/>
                      <w:highlight w:val="none"/>
                      <w:lang w:eastAsia="zh-CN"/>
                    </w:rPr>
                    <w:t>）</w:t>
                  </w:r>
                  <w:r>
                    <w:rPr>
                      <w:rFonts w:hint="eastAsia"/>
                      <w:color w:val="auto"/>
                      <w:sz w:val="21"/>
                      <w:szCs w:val="21"/>
                      <w:highlight w:val="none"/>
                    </w:rPr>
                    <w:t>加强农田防护林网体系建设，保护基本农田，改造中低产农田和盐碱地，发展设施农业，并改进农业种植技术。</w:t>
                  </w:r>
                </w:p>
              </w:tc>
              <w:tc>
                <w:tcPr>
                  <w:tcW w:w="2190" w:type="pct"/>
                  <w:tcBorders>
                    <w:tl2br w:val="nil"/>
                    <w:tr2bl w:val="nil"/>
                  </w:tcBorders>
                  <w:vAlign w:val="center"/>
                </w:tcPr>
                <w:p w14:paraId="4DCC867D">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240" w:lineRule="auto"/>
                    <w:ind w:left="0" w:leftChars="0" w:right="0" w:rightChars="0"/>
                    <w:jc w:val="both"/>
                    <w:textAlignment w:val="auto"/>
                    <w:rPr>
                      <w:rFonts w:hint="default"/>
                      <w:color w:val="auto"/>
                      <w:sz w:val="21"/>
                      <w:szCs w:val="21"/>
                      <w:highlight w:val="yellow"/>
                      <w:lang w:val="en-US" w:eastAsia="zh-CN"/>
                    </w:rPr>
                  </w:pPr>
                  <w:r>
                    <w:rPr>
                      <w:rFonts w:hint="default" w:ascii="Times New Roman" w:hAnsi="Times New Roman" w:cs="Times New Roman"/>
                      <w:color w:val="auto"/>
                      <w:kern w:val="2"/>
                      <w:sz w:val="21"/>
                      <w:szCs w:val="21"/>
                      <w:lang w:val="en-US" w:eastAsia="zh-CN"/>
                    </w:rPr>
                    <w:t>项目建设地点位于第七师</w:t>
                  </w:r>
                  <w:r>
                    <w:rPr>
                      <w:rFonts w:hint="eastAsia" w:cs="Times New Roman"/>
                      <w:color w:val="auto"/>
                      <w:kern w:val="2"/>
                      <w:sz w:val="21"/>
                      <w:szCs w:val="21"/>
                      <w:lang w:val="en-US" w:eastAsia="zh-CN"/>
                    </w:rPr>
                    <w:t>一三一团</w:t>
                  </w:r>
                  <w:r>
                    <w:rPr>
                      <w:rFonts w:hint="default" w:ascii="Times New Roman" w:hAnsi="Times New Roman" w:cs="Times New Roman"/>
                      <w:color w:val="auto"/>
                      <w:kern w:val="2"/>
                      <w:sz w:val="21"/>
                      <w:szCs w:val="21"/>
                      <w:lang w:val="en-US" w:eastAsia="zh-CN"/>
                    </w:rPr>
                    <w:t>，用地性质为工业用地，项目的建设活动不涉及基本农田；满足空间约束布局的要求。</w:t>
                  </w:r>
                </w:p>
              </w:tc>
              <w:tc>
                <w:tcPr>
                  <w:tcW w:w="428" w:type="pct"/>
                  <w:tcBorders>
                    <w:tl2br w:val="nil"/>
                    <w:tr2bl w:val="nil"/>
                  </w:tcBorders>
                  <w:vAlign w:val="center"/>
                </w:tcPr>
                <w:p w14:paraId="5BA3B594">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符合</w:t>
                  </w:r>
                </w:p>
              </w:tc>
            </w:tr>
            <w:tr w14:paraId="72CF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66" w:type="pct"/>
                  <w:tcBorders>
                    <w:tl2br w:val="nil"/>
                    <w:tr2bl w:val="nil"/>
                  </w:tcBorders>
                  <w:vAlign w:val="center"/>
                </w:tcPr>
                <w:p w14:paraId="4CCF02AD">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left"/>
                    <w:rPr>
                      <w:rFonts w:hint="default"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污染物排放管控</w:t>
                  </w:r>
                </w:p>
              </w:tc>
              <w:tc>
                <w:tcPr>
                  <w:tcW w:w="2114" w:type="pct"/>
                  <w:tcBorders>
                    <w:tl2br w:val="nil"/>
                    <w:tr2bl w:val="nil"/>
                  </w:tcBorders>
                  <w:vAlign w:val="center"/>
                </w:tcPr>
                <w:p w14:paraId="57AEC4D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严格落实环境保护目标责任制，强化污染物总量控制目标考核，健全重大环境事件和污染事故责任追究制度，加大问责力度。强化环境执法监督，严格污染物排放标准、环境影响评价和污染物排放许可制度，进一步健全环境监管体制。严格执行行业排放标准、清洁生产标准，降低污染物产生强度、排放</w:t>
                  </w:r>
                </w:p>
                <w:p w14:paraId="2DBA13C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both"/>
                    <w:textAlignment w:val="auto"/>
                    <w:rPr>
                      <w:rFonts w:hint="eastAsia"/>
                      <w:color w:val="auto"/>
                      <w:sz w:val="21"/>
                      <w:szCs w:val="21"/>
                      <w:highlight w:val="none"/>
                      <w:lang w:eastAsia="zh-CN"/>
                    </w:rPr>
                  </w:pPr>
                  <w:r>
                    <w:rPr>
                      <w:rFonts w:hint="eastAsia" w:ascii="Times New Roman" w:hAnsi="Times New Roman" w:eastAsia="宋体" w:cs="Times New Roman"/>
                      <w:color w:val="auto"/>
                      <w:kern w:val="2"/>
                      <w:sz w:val="21"/>
                      <w:szCs w:val="21"/>
                      <w:highlight w:val="none"/>
                      <w:lang w:val="en-US" w:eastAsia="zh-CN" w:bidi="ar-SA"/>
                    </w:rPr>
                    <w:t>强度。</w:t>
                  </w:r>
                </w:p>
              </w:tc>
              <w:tc>
                <w:tcPr>
                  <w:tcW w:w="2190" w:type="pct"/>
                  <w:tcBorders>
                    <w:tl2br w:val="nil"/>
                    <w:tr2bl w:val="nil"/>
                  </w:tcBorders>
                  <w:vAlign w:val="center"/>
                </w:tcPr>
                <w:p w14:paraId="19416CDE">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both"/>
                    <w:textAlignment w:val="auto"/>
                    <w:rPr>
                      <w:rFonts w:hint="eastAsia" w:cs="Times New Roman"/>
                      <w:bCs/>
                      <w:color w:val="auto"/>
                      <w:kern w:val="2"/>
                      <w:sz w:val="21"/>
                      <w:szCs w:val="21"/>
                      <w:highlight w:val="none"/>
                      <w:lang w:val="en-US" w:eastAsia="zh-CN" w:bidi="ar-SA"/>
                    </w:rPr>
                  </w:pPr>
                  <w:r>
                    <w:rPr>
                      <w:rFonts w:hint="eastAsia" w:ascii="Times New Roman" w:hAnsi="Times New Roman" w:eastAsia="宋体" w:cs="宋体"/>
                      <w:color w:val="auto"/>
                      <w:sz w:val="21"/>
                      <w:szCs w:val="21"/>
                      <w:highlight w:val="none"/>
                      <w:lang w:val="en-US" w:eastAsia="zh-CN"/>
                    </w:rPr>
                    <w:t>本项目</w:t>
                  </w:r>
                  <w:r>
                    <w:rPr>
                      <w:rFonts w:hint="eastAsia" w:cs="宋体"/>
                      <w:color w:val="auto"/>
                      <w:sz w:val="21"/>
                      <w:szCs w:val="21"/>
                      <w:highlight w:val="none"/>
                      <w:lang w:val="en-US" w:eastAsia="zh-CN"/>
                    </w:rPr>
                    <w:t>1台生物质热风炉燃烧废气经配套的SNCR+旋风除尘+布袋除尘器处理后，由1根不低于17m排气筒达标排放</w:t>
                  </w:r>
                  <w:r>
                    <w:rPr>
                      <w:rFonts w:hint="eastAsia" w:cs="Times New Roman"/>
                      <w:bCs/>
                      <w:color w:val="auto"/>
                      <w:kern w:val="2"/>
                      <w:sz w:val="21"/>
                      <w:szCs w:val="21"/>
                      <w:highlight w:val="none"/>
                      <w:lang w:val="en-US" w:eastAsia="zh-CN" w:bidi="ar-SA"/>
                    </w:rPr>
                    <w:t>。</w:t>
                  </w:r>
                </w:p>
                <w:p w14:paraId="09A2F554">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both"/>
                    <w:textAlignment w:val="auto"/>
                    <w:rPr>
                      <w:rFonts w:hint="default" w:cs="Times New Roman"/>
                      <w:bCs/>
                      <w:color w:val="auto"/>
                      <w:kern w:val="2"/>
                      <w:sz w:val="21"/>
                      <w:szCs w:val="21"/>
                      <w:highlight w:val="none"/>
                      <w:lang w:val="en-US" w:eastAsia="zh-CN" w:bidi="ar-SA"/>
                    </w:rPr>
                  </w:pPr>
                  <w:r>
                    <w:rPr>
                      <w:rFonts w:hint="eastAsia"/>
                      <w:color w:val="auto"/>
                      <w:sz w:val="21"/>
                      <w:highlight w:val="none"/>
                      <w:lang w:val="en-US" w:eastAsia="zh-CN"/>
                    </w:rPr>
                    <w:t>本项目产生的</w:t>
                  </w:r>
                  <w:r>
                    <w:rPr>
                      <w:rFonts w:hint="eastAsia" w:ascii="Times New Roman" w:hAnsi="Times New Roman" w:eastAsia="宋体" w:cs="宋体"/>
                      <w:color w:val="auto"/>
                      <w:kern w:val="0"/>
                      <w:sz w:val="21"/>
                      <w:szCs w:val="21"/>
                      <w:highlight w:val="none"/>
                      <w:lang w:val="en-US" w:eastAsia="zh-CN" w:bidi="ar"/>
                    </w:rPr>
                    <w:t>锅炉灰渣、收尘灰</w:t>
                  </w:r>
                  <w:r>
                    <w:rPr>
                      <w:rFonts w:hint="eastAsia" w:ascii="Times New Roman" w:hAnsi="Times New Roman" w:eastAsia="宋体" w:cs="Times New Roman"/>
                      <w:color w:val="auto"/>
                      <w:kern w:val="2"/>
                      <w:sz w:val="21"/>
                      <w:szCs w:val="21"/>
                      <w:highlight w:val="none"/>
                      <w:lang w:val="en-US" w:eastAsia="zh-CN" w:bidi="ar-SA"/>
                    </w:rPr>
                    <w:t>收集</w:t>
                  </w:r>
                  <w:r>
                    <w:rPr>
                      <w:rFonts w:hint="eastAsia" w:cs="Times New Roman"/>
                      <w:color w:val="auto"/>
                      <w:kern w:val="2"/>
                      <w:sz w:val="21"/>
                      <w:szCs w:val="21"/>
                      <w:highlight w:val="none"/>
                      <w:lang w:val="en-US" w:eastAsia="zh-CN" w:bidi="ar-SA"/>
                    </w:rPr>
                    <w:t>定期作为建筑原料或生产建筑原料的材料外售</w:t>
                  </w:r>
                  <w:r>
                    <w:rPr>
                      <w:rFonts w:hint="eastAsia" w:ascii="Times New Roman" w:hAnsi="Times New Roman"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生活垃圾交由环卫部门处理；除尘器废布袋</w:t>
                  </w:r>
                  <w:r>
                    <w:rPr>
                      <w:rFonts w:hint="eastAsia" w:ascii="Times New Roman" w:hAnsi="Times New Roman" w:eastAsia="宋体" w:cs="Times New Roman"/>
                      <w:color w:val="auto"/>
                      <w:kern w:val="2"/>
                      <w:sz w:val="21"/>
                      <w:szCs w:val="21"/>
                      <w:highlight w:val="none"/>
                      <w:lang w:val="en-US" w:eastAsia="zh-CN" w:bidi="ar-SA"/>
                    </w:rPr>
                    <w:t>更换后立即外售处置，不在项目区内储存</w:t>
                  </w:r>
                  <w:r>
                    <w:rPr>
                      <w:rFonts w:hint="eastAsia" w:cs="Times New Roman"/>
                      <w:color w:val="auto"/>
                      <w:kern w:val="2"/>
                      <w:sz w:val="21"/>
                      <w:szCs w:val="21"/>
                      <w:highlight w:val="none"/>
                      <w:lang w:val="en-US" w:eastAsia="zh-CN" w:bidi="ar-SA"/>
                    </w:rPr>
                    <w:t>；筛分过程在封闭车间进行同时设置布袋除尘器，烘干工序设抑尘罩抑尘，输送带及出料口封闭；生物质热风炉维修及日常维护中产生的废机油、废机油桶、含油废抹布和含油废手套收集暂存于危废库，定期交由有资质的单位处理。</w:t>
                  </w:r>
                </w:p>
              </w:tc>
              <w:tc>
                <w:tcPr>
                  <w:tcW w:w="428" w:type="pct"/>
                  <w:tcBorders>
                    <w:tl2br w:val="nil"/>
                    <w:tr2bl w:val="nil"/>
                  </w:tcBorders>
                  <w:vAlign w:val="center"/>
                </w:tcPr>
                <w:p w14:paraId="2488BA4E">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符合</w:t>
                  </w:r>
                </w:p>
              </w:tc>
            </w:tr>
            <w:tr w14:paraId="5003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66" w:type="pct"/>
                  <w:tcBorders>
                    <w:tl2br w:val="nil"/>
                    <w:tr2bl w:val="nil"/>
                  </w:tcBorders>
                  <w:vAlign w:val="center"/>
                </w:tcPr>
                <w:p w14:paraId="0E1B5DD0">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left"/>
                    <w:rPr>
                      <w:rFonts w:hint="default"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环境风险防控</w:t>
                  </w:r>
                </w:p>
              </w:tc>
              <w:tc>
                <w:tcPr>
                  <w:tcW w:w="2114" w:type="pct"/>
                  <w:tcBorders>
                    <w:tl2br w:val="nil"/>
                    <w:tr2bl w:val="nil"/>
                  </w:tcBorders>
                  <w:vAlign w:val="center"/>
                </w:tcPr>
                <w:p w14:paraId="192AF260">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rightChars="0" w:firstLine="0" w:firstLineChars="0"/>
                    <w:jc w:val="both"/>
                    <w:textAlignment w:val="auto"/>
                    <w:rPr>
                      <w:rFonts w:hint="eastAsia" w:ascii="Times New Roman" w:hAnsi="Times New Roman" w:eastAsia="宋体"/>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rPr>
                    <w:t>1</w:t>
                  </w:r>
                  <w:r>
                    <w:rPr>
                      <w:rFonts w:hint="eastAsia"/>
                      <w:color w:val="auto"/>
                      <w:sz w:val="21"/>
                      <w:szCs w:val="21"/>
                      <w:highlight w:val="none"/>
                      <w:lang w:eastAsia="zh-CN"/>
                    </w:rPr>
                    <w:t>）</w:t>
                  </w:r>
                  <w:r>
                    <w:rPr>
                      <w:rFonts w:hint="eastAsia"/>
                      <w:color w:val="auto"/>
                      <w:sz w:val="21"/>
                      <w:szCs w:val="21"/>
                      <w:highlight w:val="none"/>
                    </w:rPr>
                    <w:t>对耕地面积减少或土壤环境质量下降的团场要进行预警提醒，并依法采取环评限批等限制性措施。</w:t>
                  </w:r>
                </w:p>
              </w:tc>
              <w:tc>
                <w:tcPr>
                  <w:tcW w:w="2190" w:type="pct"/>
                  <w:tcBorders>
                    <w:tl2br w:val="nil"/>
                    <w:tr2bl w:val="nil"/>
                  </w:tcBorders>
                  <w:vAlign w:val="center"/>
                </w:tcPr>
                <w:p w14:paraId="3646F6B6">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jc w:val="both"/>
                    <w:textAlignment w:val="auto"/>
                    <w:rPr>
                      <w:rFonts w:hint="default" w:cs="Times New Roman"/>
                      <w:bCs/>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rPr>
                    <w:t>项目建设地点位于第七师</w:t>
                  </w:r>
                  <w:r>
                    <w:rPr>
                      <w:rFonts w:hint="eastAsia" w:cs="Times New Roman"/>
                      <w:color w:val="auto"/>
                      <w:kern w:val="2"/>
                      <w:sz w:val="21"/>
                      <w:szCs w:val="21"/>
                      <w:highlight w:val="none"/>
                      <w:lang w:val="en-US" w:eastAsia="zh-CN"/>
                    </w:rPr>
                    <w:t>一三一团</w:t>
                  </w:r>
                  <w:r>
                    <w:rPr>
                      <w:rFonts w:hint="default" w:ascii="Times New Roman" w:hAnsi="Times New Roman" w:cs="Times New Roman"/>
                      <w:color w:val="auto"/>
                      <w:kern w:val="2"/>
                      <w:sz w:val="21"/>
                      <w:szCs w:val="21"/>
                      <w:highlight w:val="none"/>
                      <w:lang w:val="en-US" w:eastAsia="zh-CN"/>
                    </w:rPr>
                    <w:t>，用地性质为工业用地，项目的建设活动不涉及基本农田</w:t>
                  </w:r>
                  <w:r>
                    <w:rPr>
                      <w:rFonts w:hint="eastAsia" w:cs="Times New Roman"/>
                      <w:color w:val="auto"/>
                      <w:kern w:val="2"/>
                      <w:sz w:val="21"/>
                      <w:szCs w:val="21"/>
                      <w:highlight w:val="none"/>
                      <w:lang w:val="en-US" w:eastAsia="zh-CN"/>
                    </w:rPr>
                    <w:t>。</w:t>
                  </w:r>
                </w:p>
              </w:tc>
              <w:tc>
                <w:tcPr>
                  <w:tcW w:w="428" w:type="pct"/>
                  <w:tcBorders>
                    <w:tl2br w:val="nil"/>
                    <w:tr2bl w:val="nil"/>
                  </w:tcBorders>
                  <w:vAlign w:val="center"/>
                </w:tcPr>
                <w:p w14:paraId="07DAF4E5">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符合</w:t>
                  </w:r>
                </w:p>
              </w:tc>
            </w:tr>
            <w:tr w14:paraId="4420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66" w:type="pct"/>
                  <w:tcBorders>
                    <w:tl2br w:val="nil"/>
                    <w:tr2bl w:val="nil"/>
                  </w:tcBorders>
                  <w:vAlign w:val="center"/>
                </w:tcPr>
                <w:p w14:paraId="567943EF">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left"/>
                    <w:rPr>
                      <w:rFonts w:hint="default"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资源利用效率</w:t>
                  </w:r>
                </w:p>
              </w:tc>
              <w:tc>
                <w:tcPr>
                  <w:tcW w:w="2114" w:type="pct"/>
                  <w:tcBorders>
                    <w:tl2br w:val="nil"/>
                    <w:tr2bl w:val="nil"/>
                  </w:tcBorders>
                  <w:vAlign w:val="center"/>
                </w:tcPr>
                <w:p w14:paraId="4CA118C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Times New Roman" w:hAnsi="Times New Roman" w:eastAsia="宋体"/>
                      <w:color w:val="auto"/>
                      <w:sz w:val="21"/>
                      <w:szCs w:val="21"/>
                      <w:highlight w:val="none"/>
                      <w:lang w:eastAsia="zh-CN"/>
                    </w:rPr>
                  </w:pP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推行秸秆还田、增施有机肥、少耕免耕、粮豆轮作、化肥农药减量、农膜减量与回收利用等措施，切实保护耕地土壤环境质量。</w:t>
                  </w:r>
                </w:p>
              </w:tc>
              <w:tc>
                <w:tcPr>
                  <w:tcW w:w="2190" w:type="pct"/>
                  <w:tcBorders>
                    <w:tl2br w:val="nil"/>
                    <w:tr2bl w:val="nil"/>
                  </w:tcBorders>
                  <w:vAlign w:val="center"/>
                </w:tcPr>
                <w:p w14:paraId="121F786D">
                  <w:pPr>
                    <w:keepNext w:val="0"/>
                    <w:keepLines w:val="0"/>
                    <w:pageBreakBefore w:val="0"/>
                    <w:widowControl w:val="0"/>
                    <w:suppressLineNumbers w:val="0"/>
                    <w:kinsoku/>
                    <w:wordWrap/>
                    <w:overflowPunct/>
                    <w:topLinePunct w:val="0"/>
                    <w:bidi w:val="0"/>
                    <w:snapToGrid w:val="0"/>
                    <w:spacing w:before="0" w:beforeAutospacing="0" w:after="0" w:afterAutospacing="0" w:line="240" w:lineRule="auto"/>
                    <w:ind w:left="0" w:right="0"/>
                    <w:textAlignment w:val="auto"/>
                    <w:rPr>
                      <w:rFonts w:hint="eastAsia" w:ascii="Times New Roman" w:hAnsi="Times New Roman" w:eastAsia="宋体"/>
                      <w:color w:val="auto"/>
                      <w:sz w:val="21"/>
                      <w:highlight w:val="none"/>
                      <w:lang w:val="en-US" w:eastAsia="zh-CN"/>
                    </w:rPr>
                  </w:pPr>
                  <w:r>
                    <w:rPr>
                      <w:rFonts w:hint="default" w:ascii="Times New Roman" w:hAnsi="Times New Roman" w:cs="Times New Roman"/>
                      <w:color w:val="auto"/>
                      <w:kern w:val="0"/>
                      <w:szCs w:val="21"/>
                      <w:highlight w:val="none"/>
                    </w:rPr>
                    <w:t>本工程主要对玉米进行烘干，不会突破资源利用上线。</w:t>
                  </w:r>
                </w:p>
              </w:tc>
              <w:tc>
                <w:tcPr>
                  <w:tcW w:w="428" w:type="pct"/>
                  <w:tcBorders>
                    <w:tl2br w:val="nil"/>
                    <w:tr2bl w:val="nil"/>
                  </w:tcBorders>
                  <w:vAlign w:val="center"/>
                </w:tcPr>
                <w:p w14:paraId="7A9784C2">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符合</w:t>
                  </w:r>
                </w:p>
              </w:tc>
            </w:tr>
          </w:tbl>
          <w:p w14:paraId="7D7AF226">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113" w:firstLine="480" w:firstLineChars="200"/>
              <w:textAlignment w:val="auto"/>
              <w:rPr>
                <w:rFonts w:hint="eastAsia" w:ascii="Times New Roman" w:hAnsi="Times New Roman" w:eastAsia="宋体" w:cs="Times New Roman"/>
                <w:bCs/>
                <w:color w:val="auto"/>
                <w:sz w:val="24"/>
                <w:lang w:eastAsia="zh-CN"/>
              </w:rPr>
            </w:pPr>
            <w:r>
              <w:rPr>
                <w:rFonts w:hint="eastAsia"/>
                <w:color w:val="auto"/>
                <w:sz w:val="24"/>
                <w:szCs w:val="24"/>
              </w:rPr>
              <w:t>综上，本项目建设符合《第七师胡杨河市“三线一单”生态环境分区管控方案》及《新疆生产建设兵团第七师胡杨河市生态环境分区管控更新成果</w:t>
            </w:r>
            <w:r>
              <w:rPr>
                <w:rFonts w:hint="eastAsia"/>
                <w:color w:val="auto"/>
                <w:sz w:val="24"/>
                <w:szCs w:val="24"/>
                <w:lang w:eastAsia="zh-CN"/>
              </w:rPr>
              <w:t>（</w:t>
            </w:r>
            <w:r>
              <w:rPr>
                <w:rFonts w:hint="eastAsia"/>
                <w:color w:val="auto"/>
                <w:sz w:val="24"/>
                <w:szCs w:val="24"/>
              </w:rPr>
              <w:t>2023版</w:t>
            </w:r>
            <w:r>
              <w:rPr>
                <w:rFonts w:hint="eastAsia"/>
                <w:color w:val="auto"/>
                <w:sz w:val="24"/>
                <w:szCs w:val="24"/>
                <w:lang w:eastAsia="zh-CN"/>
              </w:rPr>
              <w:t>）</w:t>
            </w:r>
            <w:r>
              <w:rPr>
                <w:rFonts w:hint="eastAsia"/>
                <w:color w:val="auto"/>
                <w:sz w:val="24"/>
                <w:szCs w:val="24"/>
              </w:rPr>
              <w:t>》要求。</w:t>
            </w:r>
          </w:p>
          <w:p w14:paraId="073324C7">
            <w:pPr>
              <w:pStyle w:val="108"/>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b/>
                <w:bCs/>
                <w:color w:val="auto"/>
                <w:kern w:val="0"/>
                <w:sz w:val="24"/>
                <w:szCs w:val="24"/>
                <w:lang w:val="en-US" w:eastAsia="zh-CN" w:bidi="ar-SA"/>
              </w:rPr>
            </w:pPr>
            <w:r>
              <w:rPr>
                <w:rFonts w:hint="eastAsia" w:cs="Times New Roman"/>
                <w:b/>
                <w:bCs/>
                <w:color w:val="auto"/>
                <w:sz w:val="24"/>
                <w:lang w:val="en-US" w:eastAsia="zh-CN"/>
              </w:rPr>
              <w:t>3</w:t>
            </w:r>
            <w:r>
              <w:rPr>
                <w:rFonts w:hint="default" w:ascii="Times New Roman" w:hAnsi="Times New Roman" w:eastAsia="宋体" w:cs="Times New Roman"/>
                <w:b/>
                <w:bCs/>
                <w:color w:val="auto"/>
                <w:sz w:val="24"/>
              </w:rPr>
              <w:t>、</w:t>
            </w:r>
            <w:r>
              <w:rPr>
                <w:rFonts w:hint="default" w:ascii="Times New Roman" w:hAnsi="Times New Roman" w:eastAsia="宋体" w:cs="Times New Roman"/>
                <w:b/>
                <w:bCs/>
                <w:color w:val="auto"/>
                <w:kern w:val="0"/>
                <w:sz w:val="24"/>
                <w:szCs w:val="24"/>
                <w:lang w:val="en-US" w:eastAsia="zh-CN" w:bidi="ar-SA"/>
              </w:rPr>
              <w:t>与《兵团工业炉窑大气污染综合治理实施方案》（兵环发〔2019〕139号）符合性</w:t>
            </w:r>
          </w:p>
          <w:p w14:paraId="6BE832F7">
            <w:pPr>
              <w:pStyle w:val="108"/>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rPr>
              <w:t>推进工业</w:t>
            </w:r>
            <w:r>
              <w:rPr>
                <w:rFonts w:hint="default" w:ascii="Times New Roman" w:hAnsi="Times New Roman" w:eastAsia="宋体" w:cs="Times New Roman"/>
                <w:b w:val="0"/>
                <w:bCs w:val="0"/>
                <w:color w:val="auto"/>
                <w:sz w:val="24"/>
                <w:szCs w:val="24"/>
                <w:lang w:eastAsia="zh-CN"/>
              </w:rPr>
              <w:t>炉窑</w:t>
            </w:r>
            <w:r>
              <w:rPr>
                <w:rFonts w:hint="default" w:ascii="Times New Roman" w:hAnsi="Times New Roman" w:eastAsia="宋体" w:cs="Times New Roman"/>
                <w:b w:val="0"/>
                <w:bCs w:val="0"/>
                <w:color w:val="auto"/>
                <w:sz w:val="24"/>
                <w:szCs w:val="24"/>
              </w:rPr>
              <w:t>全面达标排放，已有行业排放标准的工业</w:t>
            </w:r>
            <w:r>
              <w:rPr>
                <w:rFonts w:hint="default" w:ascii="Times New Roman" w:hAnsi="Times New Roman" w:eastAsia="宋体" w:cs="Times New Roman"/>
                <w:b w:val="0"/>
                <w:bCs w:val="0"/>
                <w:color w:val="auto"/>
                <w:sz w:val="24"/>
                <w:szCs w:val="24"/>
                <w:lang w:eastAsia="zh-CN"/>
              </w:rPr>
              <w:t>炉窑</w:t>
            </w:r>
            <w:r>
              <w:rPr>
                <w:rFonts w:hint="default" w:ascii="Times New Roman" w:hAnsi="Times New Roman" w:eastAsia="宋体" w:cs="Times New Roman"/>
                <w:b w:val="0"/>
                <w:bCs w:val="0"/>
                <w:color w:val="auto"/>
                <w:sz w:val="24"/>
                <w:szCs w:val="24"/>
              </w:rPr>
              <w:t>，严格执行行业排放标准相关规定，配套建设高效脱硫脱硝除尘设施确保稳定达标排放。已制定更严格地方排放标准的，按地方标准执行。重点区域钢铁、水泥、焦化、石化、化工、有色等行业，二氧化硫、氮氧化物、颗粒物、挥发性有机物</w:t>
            </w:r>
            <w:r>
              <w:rPr>
                <w:rFonts w:hint="eastAsia"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VOCs</w:t>
            </w:r>
            <w:r>
              <w:rPr>
                <w:rFonts w:hint="eastAsia"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排放全面执行大气污染物特别排放限值。已核发排污许可证的，应严格执行许可要求。暂未制订行业排放标准的工业</w:t>
            </w:r>
            <w:r>
              <w:rPr>
                <w:rFonts w:hint="default" w:ascii="Times New Roman" w:hAnsi="Times New Roman" w:eastAsia="宋体" w:cs="Times New Roman"/>
                <w:b w:val="0"/>
                <w:bCs w:val="0"/>
                <w:color w:val="auto"/>
                <w:sz w:val="24"/>
                <w:szCs w:val="24"/>
                <w:lang w:val="en-US" w:eastAsia="zh-CN"/>
              </w:rPr>
              <w:t>炉窑</w:t>
            </w:r>
            <w:r>
              <w:rPr>
                <w:rFonts w:hint="default" w:ascii="Times New Roman" w:hAnsi="Times New Roman" w:eastAsia="宋体" w:cs="Times New Roman"/>
                <w:b w:val="0"/>
                <w:bCs w:val="0"/>
                <w:color w:val="auto"/>
                <w:sz w:val="24"/>
                <w:szCs w:val="24"/>
              </w:rPr>
              <w:t>，包括铸造，日用玻璃玻璃纤维、耐火材料、石灰、矿物棉等建材行业、工业硅金属冶炼废渣</w:t>
            </w:r>
            <w:r>
              <w:rPr>
                <w:rFonts w:hint="eastAsia"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灰</w:t>
            </w:r>
            <w:r>
              <w:rPr>
                <w:rFonts w:hint="eastAsia"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二次提取等有色金属行业</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氨肥、电石、无机磷、活性炭等化工行业，应参照相关行业已出台的标准全面加大污染治理力度，铸造行业烧结、高炉工序污染排放控制按照钢铁行业相关标准要求执行</w:t>
            </w:r>
            <w:r>
              <w:rPr>
                <w:rFonts w:hint="default" w:ascii="Times New Roman" w:hAnsi="Times New Roman" w:eastAsia="宋体"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rPr>
              <w:t>重点区域原则上按照颗粒物、二氧化硫、氮氧化物排放限值分别不高于30、200、300毫克/立方米实施改造，其中，日用玻璃、玻璃棉氨氧化物排放限值不高于400毫克/立方米</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已制定更严格地方排放标准的地区，执行地方排放标准</w:t>
            </w:r>
            <w:r>
              <w:rPr>
                <w:rFonts w:hint="default" w:ascii="Times New Roman" w:hAnsi="Times New Roman" w:eastAsia="宋体" w:cs="Times New Roman"/>
                <w:b w:val="0"/>
                <w:bCs w:val="0"/>
                <w:color w:val="auto"/>
                <w:sz w:val="24"/>
                <w:szCs w:val="24"/>
                <w:lang w:eastAsia="zh-CN"/>
              </w:rPr>
              <w:t>。</w:t>
            </w:r>
          </w:p>
          <w:p w14:paraId="7D81F96A">
            <w:pPr>
              <w:pStyle w:val="108"/>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全面加强无组织排放管理。严格控制工业炉窑生产工艺过程及相关物料储存、输送等无组织排放，在保障生产安全的前提下，采取密闭、封闭等有效措施，有效提高废气收集率，产尘点及车间不得有可见烟粉尘外逸。生产工艺产尘点</w:t>
            </w:r>
            <w:r>
              <w:rPr>
                <w:rFonts w:hint="eastAsia"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装置</w:t>
            </w:r>
            <w:r>
              <w:rPr>
                <w:rFonts w:hint="eastAsia"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应采取密闭、封闭或设置集气罩等措施。煤粉、粉煤灰、石灰、除尘灰等粉状物料应密闭或封闭储存。粒状、块状物料应采用入棚入仓或建设防风抑尘网等方式进行储存，粒状物料采用密闭、封闭等方式输送。物料输送过程中产尘点应采取有效抑尘措施。</w:t>
            </w:r>
          </w:p>
          <w:p w14:paraId="5D4BDF3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sz w:val="24"/>
                <w:szCs w:val="24"/>
                <w:lang w:val="en-US" w:eastAsia="zh-CN"/>
              </w:rPr>
              <w:t>本项目</w:t>
            </w:r>
            <w:r>
              <w:rPr>
                <w:rFonts w:hint="default" w:ascii="Times New Roman" w:hAnsi="Times New Roman" w:eastAsia="宋体" w:cs="Times New Roman"/>
                <w:color w:val="auto"/>
                <w:sz w:val="24"/>
                <w:lang w:val="en-US" w:eastAsia="zh-CN"/>
              </w:rPr>
              <w:t>热风炉废气执行《锅炉大气污染物排放标准》（GB13271-2014）表</w:t>
            </w: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lang w:val="en-US" w:eastAsia="zh-CN"/>
              </w:rPr>
              <w:t>燃气锅炉规定的大气污染物</w:t>
            </w:r>
            <w:r>
              <w:rPr>
                <w:rFonts w:hint="eastAsia" w:ascii="Times New Roman" w:hAnsi="Times New Roman" w:eastAsia="宋体" w:cs="Times New Roman"/>
                <w:color w:val="auto"/>
                <w:sz w:val="24"/>
                <w:lang w:val="en-US" w:eastAsia="zh-CN"/>
              </w:rPr>
              <w:t>特别</w:t>
            </w:r>
            <w:r>
              <w:rPr>
                <w:rFonts w:hint="default" w:ascii="Times New Roman" w:hAnsi="Times New Roman" w:eastAsia="宋体" w:cs="Times New Roman"/>
                <w:color w:val="auto"/>
                <w:sz w:val="24"/>
                <w:lang w:val="en-US" w:eastAsia="zh-CN"/>
              </w:rPr>
              <w:t>排放限值，并参照《兵团工业炉窑大气污染综合治理实施方案》重点区域限值要求</w:t>
            </w:r>
            <w:r>
              <w:rPr>
                <w:rFonts w:hint="default" w:ascii="Times New Roman" w:hAnsi="Times New Roman" w:eastAsia="宋体" w:cs="Times New Roman"/>
                <w:b w:val="0"/>
                <w:bCs w:val="0"/>
                <w:color w:val="auto"/>
                <w:kern w:val="2"/>
                <w:sz w:val="24"/>
                <w:szCs w:val="24"/>
                <w:lang w:val="en-US" w:eastAsia="zh-CN" w:bidi="ar-SA"/>
              </w:rPr>
              <w:t>；筛分过程在封闭车间进行</w:t>
            </w:r>
            <w:r>
              <w:rPr>
                <w:rFonts w:hint="eastAsia" w:ascii="Times New Roman" w:hAnsi="Times New Roman" w:eastAsia="宋体" w:cs="Times New Roman"/>
                <w:b w:val="0"/>
                <w:bCs w:val="0"/>
                <w:color w:val="auto"/>
                <w:kern w:val="2"/>
                <w:sz w:val="24"/>
                <w:szCs w:val="24"/>
                <w:lang w:val="en-US" w:eastAsia="zh-CN" w:bidi="ar-SA"/>
              </w:rPr>
              <w:t>同时设置布袋除尘器</w:t>
            </w:r>
            <w:r>
              <w:rPr>
                <w:rFonts w:hint="default" w:ascii="Times New Roman" w:hAnsi="Times New Roman" w:eastAsia="宋体" w:cs="Times New Roman"/>
                <w:b w:val="0"/>
                <w:bCs w:val="0"/>
                <w:color w:val="auto"/>
                <w:kern w:val="2"/>
                <w:sz w:val="24"/>
                <w:szCs w:val="24"/>
                <w:lang w:val="en-US" w:eastAsia="zh-CN" w:bidi="ar-SA"/>
              </w:rPr>
              <w:t>，烘干工序设抑尘罩抑尘，输送带及出料口封闭；卸料场所为粮库内，卸料时关闭粮库大门、减小装卸高度等降尘措施，采取以上措施后，粉尘的无组织排放均满足《大气污染物综合排放标准》</w:t>
            </w:r>
            <w:r>
              <w:rPr>
                <w:rFonts w:hint="eastAsia"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GB16297-1996</w:t>
            </w:r>
            <w:r>
              <w:rPr>
                <w:rFonts w:hint="eastAsia"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表2新污染源大气污染物排放限值要求。因此项目的建设满足</w:t>
            </w:r>
            <w:r>
              <w:rPr>
                <w:rFonts w:hint="default" w:ascii="Times New Roman" w:hAnsi="Times New Roman" w:eastAsia="宋体" w:cs="Times New Roman"/>
                <w:b w:val="0"/>
                <w:bCs w:val="0"/>
                <w:color w:val="auto"/>
                <w:kern w:val="0"/>
                <w:sz w:val="24"/>
                <w:szCs w:val="24"/>
                <w:lang w:val="en-US" w:eastAsia="zh-CN" w:bidi="ar-SA"/>
              </w:rPr>
              <w:t>《兵团工业炉窑大气污染综合治理实施方案》（兵环发〔2019〕139号）要求。</w:t>
            </w:r>
          </w:p>
          <w:p w14:paraId="72C073A4">
            <w:pPr>
              <w:pStyle w:val="108"/>
              <w:keepNext w:val="0"/>
              <w:keepLines w:val="0"/>
              <w:suppressLineNumbers w:val="0"/>
              <w:spacing w:before="0" w:beforeAutospacing="0" w:after="0" w:afterAutospacing="0" w:line="360" w:lineRule="auto"/>
              <w:ind w:left="0" w:right="0"/>
              <w:jc w:val="both"/>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与《奎屯-独山子-乌苏区域大气污染联防联控工作方案》的相符性分析</w:t>
            </w:r>
          </w:p>
          <w:p w14:paraId="6A21E295">
            <w:pPr>
              <w:pStyle w:val="16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default" w:ascii="Times New Roman" w:hAnsi="Times New Roman"/>
                <w:b/>
                <w:bCs/>
                <w:color w:val="auto"/>
                <w:sz w:val="24"/>
                <w:szCs w:val="24"/>
                <w:highlight w:val="none"/>
              </w:rPr>
            </w:pPr>
            <w:r>
              <w:rPr>
                <w:rFonts w:hint="default" w:ascii="Times New Roman" w:hAnsi="Times New Roman" w:cs="Times New Roman"/>
                <w:color w:val="auto"/>
                <w:sz w:val="24"/>
                <w:szCs w:val="24"/>
                <w:highlight w:val="none"/>
              </w:rPr>
              <w:t>本项目与《</w:t>
            </w:r>
            <w:r>
              <w:rPr>
                <w:rFonts w:hint="eastAsia" w:ascii="Times New Roman" w:hAnsi="Times New Roman" w:eastAsia="宋体" w:cs="Times New Roman"/>
                <w:color w:val="auto"/>
                <w:sz w:val="24"/>
                <w:szCs w:val="24"/>
                <w:highlight w:val="none"/>
              </w:rPr>
              <w:t>奎屯-独山子-乌苏区域大气污染联防联控工作方案</w:t>
            </w:r>
            <w:r>
              <w:rPr>
                <w:rFonts w:hint="default" w:ascii="Times New Roman" w:hAnsi="Times New Roman" w:cs="Times New Roman"/>
                <w:color w:val="auto"/>
                <w:sz w:val="24"/>
                <w:szCs w:val="24"/>
                <w:highlight w:val="none"/>
              </w:rPr>
              <w:t>》符合性分析见</w:t>
            </w:r>
            <w:r>
              <w:rPr>
                <w:rFonts w:hint="eastAsia" w:ascii="Times New Roman" w:hAnsi="Times New Roman" w:cs="Times New Roman"/>
                <w:color w:val="auto"/>
                <w:sz w:val="24"/>
                <w:szCs w:val="24"/>
                <w:highlight w:val="none"/>
              </w:rPr>
              <w:t>下</w:t>
            </w:r>
            <w:r>
              <w:rPr>
                <w:rFonts w:hint="default" w:ascii="Times New Roman" w:hAnsi="Times New Roman" w:cs="Times New Roman"/>
                <w:color w:val="auto"/>
                <w:sz w:val="24"/>
                <w:szCs w:val="24"/>
                <w:highlight w:val="none"/>
              </w:rPr>
              <w:t>表</w:t>
            </w:r>
            <w:r>
              <w:rPr>
                <w:rFonts w:hint="eastAsia" w:ascii="Times New Roman" w:hAnsi="Times New Roman" w:cs="Times New Roman"/>
                <w:color w:val="auto"/>
                <w:sz w:val="24"/>
                <w:szCs w:val="24"/>
                <w:highlight w:val="none"/>
              </w:rPr>
              <w:t>。</w:t>
            </w:r>
          </w:p>
          <w:p w14:paraId="3D9D6E55">
            <w:pPr>
              <w:pStyle w:val="147"/>
              <w:keepNext w:val="0"/>
              <w:keepLines w:val="0"/>
              <w:suppressLineNumbers w:val="0"/>
              <w:bidi w:val="0"/>
              <w:spacing w:before="0" w:beforeAutospacing="0" w:after="0" w:afterAutospacing="0"/>
              <w:ind w:left="0" w:right="0"/>
              <w:jc w:val="right"/>
              <w:rPr>
                <w:rFonts w:hint="default" w:eastAsia="宋体"/>
                <w:color w:val="auto"/>
                <w:highlight w:val="none"/>
                <w:lang w:val="en-US" w:eastAsia="zh-CN"/>
              </w:rPr>
            </w:pPr>
          </w:p>
          <w:p w14:paraId="02E7A534">
            <w:pPr>
              <w:pStyle w:val="147"/>
              <w:keepNext w:val="0"/>
              <w:keepLines w:val="0"/>
              <w:suppressLineNumbers w:val="0"/>
              <w:bidi w:val="0"/>
              <w:spacing w:before="0" w:beforeAutospacing="0" w:after="0" w:afterAutospacing="0"/>
              <w:ind w:left="0" w:right="0"/>
              <w:rPr>
                <w:rFonts w:hint="default" w:eastAsia="宋体"/>
                <w:color w:val="auto"/>
                <w:highlight w:val="none"/>
                <w:lang w:val="en-US" w:eastAsia="zh-CN"/>
              </w:rPr>
            </w:pPr>
            <w:r>
              <w:rPr>
                <w:rFonts w:hint="default" w:eastAsia="宋体"/>
                <w:color w:val="auto"/>
                <w:highlight w:val="none"/>
                <w:lang w:val="en-US" w:eastAsia="zh-CN"/>
              </w:rPr>
              <w:t>表</w:t>
            </w:r>
            <w:r>
              <w:rPr>
                <w:rFonts w:hint="eastAsia" w:eastAsia="宋体"/>
                <w:color w:val="auto"/>
                <w:highlight w:val="none"/>
                <w:lang w:val="en-US" w:eastAsia="zh-CN"/>
              </w:rPr>
              <w:t>1-3</w:t>
            </w:r>
            <w:r>
              <w:rPr>
                <w:rFonts w:hint="default" w:eastAsia="宋体"/>
                <w:color w:val="auto"/>
                <w:highlight w:val="none"/>
                <w:lang w:val="en-US" w:eastAsia="zh-CN"/>
              </w:rPr>
              <w:t xml:space="preserve"> </w:t>
            </w:r>
            <w:r>
              <w:rPr>
                <w:rFonts w:hint="eastAsia" w:eastAsia="宋体"/>
                <w:color w:val="auto"/>
                <w:highlight w:val="none"/>
                <w:lang w:val="en-US" w:eastAsia="zh-CN"/>
              </w:rPr>
              <w:t xml:space="preserve"> </w:t>
            </w:r>
            <w:r>
              <w:rPr>
                <w:rFonts w:hint="eastAsia" w:eastAsia="宋体"/>
                <w:color w:val="auto"/>
                <w:highlight w:val="none"/>
                <w:lang w:eastAsia="zh-CN"/>
              </w:rPr>
              <w:t>相符性分析</w:t>
            </w:r>
            <w:r>
              <w:rPr>
                <w:rFonts w:hint="eastAsia" w:eastAsia="宋体"/>
                <w:color w:val="auto"/>
                <w:highlight w:val="none"/>
                <w:lang w:val="en-US" w:eastAsia="zh-CN"/>
              </w:rPr>
              <w:t>表</w:t>
            </w:r>
          </w:p>
          <w:tbl>
            <w:tblPr>
              <w:tblStyle w:val="39"/>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17"/>
              <w:gridCol w:w="3871"/>
              <w:gridCol w:w="698"/>
            </w:tblGrid>
            <w:tr w14:paraId="6977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2209" w:type="pct"/>
                  <w:noWrap w:val="0"/>
                  <w:vAlign w:val="center"/>
                </w:tcPr>
                <w:p w14:paraId="3B30D9F5">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文件要求</w:t>
                  </w:r>
                </w:p>
              </w:tc>
              <w:tc>
                <w:tcPr>
                  <w:tcW w:w="2364" w:type="pct"/>
                  <w:noWrap w:val="0"/>
                  <w:vAlign w:val="center"/>
                </w:tcPr>
                <w:p w14:paraId="229E628C">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项目情况</w:t>
                  </w:r>
                </w:p>
              </w:tc>
              <w:tc>
                <w:tcPr>
                  <w:tcW w:w="426" w:type="pct"/>
                  <w:noWrap w:val="0"/>
                  <w:vAlign w:val="center"/>
                </w:tcPr>
                <w:p w14:paraId="1F581FB6">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符合性</w:t>
                  </w:r>
                </w:p>
              </w:tc>
            </w:tr>
            <w:tr w14:paraId="3B95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pct"/>
                  <w:noWrap w:val="0"/>
                  <w:vAlign w:val="center"/>
                </w:tcPr>
                <w:p w14:paraId="3C75FFF0">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禁止在“奎-独-乌”区域内新建不符合国家产业政策和采用落后生产工艺的大气重污染项目，严格限制新建和扩建高污染、高耗能、高排放的石化、火电、钢铁、水泥、化工等项目。</w:t>
                  </w:r>
                </w:p>
              </w:tc>
              <w:tc>
                <w:tcPr>
                  <w:tcW w:w="2364" w:type="pct"/>
                  <w:noWrap w:val="0"/>
                  <w:vAlign w:val="center"/>
                </w:tcPr>
                <w:p w14:paraId="759C0377">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本项目符合国家产业政策，不属于高污染、高耗能、高排放的项目。</w:t>
                  </w:r>
                </w:p>
              </w:tc>
              <w:tc>
                <w:tcPr>
                  <w:tcW w:w="426" w:type="pct"/>
                  <w:noWrap w:val="0"/>
                  <w:vAlign w:val="center"/>
                </w:tcPr>
                <w:p w14:paraId="74D282D5">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0E83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pct"/>
                  <w:noWrap w:val="0"/>
                  <w:vAlign w:val="center"/>
                </w:tcPr>
                <w:p w14:paraId="440ADD44">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重点控制区内工业企业大气污染物排放浓度应低于国家重点控制区或地方排放标准限值；有相应行业特别排放限值的，执行特别排放限值。</w:t>
                  </w:r>
                </w:p>
              </w:tc>
              <w:tc>
                <w:tcPr>
                  <w:tcW w:w="2364" w:type="pct"/>
                  <w:noWrap w:val="0"/>
                  <w:vAlign w:val="center"/>
                </w:tcPr>
                <w:p w14:paraId="0A4D5485">
                  <w:pPr>
                    <w:pStyle w:val="166"/>
                    <w:keepNext w:val="0"/>
                    <w:keepLines w:val="0"/>
                    <w:suppressLineNumbers w:val="0"/>
                    <w:spacing w:before="0" w:beforeAutospacing="0" w:after="0" w:afterAutospacing="0"/>
                    <w:ind w:left="0" w:right="0" w:firstLine="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rPr>
                    <w:t>本项目污染物排放严格执行相应标准。</w:t>
                  </w:r>
                  <w:r>
                    <w:rPr>
                      <w:rFonts w:hint="eastAsia" w:ascii="Times New Roman" w:hAnsi="Times New Roman" w:cs="Times New Roman"/>
                      <w:color w:val="auto"/>
                      <w:sz w:val="21"/>
                      <w:szCs w:val="21"/>
                      <w:highlight w:val="none"/>
                      <w:lang w:val="en-US" w:eastAsia="zh-CN"/>
                    </w:rPr>
                    <w:t>排放浓度满足《兵团工业炉窑大气污染综合治理实施方案》重点区域限值要求。</w:t>
                  </w:r>
                </w:p>
              </w:tc>
              <w:tc>
                <w:tcPr>
                  <w:tcW w:w="426" w:type="pct"/>
                  <w:noWrap w:val="0"/>
                  <w:vAlign w:val="center"/>
                </w:tcPr>
                <w:p w14:paraId="20221979">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1F39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pct"/>
                  <w:noWrap w:val="0"/>
                  <w:vAlign w:val="center"/>
                </w:tcPr>
                <w:p w14:paraId="1F9795DE">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大气污染物排放项目应采取国内外先进的除尘、脱硫、脱硝等技术，严格控制污染物新增量，重点控制区新增排放量原则上实行区域内现役源两倍削减量替代。一般控制区新增排放量实行区域内现役源削减量等量替代。一般控制区新增排放量实行区域内现役源削减量等量替代。</w:t>
                  </w:r>
                </w:p>
              </w:tc>
              <w:tc>
                <w:tcPr>
                  <w:tcW w:w="2364" w:type="pct"/>
                  <w:noWrap w:val="0"/>
                  <w:vAlign w:val="center"/>
                </w:tcPr>
                <w:p w14:paraId="5F343D62">
                  <w:pPr>
                    <w:keepNext w:val="0"/>
                    <w:keepLines w:val="0"/>
                    <w:suppressLineNumbers w:val="0"/>
                    <w:autoSpaceDE w:val="0"/>
                    <w:autoSpaceDN w:val="0"/>
                    <w:spacing w:before="0" w:beforeAutospacing="0" w:after="0" w:afterAutospacing="0"/>
                    <w:ind w:left="0" w:right="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热风炉废气执行《锅炉大气污染物排放标准》（GB13271-2014）表3燃气锅炉规定的大气污染物特别排放限值，并参照《兵团工业炉窑大气污染综合治理实施方案》重点区域限值要求；筛分过程在封闭车间进行同时设置布袋除尘器，烘干工序设抑尘罩抑尘，输送带及出料口封闭；卸料场所为粮库内，卸料时关闭粮库大门、减小装卸高度等降尘措施，采取以上措施后，粉尘的无组织排放均满足《大气污染物综合排放标准》</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GB16297-1996</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表2新污染源大气污染物排放限值要求。</w:t>
                  </w:r>
                </w:p>
              </w:tc>
              <w:tc>
                <w:tcPr>
                  <w:tcW w:w="426" w:type="pct"/>
                  <w:noWrap w:val="0"/>
                  <w:vAlign w:val="center"/>
                </w:tcPr>
                <w:p w14:paraId="542BB9F8">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29D9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3" w:hRule="atLeast"/>
              </w:trPr>
              <w:tc>
                <w:tcPr>
                  <w:tcW w:w="2209" w:type="pct"/>
                  <w:noWrap w:val="0"/>
                  <w:vAlign w:val="center"/>
                </w:tcPr>
                <w:p w14:paraId="64216943">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加大落后产能淘汰力度。对不符合国家产业政策、污染严重且经治理仍无法达标的工业企业实施关停并转；对中心城区内大气污染物排放严重的工业企业实施搬迁；调整工业园区定位，推动节能环保、信息技术、高端装备制造、新能源、新材料和生物科技等战略性新兴产业在工业园区内发展</w:t>
                  </w:r>
                </w:p>
              </w:tc>
              <w:tc>
                <w:tcPr>
                  <w:tcW w:w="2364" w:type="pct"/>
                  <w:noWrap w:val="0"/>
                  <w:vAlign w:val="center"/>
                </w:tcPr>
                <w:p w14:paraId="1922B771">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项目符合国家产业政策</w:t>
                  </w:r>
                </w:p>
              </w:tc>
              <w:tc>
                <w:tcPr>
                  <w:tcW w:w="426" w:type="pct"/>
                  <w:noWrap w:val="0"/>
                  <w:vAlign w:val="center"/>
                </w:tcPr>
                <w:p w14:paraId="5926DF08">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1AD2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9" w:type="pct"/>
                  <w:noWrap w:val="0"/>
                  <w:vAlign w:val="center"/>
                </w:tcPr>
                <w:p w14:paraId="32D3F859">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重点行业挥发性有机物污染防治：全面开展挥发性有机物排放摸底调查工作，建立石化、有机化工、合成材料、塑料产品制品、化学药品原药制造、包装印刷等重点行业挥发性有机物重点监管企业名录，掌握挥发性有机物行业和区域分布特征，推进重点行业挥发性有机物控制。</w:t>
                  </w:r>
                </w:p>
              </w:tc>
              <w:tc>
                <w:tcPr>
                  <w:tcW w:w="2364" w:type="pct"/>
                  <w:noWrap w:val="0"/>
                  <w:vAlign w:val="center"/>
                </w:tcPr>
                <w:p w14:paraId="3D860AFF">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不涉及。</w:t>
                  </w:r>
                </w:p>
              </w:tc>
              <w:tc>
                <w:tcPr>
                  <w:tcW w:w="426" w:type="pct"/>
                  <w:noWrap w:val="0"/>
                  <w:vAlign w:val="center"/>
                </w:tcPr>
                <w:p w14:paraId="1B829880">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bl>
          <w:p w14:paraId="144DC5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z w:val="24"/>
              </w:rPr>
            </w:pPr>
            <w:r>
              <w:rPr>
                <w:rFonts w:hint="eastAsia" w:ascii="Times New Roman" w:hAnsi="Times New Roman" w:eastAsia="宋体" w:cs="Times New Roman"/>
                <w:color w:val="auto"/>
                <w:sz w:val="24"/>
                <w:szCs w:val="24"/>
                <w:highlight w:val="none"/>
                <w:lang w:eastAsia="zh-CN"/>
              </w:rPr>
              <w:t>故本项目建设符合《奎屯-独山子-乌苏区域大气污染联防联控工作方案》要求</w:t>
            </w:r>
            <w:r>
              <w:rPr>
                <w:rFonts w:hint="eastAsia" w:ascii="Times New Roman" w:hAnsi="Times New Roman" w:eastAsia="宋体" w:cs="Times New Roman"/>
                <w:color w:val="auto"/>
                <w:highlight w:val="none"/>
                <w:lang w:eastAsia="zh-CN"/>
              </w:rPr>
              <w:t>。</w:t>
            </w:r>
          </w:p>
          <w:p w14:paraId="0B1FBA6C">
            <w:pPr>
              <w:keepNext w:val="0"/>
              <w:keepLines w:val="0"/>
              <w:numPr>
                <w:ilvl w:val="0"/>
                <w:numId w:val="0"/>
              </w:numPr>
              <w:suppressLineNumbers w:val="0"/>
              <w:spacing w:before="0" w:beforeAutospacing="0" w:after="0" w:afterAutospacing="0" w:line="360" w:lineRule="auto"/>
              <w:ind w:left="0" w:leftChars="0" w:right="0" w:rightChars="0"/>
              <w:jc w:val="both"/>
              <w:rPr>
                <w:rFonts w:hint="default" w:cs="Times New Roman"/>
                <w:b/>
                <w:bCs/>
                <w:color w:val="auto"/>
                <w:sz w:val="24"/>
                <w:lang w:val="en-US" w:eastAsia="zh-CN"/>
              </w:rPr>
            </w:pPr>
            <w:r>
              <w:rPr>
                <w:rFonts w:hint="eastAsia" w:cs="Times New Roman"/>
                <w:b/>
                <w:bCs/>
                <w:color w:val="auto"/>
                <w:kern w:val="2"/>
                <w:sz w:val="24"/>
                <w:szCs w:val="24"/>
                <w:lang w:val="en-US" w:eastAsia="zh-CN" w:bidi="ar-SA"/>
              </w:rPr>
              <w:t>5</w:t>
            </w:r>
            <w:r>
              <w:rPr>
                <w:rFonts w:hint="eastAsia" w:ascii="Times New Roman" w:hAnsi="Times New Roman" w:eastAsia="宋体" w:cs="Times New Roman"/>
                <w:b/>
                <w:bCs/>
                <w:color w:val="auto"/>
                <w:kern w:val="2"/>
                <w:sz w:val="24"/>
                <w:szCs w:val="24"/>
                <w:lang w:val="en-US" w:eastAsia="zh-CN" w:bidi="ar-SA"/>
              </w:rPr>
              <w:t>、</w:t>
            </w:r>
            <w:r>
              <w:rPr>
                <w:rFonts w:hint="eastAsia" w:cs="Times New Roman"/>
                <w:b/>
                <w:bCs/>
                <w:color w:val="auto"/>
                <w:sz w:val="24"/>
                <w:lang w:val="en-US" w:eastAsia="zh-CN"/>
              </w:rPr>
              <w:t>与《关于印发促进生物质能供热发展的指导意见的通知》（发改能源</w:t>
            </w:r>
            <w:r>
              <w:rPr>
                <w:rFonts w:hint="eastAsia" w:ascii="Times New Roman" w:hAnsi="Times New Roman" w:eastAsia="宋体" w:cs="微软雅黑"/>
                <w:b/>
                <w:bCs/>
                <w:color w:val="auto"/>
                <w:sz w:val="24"/>
                <w:lang w:val="en-US" w:eastAsia="zh-CN"/>
              </w:rPr>
              <w:t>〔2017〕</w:t>
            </w:r>
            <w:r>
              <w:rPr>
                <w:rFonts w:hint="eastAsia" w:cs="Times New Roman"/>
                <w:b/>
                <w:bCs/>
                <w:color w:val="auto"/>
                <w:sz w:val="24"/>
                <w:lang w:val="en-US" w:eastAsia="zh-CN"/>
              </w:rPr>
              <w:t>2123号）的符合性分析</w:t>
            </w:r>
          </w:p>
          <w:p w14:paraId="6EAA56F8">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指导意见中</w:t>
            </w:r>
            <w:r>
              <w:rPr>
                <w:rFonts w:hint="eastAsia" w:cs="Times New Roman"/>
                <w:color w:val="auto"/>
                <w:sz w:val="24"/>
                <w:highlight w:val="none"/>
                <w:lang w:val="en-US" w:eastAsia="zh-CN"/>
              </w:rPr>
              <w:t>指出</w:t>
            </w:r>
            <w:r>
              <w:rPr>
                <w:rFonts w:hint="eastAsia" w:ascii="Times New Roman" w:hAnsi="Times New Roman" w:eastAsia="宋体" w:cs="Times New Roman"/>
                <w:color w:val="auto"/>
                <w:sz w:val="24"/>
                <w:highlight w:val="none"/>
                <w:lang w:val="en-US" w:eastAsia="zh-CN"/>
              </w:rPr>
              <w:t>：四、加快发展</w:t>
            </w:r>
            <w:r>
              <w:rPr>
                <w:rFonts w:hint="eastAsia" w:cs="Times New Roman"/>
                <w:color w:val="auto"/>
                <w:sz w:val="24"/>
                <w:highlight w:val="none"/>
                <w:lang w:val="en-US" w:eastAsia="zh-CN"/>
              </w:rPr>
              <w:t>生物质热风炉</w:t>
            </w:r>
            <w:r>
              <w:rPr>
                <w:rFonts w:hint="eastAsia" w:ascii="Times New Roman" w:hAnsi="Times New Roman" w:eastAsia="宋体" w:cs="Times New Roman"/>
                <w:color w:val="auto"/>
                <w:sz w:val="24"/>
                <w:highlight w:val="none"/>
                <w:lang w:val="en-US" w:eastAsia="zh-CN"/>
              </w:rPr>
              <w:t>供热</w:t>
            </w:r>
          </w:p>
          <w:p w14:paraId="05F48AA6">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加快发展以农林生物质、生物质成型燃料、生物质燃气等为燃料的</w:t>
            </w:r>
            <w:r>
              <w:rPr>
                <w:rFonts w:hint="eastAsia" w:cs="Times New Roman"/>
                <w:color w:val="auto"/>
                <w:sz w:val="24"/>
                <w:highlight w:val="none"/>
                <w:lang w:val="en-US" w:eastAsia="zh-CN"/>
              </w:rPr>
              <w:t>生物质热风炉</w:t>
            </w:r>
            <w:r>
              <w:rPr>
                <w:rFonts w:hint="eastAsia" w:ascii="Times New Roman" w:hAnsi="Times New Roman" w:eastAsia="宋体" w:cs="Times New Roman"/>
                <w:color w:val="auto"/>
                <w:sz w:val="24"/>
                <w:highlight w:val="none"/>
                <w:lang w:val="en-US" w:eastAsia="zh-CN"/>
              </w:rPr>
              <w:t>供热，为城镇中小区域集中供热或点对点供热，有效替代农村散煤。</w:t>
            </w:r>
          </w:p>
          <w:p w14:paraId="57B9AD9A">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一）大力推进城镇生物质成型燃料锅炉民用供暖。结合新型城镇化进程，在北方地区县域学校、医院、宾馆、写字楼等公共设施和商业设施，以及农村城镇等人口聚集区，加快发展生物质成型燃料锅炉点对点或区域集中供热。因地制宜推广农村户用成型燃料炉具。</w:t>
            </w:r>
          </w:p>
          <w:p w14:paraId="19D98A2F">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（二）加快推进生物质成型燃料锅炉工业供热。在中小工业园区以及天然气管网覆盖不到的工业区，积极推广生物质成型燃料锅炉供热，重点是建设10蒸吨/小时以上的大型先进低排放</w:t>
            </w:r>
            <w:r>
              <w:rPr>
                <w:rFonts w:hint="eastAsia" w:cs="Times New Roman"/>
                <w:color w:val="auto"/>
                <w:sz w:val="24"/>
                <w:highlight w:val="none"/>
                <w:lang w:val="en-US" w:eastAsia="zh-CN"/>
              </w:rPr>
              <w:t>生物质热风炉</w:t>
            </w:r>
            <w:r>
              <w:rPr>
                <w:rFonts w:hint="eastAsia" w:ascii="Times New Roman" w:hAnsi="Times New Roman" w:eastAsia="宋体" w:cs="Times New Roman"/>
                <w:color w:val="auto"/>
                <w:sz w:val="24"/>
                <w:highlight w:val="none"/>
                <w:lang w:val="en-US" w:eastAsia="zh-CN"/>
              </w:rPr>
              <w:t>，为工业用户提供清洁经济的工业蒸汽，降低制造业、特别是中小企业用热成本。</w:t>
            </w:r>
          </w:p>
          <w:p w14:paraId="15B2AB21">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（六）提高环保水平。</w:t>
            </w:r>
            <w:r>
              <w:rPr>
                <w:rFonts w:hint="eastAsia" w:cs="Times New Roman"/>
                <w:color w:val="auto"/>
                <w:sz w:val="24"/>
                <w:highlight w:val="none"/>
                <w:lang w:val="en-US" w:eastAsia="zh-CN"/>
              </w:rPr>
              <w:t>生物质热风炉</w:t>
            </w:r>
            <w:r>
              <w:rPr>
                <w:rFonts w:hint="eastAsia" w:ascii="Times New Roman" w:hAnsi="Times New Roman" w:eastAsia="宋体" w:cs="Times New Roman"/>
                <w:color w:val="auto"/>
                <w:sz w:val="24"/>
                <w:highlight w:val="none"/>
                <w:lang w:val="en-US" w:eastAsia="zh-CN"/>
              </w:rPr>
              <w:t>严禁掺烧煤炭等化石能源。按照有关规定配备袋式除尘器等烟气处理设施，安装运行烟气排放连续自动监测系统，</w:t>
            </w:r>
            <w:r>
              <w:rPr>
                <w:rFonts w:hint="eastAsia" w:cs="Times New Roman"/>
                <w:color w:val="auto"/>
                <w:sz w:val="24"/>
                <w:highlight w:val="none"/>
                <w:lang w:val="en-US" w:eastAsia="zh-CN"/>
              </w:rPr>
              <w:t>生物质热风炉</w:t>
            </w:r>
            <w:r>
              <w:rPr>
                <w:rFonts w:hint="eastAsia" w:ascii="Times New Roman" w:hAnsi="Times New Roman" w:eastAsia="宋体" w:cs="Times New Roman"/>
                <w:color w:val="auto"/>
                <w:sz w:val="24"/>
                <w:highlight w:val="none"/>
                <w:lang w:val="en-US" w:eastAsia="zh-CN"/>
              </w:rPr>
              <w:t>污染物排放应满足国家或地方大气污染物排放标准，达到燃气锅炉排放水平。推进以农林生物质散料为燃料的</w:t>
            </w:r>
            <w:r>
              <w:rPr>
                <w:rFonts w:hint="eastAsia" w:cs="Times New Roman"/>
                <w:color w:val="auto"/>
                <w:sz w:val="24"/>
                <w:highlight w:val="none"/>
                <w:lang w:val="en-US" w:eastAsia="zh-CN"/>
              </w:rPr>
              <w:t>生物质热风炉</w:t>
            </w:r>
            <w:r>
              <w:rPr>
                <w:rFonts w:hint="eastAsia" w:ascii="Times New Roman" w:hAnsi="Times New Roman" w:eastAsia="宋体" w:cs="Times New Roman"/>
                <w:color w:val="auto"/>
                <w:sz w:val="24"/>
                <w:highlight w:val="none"/>
                <w:lang w:val="en-US" w:eastAsia="zh-CN"/>
              </w:rPr>
              <w:t>示范建设，提高环保排放水平。</w:t>
            </w:r>
          </w:p>
          <w:p w14:paraId="4780BE5D">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w:t>
            </w:r>
            <w:r>
              <w:rPr>
                <w:rFonts w:hint="eastAsia" w:cs="Times New Roman"/>
                <w:color w:val="auto"/>
                <w:sz w:val="24"/>
                <w:highlight w:val="none"/>
                <w:lang w:val="en-US" w:eastAsia="zh-CN"/>
              </w:rPr>
              <w:t>不使用燃煤作为燃料，生物质热风炉</w:t>
            </w:r>
            <w:r>
              <w:rPr>
                <w:rFonts w:hint="eastAsia" w:ascii="Times New Roman" w:hAnsi="Times New Roman" w:eastAsia="宋体" w:cs="Times New Roman"/>
                <w:color w:val="auto"/>
                <w:sz w:val="24"/>
                <w:highlight w:val="none"/>
                <w:lang w:val="en-US" w:eastAsia="zh-CN"/>
              </w:rPr>
              <w:t>燃烧废气经</w:t>
            </w:r>
            <w:r>
              <w:rPr>
                <w:rFonts w:hint="eastAsia" w:cs="Times New Roman"/>
                <w:color w:val="auto"/>
                <w:sz w:val="24"/>
                <w:highlight w:val="none"/>
                <w:lang w:val="en-US" w:eastAsia="zh-CN"/>
              </w:rPr>
              <w:t>配套SNCR+旋风除尘+布袋除尘器后</w:t>
            </w:r>
            <w:r>
              <w:rPr>
                <w:rFonts w:hint="eastAsia" w:ascii="Times New Roman" w:hAnsi="Times New Roman" w:eastAsia="宋体" w:cs="Times New Roman"/>
                <w:color w:val="auto"/>
                <w:sz w:val="24"/>
                <w:highlight w:val="none"/>
                <w:lang w:val="en-US" w:eastAsia="zh-CN"/>
              </w:rPr>
              <w:t>处理达到《锅炉大气污染物排放标准》（GB 13271-2014）</w:t>
            </w:r>
            <w:r>
              <w:rPr>
                <w:rFonts w:hint="eastAsia" w:ascii="Times New Roman" w:hAnsi="Times New Roman" w:eastAsia="宋体" w:cs="Times New Roman"/>
                <w:color w:val="auto"/>
                <w:sz w:val="24"/>
                <w:lang w:val="en-US" w:eastAsia="zh-CN"/>
              </w:rPr>
              <w:t>表3燃气锅炉规定的大气污染物特别排放限值</w:t>
            </w:r>
            <w:r>
              <w:rPr>
                <w:rFonts w:hint="eastAsia" w:ascii="Times New Roman" w:hAnsi="Times New Roman" w:eastAsia="宋体" w:cs="Times New Roman"/>
                <w:color w:val="auto"/>
                <w:sz w:val="24"/>
                <w:highlight w:val="none"/>
                <w:lang w:val="en-US" w:eastAsia="zh-CN"/>
              </w:rPr>
              <w:t>后</w:t>
            </w:r>
            <w:r>
              <w:rPr>
                <w:rFonts w:hint="eastAsia" w:cs="Times New Roman"/>
                <w:color w:val="auto"/>
                <w:sz w:val="24"/>
                <w:highlight w:val="none"/>
                <w:lang w:val="en-US" w:eastAsia="zh-CN"/>
              </w:rPr>
              <w:t>，由1根</w:t>
            </w:r>
            <w:r>
              <w:rPr>
                <w:rFonts w:hint="eastAsia" w:ascii="Times New Roman" w:hAnsi="Times New Roman" w:eastAsia="宋体" w:cs="Times New Roman"/>
                <w:color w:val="auto"/>
                <w:sz w:val="24"/>
                <w:highlight w:val="none"/>
                <w:lang w:val="en-US" w:eastAsia="zh-CN"/>
              </w:rPr>
              <w:t>不低于</w:t>
            </w:r>
            <w:r>
              <w:rPr>
                <w:rFonts w:hint="eastAsia" w:cs="Times New Roman"/>
                <w:color w:val="auto"/>
                <w:sz w:val="24"/>
                <w:highlight w:val="none"/>
                <w:lang w:val="en-US" w:eastAsia="zh-CN"/>
              </w:rPr>
              <w:t>17m</w:t>
            </w:r>
            <w:r>
              <w:rPr>
                <w:rFonts w:hint="eastAsia" w:ascii="Times New Roman" w:hAnsi="Times New Roman" w:eastAsia="宋体" w:cs="Times New Roman"/>
                <w:color w:val="auto"/>
                <w:sz w:val="24"/>
                <w:highlight w:val="none"/>
                <w:lang w:val="en-US" w:eastAsia="zh-CN"/>
              </w:rPr>
              <w:t>排气筒排放。</w:t>
            </w:r>
          </w:p>
          <w:p w14:paraId="0634A48E">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综上所述，符合《关于印发促进生物质能供热发展的指导意见的通知》的相关</w:t>
            </w:r>
            <w:r>
              <w:rPr>
                <w:rFonts w:hint="eastAsia" w:ascii="Times New Roman" w:hAnsi="Times New Roman" w:eastAsia="宋体" w:cs="Times New Roman"/>
                <w:color w:val="auto"/>
                <w:sz w:val="24"/>
                <w:highlight w:val="none"/>
                <w:lang w:val="en-US" w:eastAsia="zh-CN"/>
              </w:rPr>
              <w:t>内容</w:t>
            </w:r>
            <w:r>
              <w:rPr>
                <w:rFonts w:hint="default" w:ascii="Times New Roman" w:hAnsi="Times New Roman" w:eastAsia="宋体" w:cs="Times New Roman"/>
                <w:color w:val="auto"/>
                <w:sz w:val="24"/>
                <w:highlight w:val="none"/>
                <w:lang w:val="en-US" w:eastAsia="zh-CN"/>
              </w:rPr>
              <w:t>。</w:t>
            </w:r>
          </w:p>
          <w:p w14:paraId="7AB79B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b/>
                <w:bCs/>
                <w:color w:val="auto"/>
                <w:kern w:val="0"/>
                <w:sz w:val="24"/>
                <w:highlight w:val="none"/>
                <w:lang w:val="en-US" w:eastAsia="zh-CN" w:bidi="ar"/>
              </w:rPr>
            </w:pPr>
            <w:r>
              <w:rPr>
                <w:rFonts w:hint="eastAsia"/>
                <w:b/>
                <w:bCs/>
                <w:color w:val="auto"/>
                <w:kern w:val="0"/>
                <w:sz w:val="24"/>
                <w:highlight w:val="none"/>
                <w:lang w:val="en-US" w:eastAsia="zh-CN" w:bidi="ar"/>
              </w:rPr>
              <w:t>6、与国务院关于印发《空气质量持续改善行动计划》的通知（国发2023）24号符合性分析</w:t>
            </w:r>
          </w:p>
          <w:p w14:paraId="2E3F15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color w:val="auto"/>
                <w:kern w:val="0"/>
                <w:sz w:val="24"/>
                <w:highlight w:val="none"/>
                <w:lang w:val="en-US" w:eastAsia="zh-CN" w:bidi="ar"/>
              </w:rPr>
            </w:pPr>
            <w:r>
              <w:rPr>
                <w:rFonts w:hint="eastAsia"/>
                <w:color w:val="auto"/>
                <w:kern w:val="0"/>
                <w:sz w:val="24"/>
                <w:highlight w:val="none"/>
                <w:lang w:val="en-US" w:eastAsia="zh-CN" w:bidi="ar"/>
              </w:rPr>
              <w:t>通知第二十二条规定：确保工业企业全面稳定达标排放。推进玻璃、石灰、矿棉、有色等行业深度治理。全面开展锅炉和工业炉窑简易低效污染治理设施排查，通过清洁能源替代、升级改造、整合退出等方式实施分类处置。推进燃气锅炉低氮燃烧改造。生物质热风炉采用专用锅炉，配套布袋等高效除尘设施，禁止掺烧煤炭、生活垃圾等其他物料。推进整合小型生物质热风炉，积极引导城市建成区内生物质热风炉（含电力）超低排放改造。强化治污设施运行维护，减少非正常工况排放。重点涉气企业逐步取消烟气和含VOCs废气旁路，因安全生产需要无法取消的，安装在线监控系统及备用处置设施。</w:t>
            </w:r>
          </w:p>
          <w:p w14:paraId="395E0359">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default" w:cs="Times New Roman"/>
                <w:b w:val="0"/>
                <w:bCs/>
                <w:color w:val="auto"/>
                <w:sz w:val="24"/>
                <w:lang w:val="en-US" w:eastAsia="zh-CN" w:bidi="ar"/>
              </w:rPr>
            </w:pPr>
            <w:r>
              <w:rPr>
                <w:rFonts w:hint="eastAsia" w:ascii="Times New Roman" w:hAnsi="Times New Roman" w:eastAsia="宋体" w:cs="Times New Roman"/>
                <w:color w:val="auto"/>
                <w:sz w:val="24"/>
                <w:highlight w:val="none"/>
                <w:lang w:val="en-US" w:eastAsia="zh-CN"/>
              </w:rPr>
              <w:t>本项目</w:t>
            </w:r>
            <w:r>
              <w:rPr>
                <w:rFonts w:hint="eastAsia" w:cs="Times New Roman"/>
                <w:color w:val="auto"/>
                <w:sz w:val="24"/>
                <w:highlight w:val="none"/>
                <w:lang w:val="en-US" w:eastAsia="zh-CN"/>
              </w:rPr>
              <w:t>不使用燃煤作为燃料，生物质热风炉</w:t>
            </w:r>
            <w:r>
              <w:rPr>
                <w:rFonts w:hint="eastAsia" w:ascii="Times New Roman" w:hAnsi="Times New Roman" w:eastAsia="宋体" w:cs="Times New Roman"/>
                <w:color w:val="auto"/>
                <w:sz w:val="24"/>
                <w:highlight w:val="none"/>
                <w:lang w:val="en-US" w:eastAsia="zh-CN"/>
              </w:rPr>
              <w:t>燃烧废气经</w:t>
            </w:r>
            <w:r>
              <w:rPr>
                <w:rFonts w:hint="eastAsia" w:cs="Times New Roman"/>
                <w:color w:val="auto"/>
                <w:sz w:val="24"/>
                <w:highlight w:val="none"/>
                <w:lang w:val="en-US" w:eastAsia="zh-CN"/>
              </w:rPr>
              <w:t>配套SNCR+旋风除尘+布袋除尘器后</w:t>
            </w:r>
            <w:r>
              <w:rPr>
                <w:rFonts w:hint="eastAsia" w:ascii="Times New Roman" w:hAnsi="Times New Roman" w:eastAsia="宋体" w:cs="Times New Roman"/>
                <w:color w:val="auto"/>
                <w:sz w:val="24"/>
                <w:highlight w:val="none"/>
                <w:lang w:val="en-US" w:eastAsia="zh-CN"/>
              </w:rPr>
              <w:t>处理达到《锅炉大气污染物排放标准》（GB 13271-2014）</w:t>
            </w:r>
            <w:r>
              <w:rPr>
                <w:rFonts w:hint="eastAsia" w:ascii="Times New Roman" w:hAnsi="Times New Roman" w:eastAsia="宋体" w:cs="Times New Roman"/>
                <w:color w:val="auto"/>
                <w:sz w:val="24"/>
                <w:lang w:val="en-US" w:eastAsia="zh-CN"/>
              </w:rPr>
              <w:t>表3燃气锅炉规定的大气污染物特别排放限值</w:t>
            </w:r>
            <w:r>
              <w:rPr>
                <w:rFonts w:hint="eastAsia" w:ascii="Times New Roman" w:hAnsi="Times New Roman" w:eastAsia="宋体" w:cs="Times New Roman"/>
                <w:color w:val="auto"/>
                <w:sz w:val="24"/>
                <w:highlight w:val="none"/>
                <w:lang w:val="en-US" w:eastAsia="zh-CN"/>
              </w:rPr>
              <w:t>后</w:t>
            </w:r>
            <w:r>
              <w:rPr>
                <w:rFonts w:hint="eastAsia" w:cs="Times New Roman"/>
                <w:color w:val="auto"/>
                <w:sz w:val="24"/>
                <w:highlight w:val="none"/>
                <w:lang w:val="en-US" w:eastAsia="zh-CN"/>
              </w:rPr>
              <w:t>，由1根</w:t>
            </w:r>
            <w:r>
              <w:rPr>
                <w:rFonts w:hint="eastAsia" w:ascii="Times New Roman" w:hAnsi="Times New Roman" w:eastAsia="宋体" w:cs="Times New Roman"/>
                <w:color w:val="auto"/>
                <w:sz w:val="24"/>
                <w:highlight w:val="none"/>
                <w:lang w:val="en-US" w:eastAsia="zh-CN"/>
              </w:rPr>
              <w:t>不低于</w:t>
            </w:r>
            <w:r>
              <w:rPr>
                <w:rFonts w:hint="eastAsia" w:cs="Times New Roman"/>
                <w:color w:val="auto"/>
                <w:sz w:val="24"/>
                <w:highlight w:val="none"/>
                <w:lang w:val="en-US" w:eastAsia="zh-CN"/>
              </w:rPr>
              <w:t>17m</w:t>
            </w:r>
            <w:r>
              <w:rPr>
                <w:rFonts w:hint="eastAsia" w:ascii="Times New Roman" w:hAnsi="Times New Roman" w:eastAsia="宋体" w:cs="Times New Roman"/>
                <w:color w:val="auto"/>
                <w:sz w:val="24"/>
                <w:highlight w:val="none"/>
                <w:lang w:val="en-US" w:eastAsia="zh-CN"/>
              </w:rPr>
              <w:t>排气筒排放。</w:t>
            </w:r>
            <w:r>
              <w:rPr>
                <w:rFonts w:hint="eastAsia"/>
                <w:color w:val="auto"/>
                <w:kern w:val="0"/>
                <w:sz w:val="24"/>
                <w:highlight w:val="none"/>
                <w:lang w:val="en-US" w:eastAsia="zh-CN" w:bidi="ar"/>
              </w:rPr>
              <w:t>禁止掺烧煤炭、生活垃圾等其他物料</w:t>
            </w:r>
            <w:r>
              <w:rPr>
                <w:rFonts w:hint="eastAsia" w:ascii="Times New Roman" w:hAnsi="Times New Roman" w:eastAsia="宋体" w:cs="Times New Roman"/>
                <w:b w:val="0"/>
                <w:bCs/>
                <w:color w:val="auto"/>
                <w:sz w:val="24"/>
                <w:highlight w:val="none"/>
                <w:lang w:val="en-US" w:eastAsia="zh-CN" w:bidi="ar"/>
              </w:rPr>
              <w:t>。</w:t>
            </w:r>
            <w:r>
              <w:rPr>
                <w:rFonts w:hint="eastAsia" w:cs="Times New Roman"/>
                <w:b w:val="0"/>
                <w:bCs/>
                <w:color w:val="auto"/>
                <w:sz w:val="24"/>
                <w:lang w:val="en-US" w:eastAsia="zh-CN" w:bidi="ar"/>
              </w:rPr>
              <w:t>综上，本项目的建设符合国务院关于印发《空气质量持续改善行动计划》的通知（国发</w:t>
            </w:r>
            <w:r>
              <w:rPr>
                <w:rFonts w:hint="eastAsia" w:ascii="Times New Roman" w:hAnsi="Times New Roman" w:eastAsia="宋体" w:cs="微软雅黑"/>
                <w:b w:val="0"/>
                <w:bCs/>
                <w:color w:val="auto"/>
                <w:sz w:val="24"/>
                <w:lang w:val="en-US" w:eastAsia="zh-CN" w:bidi="ar"/>
              </w:rPr>
              <w:t>〔2023〕</w:t>
            </w:r>
            <w:r>
              <w:rPr>
                <w:rFonts w:hint="eastAsia" w:cs="Times New Roman"/>
                <w:b w:val="0"/>
                <w:bCs/>
                <w:color w:val="auto"/>
                <w:sz w:val="24"/>
                <w:lang w:val="en-US" w:eastAsia="zh-CN" w:bidi="ar"/>
              </w:rPr>
              <w:t>24号）的要求。</w:t>
            </w:r>
          </w:p>
          <w:p w14:paraId="0B94FD36">
            <w:pPr>
              <w:keepNext w:val="0"/>
              <w:keepLines w:val="0"/>
              <w:numPr>
                <w:ilvl w:val="0"/>
                <w:numId w:val="0"/>
              </w:numPr>
              <w:suppressLineNumbers w:val="0"/>
              <w:spacing w:before="0" w:beforeAutospacing="0" w:after="0" w:afterAutospacing="0" w:line="360" w:lineRule="auto"/>
              <w:ind w:left="0" w:leftChars="0" w:right="0" w:rightChars="0"/>
              <w:jc w:val="left"/>
              <w:rPr>
                <w:rFonts w:hint="default" w:ascii="Times New Roman" w:hAnsi="Times New Roman" w:eastAsia="宋体" w:cs="Times New Roman"/>
                <w:b/>
                <w:bCs/>
                <w:color w:val="auto"/>
                <w:sz w:val="24"/>
              </w:rPr>
            </w:pPr>
            <w:r>
              <w:rPr>
                <w:rFonts w:hint="eastAsia" w:cs="Times New Roman"/>
                <w:b/>
                <w:bCs/>
                <w:color w:val="auto"/>
                <w:sz w:val="24"/>
                <w:lang w:val="en-US" w:eastAsia="zh-CN"/>
              </w:rPr>
              <w:t>7、</w:t>
            </w:r>
            <w:r>
              <w:rPr>
                <w:rFonts w:hint="default" w:ascii="Times New Roman" w:hAnsi="Times New Roman" w:eastAsia="宋体" w:cs="Times New Roman"/>
                <w:b/>
                <w:bCs/>
                <w:color w:val="auto"/>
                <w:sz w:val="24"/>
              </w:rPr>
              <w:t>选址合理性分析</w:t>
            </w:r>
          </w:p>
          <w:p w14:paraId="109A1F22">
            <w:pPr>
              <w:keepNext w:val="0"/>
              <w:keepLines w:val="0"/>
              <w:pageBreakBefore w:val="0"/>
              <w:widowControl/>
              <w:suppressLineNumbers w:val="0"/>
              <w:kinsoku/>
              <w:wordWrap/>
              <w:overflowPunct/>
              <w:topLinePunct/>
              <w:bidi w:val="0"/>
              <w:adjustRightInd w:val="0"/>
              <w:snapToGrid w:val="0"/>
              <w:spacing w:before="0" w:beforeAutospacing="0" w:after="0" w:afterAutospacing="0" w:line="360" w:lineRule="auto"/>
              <w:ind w:left="0" w:right="0" w:firstLine="480" w:firstLineChars="200"/>
              <w:textAlignment w:val="auto"/>
              <w:rPr>
                <w:rFonts w:hint="default" w:eastAsia="宋体" w:cs="Times New Roman"/>
                <w:color w:val="auto"/>
                <w:sz w:val="24"/>
                <w:highlight w:val="none"/>
                <w:lang w:val="en-US" w:eastAsia="zh-CN"/>
              </w:rPr>
            </w:pPr>
            <w:r>
              <w:rPr>
                <w:rFonts w:hint="eastAsia" w:cs="Times New Roman"/>
                <w:color w:val="auto"/>
                <w:sz w:val="24"/>
                <w:highlight w:val="none"/>
                <w:lang w:val="en-US" w:eastAsia="zh-CN"/>
              </w:rPr>
              <w:t>本项目用地性质为工业用地。（</w:t>
            </w:r>
            <w:r>
              <w:rPr>
                <w:rFonts w:hint="eastAsia"/>
                <w:color w:val="auto"/>
                <w:sz w:val="24"/>
                <w:szCs w:val="32"/>
                <w:lang w:val="en-US" w:eastAsia="zh-CN"/>
              </w:rPr>
              <w:t>详见</w:t>
            </w:r>
            <w:r>
              <w:rPr>
                <w:rFonts w:hint="eastAsia"/>
                <w:b/>
                <w:bCs/>
                <w:color w:val="auto"/>
                <w:sz w:val="24"/>
                <w:szCs w:val="32"/>
                <w:lang w:val="en-US" w:eastAsia="zh-CN"/>
              </w:rPr>
              <w:t>附件六</w:t>
            </w:r>
            <w:r>
              <w:rPr>
                <w:rFonts w:hint="eastAsia"/>
                <w:color w:val="auto"/>
                <w:sz w:val="24"/>
                <w:szCs w:val="32"/>
                <w:lang w:val="en-US" w:eastAsia="zh-CN"/>
              </w:rPr>
              <w:t>：建设用地规划许可证及</w:t>
            </w:r>
            <w:r>
              <w:rPr>
                <w:rFonts w:hint="eastAsia"/>
                <w:b/>
                <w:bCs/>
                <w:color w:val="auto"/>
                <w:sz w:val="24"/>
                <w:szCs w:val="32"/>
                <w:lang w:val="en-US" w:eastAsia="zh-CN"/>
              </w:rPr>
              <w:t>附件七</w:t>
            </w:r>
            <w:r>
              <w:rPr>
                <w:rFonts w:hint="eastAsia"/>
                <w:color w:val="auto"/>
                <w:sz w:val="24"/>
                <w:szCs w:val="32"/>
                <w:lang w:val="en-US" w:eastAsia="zh-CN"/>
              </w:rPr>
              <w:t>：规划条件及规划附图。</w:t>
            </w:r>
            <w:r>
              <w:rPr>
                <w:rFonts w:hint="eastAsia" w:cs="Times New Roman"/>
                <w:color w:val="auto"/>
                <w:sz w:val="24"/>
                <w:highlight w:val="none"/>
                <w:lang w:val="en-US" w:eastAsia="zh-CN"/>
              </w:rPr>
              <w:t>）</w:t>
            </w:r>
          </w:p>
          <w:p w14:paraId="72D63401">
            <w:pPr>
              <w:keepNext w:val="0"/>
              <w:keepLines w:val="0"/>
              <w:pageBreakBefore w:val="0"/>
              <w:widowControl/>
              <w:numPr>
                <w:ilvl w:val="0"/>
                <w:numId w:val="0"/>
              </w:numPr>
              <w:suppressLineNumbers w:val="0"/>
              <w:kinsoku/>
              <w:wordWrap/>
              <w:overflowPunct/>
              <w:topLinePunct/>
              <w:bidi w:val="0"/>
              <w:adjustRightInd w:val="0"/>
              <w:snapToGrid w:val="0"/>
              <w:spacing w:before="0" w:beforeAutospacing="0" w:after="0" w:afterAutospacing="0" w:line="360" w:lineRule="auto"/>
              <w:ind w:left="0" w:leftChars="0" w:right="0" w:rightChars="0" w:firstLine="480" w:firstLineChars="200"/>
              <w:textAlignment w:val="auto"/>
              <w:rPr>
                <w:rFonts w:hint="eastAsia" w:cs="Times New Roman"/>
                <w:color w:val="auto"/>
                <w:sz w:val="24"/>
                <w:highlight w:val="none"/>
                <w:lang w:val="en-US" w:eastAsia="zh-CN"/>
              </w:rPr>
            </w:pPr>
            <w:r>
              <w:rPr>
                <w:rFonts w:hint="eastAsia" w:ascii="Times New Roman" w:hAnsi="Times New Roman" w:eastAsia="宋体" w:cs="Times New Roman"/>
                <w:color w:val="auto"/>
                <w:kern w:val="2"/>
                <w:sz w:val="24"/>
                <w:szCs w:val="24"/>
                <w:lang w:val="en-US" w:eastAsia="zh-CN" w:bidi="ar-SA"/>
              </w:rPr>
              <w:t>（1）</w:t>
            </w:r>
            <w:r>
              <w:rPr>
                <w:rFonts w:hint="eastAsia" w:cs="Times New Roman"/>
                <w:color w:val="auto"/>
                <w:sz w:val="24"/>
                <w:highlight w:val="none"/>
                <w:lang w:val="en-US" w:eastAsia="zh-CN"/>
              </w:rPr>
              <w:t>产业定位合理性分析</w:t>
            </w:r>
          </w:p>
          <w:p w14:paraId="1918892C">
            <w:pPr>
              <w:keepNext w:val="0"/>
              <w:keepLines w:val="0"/>
              <w:pageBreakBefore w:val="0"/>
              <w:widowControl/>
              <w:numPr>
                <w:ilvl w:val="0"/>
                <w:numId w:val="0"/>
              </w:numPr>
              <w:suppressLineNumbers w:val="0"/>
              <w:kinsoku/>
              <w:wordWrap/>
              <w:overflowPunct/>
              <w:topLinePunct/>
              <w:bidi w:val="0"/>
              <w:adjustRightInd w:val="0"/>
              <w:snapToGrid w:val="0"/>
              <w:spacing w:before="0" w:beforeAutospacing="0" w:after="0" w:afterAutospacing="0" w:line="360" w:lineRule="auto"/>
              <w:ind w:left="0" w:leftChars="0" w:right="0" w:rightChars="0" w:firstLine="480" w:firstLineChars="200"/>
              <w:textAlignment w:val="auto"/>
              <w:rPr>
                <w:rFonts w:hint="eastAsia" w:cs="Times New Roman"/>
                <w:color w:val="auto"/>
                <w:sz w:val="24"/>
                <w:highlight w:val="none"/>
                <w:lang w:val="en-US" w:eastAsia="zh-CN"/>
              </w:rPr>
            </w:pPr>
            <w:r>
              <w:rPr>
                <w:rFonts w:hint="eastAsia" w:cs="Times New Roman"/>
                <w:color w:val="auto"/>
                <w:sz w:val="24"/>
                <w:highlight w:val="none"/>
                <w:lang w:val="en-US" w:eastAsia="zh-CN"/>
              </w:rPr>
              <w:t>本项目</w:t>
            </w:r>
            <w:r>
              <w:rPr>
                <w:rFonts w:hint="eastAsia" w:cs="Times New Roman"/>
                <w:bCs/>
                <w:color w:val="auto"/>
                <w:sz w:val="24"/>
                <w:highlight w:val="none"/>
                <w:lang w:val="en-US" w:eastAsia="zh-CN"/>
              </w:rPr>
              <w:t>为</w:t>
            </w:r>
            <w:r>
              <w:rPr>
                <w:rFonts w:hint="eastAsia" w:cs="Times New Roman"/>
                <w:color w:val="auto"/>
                <w:sz w:val="24"/>
                <w:lang w:eastAsia="zh-CN"/>
              </w:rPr>
              <w:t>年产5万吨玉米压片、3万吨饲料、1万吨玉米杂粮建设项目</w:t>
            </w:r>
            <w:r>
              <w:rPr>
                <w:rFonts w:hint="eastAsia" w:cs="Times New Roman"/>
                <w:color w:val="auto"/>
                <w:sz w:val="24"/>
                <w:highlight w:val="none"/>
                <w:lang w:val="en-US" w:eastAsia="zh-CN"/>
              </w:rPr>
              <w:t>，主要建设生物质热风炉为烘干生产线提供热能，不属于三高建设项目。</w:t>
            </w:r>
          </w:p>
          <w:p w14:paraId="133C2010">
            <w:pPr>
              <w:keepNext w:val="0"/>
              <w:keepLines w:val="0"/>
              <w:pageBreakBefore w:val="0"/>
              <w:widowControl/>
              <w:numPr>
                <w:ilvl w:val="0"/>
                <w:numId w:val="0"/>
              </w:numPr>
              <w:suppressLineNumbers w:val="0"/>
              <w:kinsoku/>
              <w:wordWrap/>
              <w:overflowPunct/>
              <w:topLinePunct/>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（2）周围环境及设施符合性</w:t>
            </w:r>
          </w:p>
          <w:p w14:paraId="0DE3C7C6">
            <w:pPr>
              <w:keepNext w:val="0"/>
              <w:keepLines w:val="0"/>
              <w:pageBreakBefore w:val="0"/>
              <w:widowControl/>
              <w:numPr>
                <w:ilvl w:val="0"/>
                <w:numId w:val="0"/>
              </w:numPr>
              <w:suppressLineNumbers w:val="0"/>
              <w:kinsoku/>
              <w:wordWrap/>
              <w:overflowPunct/>
              <w:topLinePunct/>
              <w:bidi w:val="0"/>
              <w:adjustRightInd w:val="0"/>
              <w:snapToGrid w:val="0"/>
              <w:spacing w:before="0" w:beforeAutospacing="0" w:after="0" w:afterAutospacing="0" w:line="360" w:lineRule="auto"/>
              <w:ind w:left="0" w:leftChars="0" w:right="0" w:rightChars="0" w:firstLine="480" w:firstLineChars="200"/>
              <w:textAlignment w:val="auto"/>
              <w:rPr>
                <w:rFonts w:hint="default" w:cs="Times New Roman"/>
                <w:color w:val="auto"/>
                <w:sz w:val="24"/>
                <w:highlight w:val="none"/>
                <w:lang w:val="en-US" w:eastAsia="zh-CN"/>
              </w:rPr>
            </w:pPr>
            <w:r>
              <w:rPr>
                <w:rFonts w:hint="eastAsia" w:cs="Times New Roman"/>
                <w:color w:val="auto"/>
                <w:sz w:val="24"/>
                <w:highlight w:val="none"/>
                <w:lang w:val="en-US" w:eastAsia="zh-CN"/>
              </w:rPr>
              <w:t>项目供水、供电、排水均合理安排，基础设施完善。</w:t>
            </w:r>
          </w:p>
          <w:p w14:paraId="3B12AA3B">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rPr>
            </w:pPr>
            <w:r>
              <w:rPr>
                <w:rFonts w:hint="eastAsia" w:ascii="Times New Roman" w:hAnsi="Times New Roman" w:cs="Times New Roman"/>
                <w:color w:val="auto"/>
                <w:kern w:val="0"/>
                <w:sz w:val="24"/>
                <w:szCs w:val="24"/>
                <w:lang w:val="en-US" w:eastAsia="zh-CN"/>
              </w:rPr>
              <w:t>本</w:t>
            </w:r>
            <w:r>
              <w:rPr>
                <w:rFonts w:hint="default" w:ascii="Times New Roman" w:hAnsi="Times New Roman" w:eastAsia="宋体" w:cs="Times New Roman"/>
                <w:color w:val="auto"/>
              </w:rPr>
              <w:t>项目符合</w:t>
            </w:r>
            <w:r>
              <w:rPr>
                <w:rFonts w:hint="eastAsia" w:ascii="Times New Roman" w:hAnsi="Times New Roman" w:cs="Times New Roman"/>
                <w:color w:val="auto"/>
                <w:lang w:eastAsia="zh-CN"/>
              </w:rPr>
              <w:t>“</w:t>
            </w:r>
            <w:r>
              <w:rPr>
                <w:rFonts w:hint="default" w:ascii="Times New Roman" w:hAnsi="Times New Roman" w:eastAsia="宋体" w:cs="Times New Roman"/>
                <w:color w:val="auto"/>
              </w:rPr>
              <w:t>三线一单</w:t>
            </w:r>
            <w:r>
              <w:rPr>
                <w:rFonts w:hint="eastAsia" w:ascii="Times New Roman" w:hAnsi="Times New Roman" w:cs="Times New Roman"/>
                <w:color w:val="auto"/>
                <w:lang w:eastAsia="zh-CN"/>
              </w:rPr>
              <w:t>”</w:t>
            </w:r>
            <w:r>
              <w:rPr>
                <w:rFonts w:hint="default" w:ascii="Times New Roman" w:hAnsi="Times New Roman" w:eastAsia="宋体" w:cs="Times New Roman"/>
                <w:color w:val="auto"/>
              </w:rPr>
              <w:t>管控要求</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sz w:val="24"/>
                <w:szCs w:val="24"/>
              </w:rPr>
              <w:t>周边500m范围内无居民区、学校、医院等敏感目标，周边</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km范围内</w:t>
            </w:r>
            <w:r>
              <w:rPr>
                <w:rFonts w:hint="default" w:ascii="Times New Roman" w:hAnsi="Times New Roman" w:eastAsia="宋体" w:cs="Times New Roman"/>
                <w:color w:val="auto"/>
              </w:rPr>
              <w:t>无国家公园、自然保护区、风景名胜区、饮用水水源保护区、生态环境敏感区等敏感目标。</w:t>
            </w:r>
          </w:p>
          <w:p w14:paraId="37753D81">
            <w:pPr>
              <w:keepNext w:val="0"/>
              <w:keepLines w:val="0"/>
              <w:widowControl/>
              <w:suppressLineNumbers w:val="0"/>
              <w:topLinePunct/>
              <w:adjustRightInd w:val="0"/>
              <w:snapToGrid w:val="0"/>
              <w:spacing w:before="0" w:beforeAutospacing="0" w:after="0" w:afterAutospacing="0" w:line="360" w:lineRule="auto"/>
              <w:ind w:left="0" w:right="0" w:firstLine="480" w:firstLineChars="200"/>
              <w:rPr>
                <w:rFonts w:hint="eastAsia" w:ascii="Times New Roman" w:hAnsi="Times New Roman" w:cs="Times New Roman"/>
                <w:color w:val="auto"/>
                <w:sz w:val="24"/>
              </w:rPr>
            </w:pPr>
            <w:r>
              <w:rPr>
                <w:rFonts w:hint="default" w:ascii="Times New Roman" w:hAnsi="Times New Roman" w:cs="Times New Roman"/>
                <w:color w:val="auto"/>
                <w:sz w:val="24"/>
              </w:rPr>
              <w:t>经以上分析，只要该项目严格遵守国家和地方有关的环保法规，做好各项污染防治措施，在</w:t>
            </w:r>
            <w:r>
              <w:rPr>
                <w:rFonts w:hint="eastAsia" w:ascii="Times New Roman" w:hAnsi="Times New Roman" w:cs="Times New Roman"/>
                <w:color w:val="auto"/>
                <w:sz w:val="24"/>
              </w:rPr>
              <w:t>污染物</w:t>
            </w:r>
            <w:r>
              <w:rPr>
                <w:rFonts w:hint="default" w:ascii="Times New Roman" w:hAnsi="Times New Roman" w:cs="Times New Roman"/>
                <w:color w:val="auto"/>
                <w:sz w:val="24"/>
              </w:rPr>
              <w:t>达标排放状况下，项目运营期间对周围水环境、大气环境和声环境不会造成大的影响。</w:t>
            </w:r>
            <w:r>
              <w:rPr>
                <w:rFonts w:hint="eastAsia" w:cs="Times New Roman"/>
                <w:color w:val="auto"/>
                <w:sz w:val="24"/>
                <w:lang w:val="en-US" w:eastAsia="zh-CN"/>
              </w:rPr>
              <w:t>综上所述，本</w:t>
            </w:r>
            <w:r>
              <w:rPr>
                <w:rFonts w:hint="default" w:ascii="Times New Roman" w:hAnsi="Times New Roman" w:cs="Times New Roman"/>
                <w:color w:val="auto"/>
                <w:sz w:val="24"/>
              </w:rPr>
              <w:t>项目选址合理</w:t>
            </w:r>
            <w:r>
              <w:rPr>
                <w:rFonts w:hint="eastAsia" w:ascii="Times New Roman" w:hAnsi="Times New Roman" w:cs="Times New Roman"/>
                <w:color w:val="auto"/>
                <w:sz w:val="24"/>
              </w:rPr>
              <w:t>。</w:t>
            </w:r>
          </w:p>
          <w:p w14:paraId="28005CC4">
            <w:pPr>
              <w:pStyle w:val="2"/>
              <w:keepNext w:val="0"/>
              <w:keepLines w:val="0"/>
              <w:suppressLineNumbers w:val="0"/>
              <w:spacing w:before="0" w:beforeAutospacing="0" w:after="0" w:afterAutospacing="0"/>
              <w:ind w:left="0" w:right="0"/>
              <w:jc w:val="right"/>
              <w:rPr>
                <w:rFonts w:hint="eastAsia" w:ascii="Times New Roman" w:hAnsi="Times New Roman" w:cs="Times New Roman"/>
                <w:color w:val="auto"/>
                <w:sz w:val="24"/>
              </w:rPr>
            </w:pPr>
          </w:p>
          <w:p w14:paraId="00474462">
            <w:pPr>
              <w:keepNext w:val="0"/>
              <w:keepLines w:val="0"/>
              <w:suppressLineNumbers w:val="0"/>
              <w:spacing w:before="0" w:beforeAutospacing="0" w:after="0" w:afterAutospacing="0"/>
              <w:ind w:left="0" w:right="0"/>
              <w:jc w:val="right"/>
              <w:rPr>
                <w:rFonts w:hint="eastAsia" w:ascii="Times New Roman" w:hAnsi="Times New Roman" w:cs="Times New Roman"/>
                <w:color w:val="auto"/>
                <w:sz w:val="24"/>
              </w:rPr>
            </w:pPr>
          </w:p>
          <w:p w14:paraId="0F454C03">
            <w:pPr>
              <w:pStyle w:val="2"/>
              <w:keepNext w:val="0"/>
              <w:keepLines w:val="0"/>
              <w:suppressLineNumbers w:val="0"/>
              <w:spacing w:before="0" w:beforeAutospacing="0" w:after="0" w:afterAutospacing="0"/>
              <w:ind w:left="0" w:right="0"/>
              <w:jc w:val="right"/>
              <w:rPr>
                <w:rFonts w:hint="eastAsia"/>
                <w:color w:val="auto"/>
              </w:rPr>
            </w:pPr>
          </w:p>
          <w:p w14:paraId="5C640E91">
            <w:pPr>
              <w:keepNext w:val="0"/>
              <w:keepLines w:val="0"/>
              <w:suppressLineNumbers w:val="0"/>
              <w:spacing w:before="0" w:beforeAutospacing="0" w:after="0" w:afterAutospacing="0"/>
              <w:ind w:left="0" w:right="0"/>
              <w:jc w:val="right"/>
              <w:rPr>
                <w:rFonts w:hint="eastAsia"/>
                <w:color w:val="auto"/>
              </w:rPr>
            </w:pPr>
          </w:p>
          <w:p w14:paraId="293B34E0">
            <w:pPr>
              <w:pStyle w:val="2"/>
              <w:keepNext w:val="0"/>
              <w:keepLines w:val="0"/>
              <w:suppressLineNumbers w:val="0"/>
              <w:spacing w:before="0" w:beforeAutospacing="0" w:after="0" w:afterAutospacing="0"/>
              <w:ind w:left="0" w:right="0"/>
              <w:jc w:val="right"/>
              <w:rPr>
                <w:rFonts w:hint="eastAsia"/>
                <w:color w:val="auto"/>
              </w:rPr>
            </w:pPr>
          </w:p>
          <w:p w14:paraId="188BE890">
            <w:pPr>
              <w:keepNext w:val="0"/>
              <w:keepLines w:val="0"/>
              <w:suppressLineNumbers w:val="0"/>
              <w:spacing w:before="0" w:beforeAutospacing="0" w:after="0" w:afterAutospacing="0"/>
              <w:ind w:left="0" w:right="0"/>
              <w:jc w:val="right"/>
              <w:rPr>
                <w:rFonts w:hint="eastAsia"/>
                <w:color w:val="auto"/>
              </w:rPr>
            </w:pPr>
          </w:p>
          <w:p w14:paraId="6A3DDFA0">
            <w:pPr>
              <w:pStyle w:val="2"/>
              <w:keepNext w:val="0"/>
              <w:keepLines w:val="0"/>
              <w:suppressLineNumbers w:val="0"/>
              <w:spacing w:before="0" w:beforeAutospacing="0" w:after="0" w:afterAutospacing="0"/>
              <w:ind w:left="0" w:right="0"/>
              <w:jc w:val="right"/>
              <w:rPr>
                <w:rFonts w:hint="eastAsia"/>
                <w:color w:val="auto"/>
              </w:rPr>
            </w:pPr>
          </w:p>
          <w:p w14:paraId="05D73BF0">
            <w:pPr>
              <w:pStyle w:val="2"/>
              <w:keepNext w:val="0"/>
              <w:keepLines w:val="0"/>
              <w:suppressLineNumbers w:val="0"/>
              <w:spacing w:before="0" w:beforeAutospacing="0" w:after="0" w:afterAutospacing="0"/>
              <w:ind w:left="0" w:right="0"/>
              <w:jc w:val="right"/>
              <w:rPr>
                <w:rFonts w:hint="eastAsia"/>
                <w:color w:val="auto"/>
              </w:rPr>
            </w:pPr>
          </w:p>
          <w:p w14:paraId="34823525">
            <w:pPr>
              <w:pStyle w:val="2"/>
              <w:keepNext w:val="0"/>
              <w:keepLines w:val="0"/>
              <w:suppressLineNumbers w:val="0"/>
              <w:spacing w:before="0" w:beforeAutospacing="0" w:after="0" w:afterAutospacing="0"/>
              <w:ind w:left="0" w:leftChars="0" w:right="0" w:rightChars="0"/>
              <w:jc w:val="right"/>
              <w:rPr>
                <w:rFonts w:hint="eastAsia" w:ascii="Times New Roman" w:hAnsi="Times New Roman" w:eastAsia="宋体" w:cs="宋体"/>
                <w:color w:val="auto"/>
                <w:kern w:val="0"/>
                <w:sz w:val="24"/>
                <w:szCs w:val="24"/>
                <w:lang w:val="en-US" w:eastAsia="zh-CN" w:bidi="ar"/>
              </w:rPr>
            </w:pPr>
          </w:p>
        </w:tc>
      </w:tr>
    </w:tbl>
    <w:p w14:paraId="09C161D9">
      <w:pPr>
        <w:spacing w:line="360" w:lineRule="auto"/>
        <w:outlineLvl w:val="0"/>
        <w:rPr>
          <w:rFonts w:hint="default" w:ascii="Times New Roman" w:hAnsi="Times New Roman" w:eastAsia="宋体" w:cs="Times New Roman"/>
          <w:color w:val="auto"/>
          <w:sz w:val="30"/>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7C8E659B">
      <w:pPr>
        <w:pStyle w:val="48"/>
        <w:keepNext w:val="0"/>
        <w:keepLines w:val="0"/>
        <w:pageBreakBefore w:val="0"/>
        <w:widowControl/>
        <w:kinsoku/>
        <w:wordWrap/>
        <w:overflowPunct/>
        <w:topLinePunct w:val="0"/>
        <w:autoSpaceDE/>
        <w:autoSpaceDN/>
        <w:bidi w:val="0"/>
        <w:adjustRightInd/>
        <w:snapToGrid/>
        <w:spacing w:beforeAutospacing="0"/>
        <w:textAlignment w:val="auto"/>
        <w:rPr>
          <w:rFonts w:hint="default"/>
          <w:color w:val="auto"/>
        </w:rPr>
      </w:pPr>
      <w:bookmarkStart w:id="4" w:name="_Toc9493"/>
      <w:r>
        <w:rPr>
          <w:rFonts w:hint="default"/>
          <w:color w:val="auto"/>
        </w:rPr>
        <w:t>二、建设项目工程分析</w:t>
      </w:r>
      <w:bookmarkEnd w:id="2"/>
      <w:bookmarkEnd w:id="4"/>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06"/>
        <w:gridCol w:w="8478"/>
      </w:tblGrid>
      <w:tr w14:paraId="2EA89D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6" w:type="dxa"/>
            <w:noWrap w:val="0"/>
            <w:vAlign w:val="center"/>
          </w:tcPr>
          <w:p w14:paraId="51C7B864">
            <w:pPr>
              <w:pStyle w:val="34"/>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建设内容</w:t>
            </w:r>
          </w:p>
        </w:tc>
        <w:tc>
          <w:tcPr>
            <w:tcW w:w="8478" w:type="dxa"/>
            <w:noWrap w:val="0"/>
            <w:vAlign w:val="top"/>
          </w:tcPr>
          <w:p w14:paraId="076D03DB">
            <w:pPr>
              <w:pStyle w:val="114"/>
              <w:keepNext w:val="0"/>
              <w:keepLines w:val="0"/>
              <w:numPr>
                <w:ilvl w:val="0"/>
                <w:numId w:val="0"/>
              </w:numPr>
              <w:suppressLineNumbers w:val="0"/>
              <w:spacing w:before="0" w:beforeAutospacing="0" w:after="0" w:afterAutospacing="0"/>
              <w:ind w:left="0" w:right="0" w:rightChars="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SA"/>
              </w:rPr>
              <w:t>1、</w:t>
            </w:r>
            <w:r>
              <w:rPr>
                <w:rFonts w:hint="default" w:ascii="Times New Roman" w:hAnsi="Times New Roman" w:eastAsia="宋体" w:cs="Times New Roman"/>
                <w:b/>
                <w:bCs/>
                <w:color w:val="auto"/>
                <w:sz w:val="24"/>
                <w:szCs w:val="24"/>
              </w:rPr>
              <w:t>项目背景</w:t>
            </w:r>
          </w:p>
          <w:p w14:paraId="3C348B01">
            <w:pPr>
              <w:pStyle w:val="1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textAlignment w:val="auto"/>
              <w:rPr>
                <w:rFonts w:hint="eastAsia"/>
                <w:color w:val="auto"/>
                <w:sz w:val="24"/>
                <w:szCs w:val="24"/>
                <w:lang w:val="en-US" w:eastAsia="zh-CN"/>
              </w:rPr>
            </w:pPr>
            <w:r>
              <w:rPr>
                <w:rFonts w:hint="eastAsia" w:ascii="Times New Roman" w:hAnsi="Times New Roman" w:eastAsia="宋体" w:cs="Times New Roman"/>
                <w:color w:val="auto"/>
                <w:kern w:val="0"/>
                <w:sz w:val="24"/>
                <w:szCs w:val="24"/>
                <w:lang w:val="en-US" w:eastAsia="zh-CN"/>
              </w:rPr>
              <w:t>本项目建设内容为</w:t>
            </w:r>
            <w:r>
              <w:rPr>
                <w:rFonts w:hint="eastAsia" w:cs="Times New Roman"/>
                <w:color w:val="auto"/>
                <w:sz w:val="24"/>
                <w:szCs w:val="24"/>
                <w:lang w:eastAsia="zh-CN"/>
              </w:rPr>
              <w:t>年产5万吨玉米压片、3万吨饲料、1万吨玉米杂粮。</w:t>
            </w:r>
            <w:r>
              <w:rPr>
                <w:rFonts w:hint="eastAsia" w:cs="Times New Roman"/>
                <w:color w:val="auto"/>
                <w:sz w:val="24"/>
                <w:szCs w:val="24"/>
                <w:lang w:val="en-US" w:eastAsia="zh-CN"/>
              </w:rPr>
              <w:t>其中一期建设内容为：</w:t>
            </w:r>
            <w:r>
              <w:rPr>
                <w:rFonts w:hint="eastAsia" w:ascii="Times New Roman" w:hAnsi="Times New Roman" w:eastAsia="宋体"/>
                <w:color w:val="auto"/>
                <w:sz w:val="24"/>
                <w:szCs w:val="24"/>
                <w:vertAlign w:val="baseline"/>
                <w:lang w:val="en-US" w:eastAsia="zh-CN"/>
              </w:rPr>
              <w:t>新建1千吨烘干塔、1万吨储粮仓、3000m钢结构厂房。（注：一期工程配套</w:t>
            </w:r>
            <w:r>
              <w:rPr>
                <w:rFonts w:hint="eastAsia"/>
                <w:color w:val="auto"/>
                <w:sz w:val="24"/>
                <w:szCs w:val="24"/>
                <w:vertAlign w:val="baseline"/>
                <w:lang w:val="en-US" w:eastAsia="zh-CN"/>
              </w:rPr>
              <w:t>20t/h生物质热风炉</w:t>
            </w:r>
            <w:r>
              <w:rPr>
                <w:rFonts w:hint="eastAsia" w:ascii="Times New Roman" w:hAnsi="Times New Roman" w:eastAsia="宋体"/>
                <w:color w:val="auto"/>
                <w:sz w:val="24"/>
                <w:szCs w:val="24"/>
                <w:vertAlign w:val="baseline"/>
                <w:lang w:val="en-US" w:eastAsia="zh-CN"/>
              </w:rPr>
              <w:t>1台）</w:t>
            </w:r>
            <w:r>
              <w:rPr>
                <w:rFonts w:hint="eastAsia" w:cs="Times New Roman"/>
                <w:color w:val="auto"/>
                <w:sz w:val="24"/>
                <w:szCs w:val="24"/>
                <w:lang w:val="en-US" w:eastAsia="zh-CN"/>
              </w:rPr>
              <w:t>。</w:t>
            </w:r>
            <w:r>
              <w:rPr>
                <w:rFonts w:hint="eastAsia"/>
                <w:color w:val="auto"/>
                <w:sz w:val="24"/>
                <w:szCs w:val="24"/>
                <w:lang w:val="en-US" w:eastAsia="zh-CN"/>
              </w:rPr>
              <w:t>本次评价仅包括一期内容。</w:t>
            </w:r>
          </w:p>
          <w:p w14:paraId="133750D7">
            <w:pPr>
              <w:pStyle w:val="1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textAlignment w:val="auto"/>
              <w:rPr>
                <w:rFonts w:hint="default"/>
                <w:color w:val="auto"/>
                <w:sz w:val="24"/>
                <w:szCs w:val="24"/>
                <w:lang w:val="en-US" w:eastAsia="zh-CN"/>
              </w:rPr>
            </w:pPr>
            <w:r>
              <w:rPr>
                <w:rFonts w:hint="default"/>
                <w:color w:val="auto"/>
                <w:sz w:val="24"/>
                <w:szCs w:val="24"/>
                <w:lang w:val="en-US" w:eastAsia="zh-CN"/>
              </w:rPr>
              <w:t>本项目已开工建设，根据《新疆维吾尔自治区 新疆生产建设兵团生态环境部门不予处罚事项和不予强制事项清单》中</w:t>
            </w:r>
            <w:r>
              <w:rPr>
                <w:rFonts w:hint="eastAsia"/>
                <w:color w:val="auto"/>
                <w:sz w:val="24"/>
                <w:szCs w:val="24"/>
                <w:lang w:val="en-US" w:eastAsia="zh-CN"/>
              </w:rPr>
              <w:t>：“新</w:t>
            </w:r>
            <w:r>
              <w:rPr>
                <w:rFonts w:hint="default"/>
                <w:color w:val="auto"/>
                <w:sz w:val="24"/>
                <w:szCs w:val="24"/>
                <w:lang w:val="en-US" w:eastAsia="zh-CN"/>
              </w:rPr>
              <w:t>建项目未依法通过环评审批手续擅自开工建设，处于厂房建设阶段且主体设施未安装建设，未投产或者使用，执法人员现场检查发现违法行为后立即停止建设或者恢复原状，且没有造成环境污染的</w:t>
            </w:r>
            <w:r>
              <w:rPr>
                <w:rFonts w:hint="eastAsia"/>
                <w:color w:val="auto"/>
                <w:sz w:val="24"/>
                <w:szCs w:val="24"/>
                <w:lang w:val="en-US" w:eastAsia="zh-CN"/>
              </w:rPr>
              <w:t>”</w:t>
            </w:r>
            <w:r>
              <w:rPr>
                <w:rFonts w:hint="default"/>
                <w:color w:val="auto"/>
                <w:sz w:val="24"/>
                <w:szCs w:val="24"/>
                <w:lang w:val="en-US" w:eastAsia="zh-CN"/>
              </w:rPr>
              <w:t>，</w:t>
            </w:r>
            <w:r>
              <w:rPr>
                <w:rFonts w:hint="eastAsia"/>
                <w:color w:val="auto"/>
                <w:sz w:val="24"/>
                <w:szCs w:val="24"/>
                <w:lang w:val="en-US" w:eastAsia="zh-CN"/>
              </w:rPr>
              <w:t>截至项目环境影响评价文件上报前，仅建成建成1座10000吨粮仓、2座2000吨粮仓、厂房的钢架结构及部分硬化，</w:t>
            </w:r>
            <w:r>
              <w:rPr>
                <w:rFonts w:hint="default"/>
                <w:color w:val="auto"/>
                <w:sz w:val="24"/>
                <w:szCs w:val="24"/>
                <w:lang w:val="en-US" w:eastAsia="zh-CN"/>
              </w:rPr>
              <w:t>目前处于停工状态，正在及时办理环保手续。</w:t>
            </w:r>
          </w:p>
          <w:p w14:paraId="31623333">
            <w:pPr>
              <w:pStyle w:val="1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rPr>
              <w:t>本项目拟</w:t>
            </w:r>
            <w:r>
              <w:rPr>
                <w:rFonts w:hint="eastAsia" w:ascii="Times New Roman" w:hAnsi="Times New Roman" w:eastAsia="宋体" w:cs="Times New Roman"/>
                <w:color w:val="auto"/>
                <w:kern w:val="0"/>
                <w:sz w:val="24"/>
                <w:szCs w:val="24"/>
                <w:highlight w:val="none"/>
                <w:lang w:val="en-US" w:eastAsia="zh-CN"/>
              </w:rPr>
              <w:t>建设</w:t>
            </w:r>
            <w:r>
              <w:rPr>
                <w:rFonts w:hint="eastAsia" w:cs="Times New Roman"/>
                <w:color w:val="auto"/>
                <w:kern w:val="0"/>
                <w:sz w:val="24"/>
                <w:szCs w:val="24"/>
                <w:highlight w:val="none"/>
                <w:lang w:val="en-US" w:eastAsia="zh-CN"/>
              </w:rPr>
              <w:t>1</w:t>
            </w:r>
            <w:r>
              <w:rPr>
                <w:rFonts w:hint="eastAsia" w:ascii="Times New Roman" w:hAnsi="Times New Roman" w:eastAsia="宋体" w:cs="Times New Roman"/>
                <w:color w:val="auto"/>
                <w:kern w:val="0"/>
                <w:sz w:val="24"/>
                <w:szCs w:val="24"/>
                <w:highlight w:val="none"/>
                <w:lang w:val="en-US" w:eastAsia="zh-CN"/>
              </w:rPr>
              <w:t>台</w:t>
            </w:r>
            <w:r>
              <w:rPr>
                <w:rFonts w:hint="eastAsia" w:cs="Times New Roman"/>
                <w:color w:val="auto"/>
                <w:kern w:val="0"/>
                <w:sz w:val="24"/>
                <w:szCs w:val="24"/>
                <w:highlight w:val="none"/>
                <w:lang w:val="en-US" w:eastAsia="zh-CN"/>
              </w:rPr>
              <w:t>20t/h生物质热风炉</w:t>
            </w:r>
            <w:r>
              <w:rPr>
                <w:rFonts w:hint="default" w:ascii="Times New Roman" w:hAnsi="Times New Roman" w:eastAsia="宋体" w:cs="Times New Roman"/>
                <w:color w:val="auto"/>
                <w:kern w:val="0"/>
                <w:sz w:val="24"/>
                <w:szCs w:val="24"/>
                <w:highlight w:val="none"/>
              </w:rPr>
              <w:t>。参照《名录》</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四十一、电力、热力生产和供应业</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91热力生产和供应工程（包括建设单位的自建自用的供热工程）</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要求，本项目需编制环境影响报告表。</w:t>
            </w:r>
            <w:r>
              <w:rPr>
                <w:rFonts w:hint="eastAsia" w:cs="Times New Roman"/>
                <w:color w:val="auto"/>
                <w:kern w:val="0"/>
                <w:sz w:val="24"/>
                <w:szCs w:val="24"/>
                <w:highlight w:val="none"/>
                <w:lang w:val="en-US" w:eastAsia="zh-CN"/>
              </w:rPr>
              <w:t>胡杨河华优农业有限公司</w:t>
            </w:r>
            <w:r>
              <w:rPr>
                <w:rFonts w:hint="default" w:ascii="Times New Roman" w:hAnsi="Times New Roman" w:eastAsia="宋体" w:cs="Times New Roman"/>
                <w:color w:val="auto"/>
                <w:kern w:val="0"/>
                <w:sz w:val="24"/>
                <w:szCs w:val="24"/>
                <w:highlight w:val="none"/>
              </w:rPr>
              <w:t>委托</w:t>
            </w:r>
            <w:r>
              <w:rPr>
                <w:rFonts w:hint="eastAsia" w:cs="Times New Roman"/>
                <w:color w:val="auto"/>
                <w:kern w:val="0"/>
                <w:sz w:val="24"/>
                <w:szCs w:val="24"/>
                <w:highlight w:val="none"/>
                <w:lang w:val="en-US" w:eastAsia="zh-CN"/>
              </w:rPr>
              <w:t>我公司</w:t>
            </w:r>
            <w:r>
              <w:rPr>
                <w:rFonts w:hint="eastAsia" w:ascii="Times New Roman" w:hAnsi="Times New Roman" w:eastAsia="宋体" w:cs="Times New Roman"/>
                <w:color w:val="auto"/>
                <w:kern w:val="0"/>
                <w:sz w:val="24"/>
                <w:szCs w:val="24"/>
                <w:highlight w:val="none"/>
                <w:lang w:val="en-US" w:eastAsia="zh-CN"/>
              </w:rPr>
              <w:t>对</w:t>
            </w:r>
            <w:r>
              <w:rPr>
                <w:rFonts w:hint="eastAsia" w:cs="Times New Roman"/>
                <w:color w:val="auto"/>
                <w:sz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进行</w:t>
            </w:r>
            <w:r>
              <w:rPr>
                <w:rFonts w:hint="default" w:ascii="Times New Roman" w:hAnsi="Times New Roman" w:eastAsia="宋体" w:cs="Times New Roman"/>
                <w:color w:val="auto"/>
                <w:sz w:val="24"/>
                <w:szCs w:val="24"/>
                <w:highlight w:val="none"/>
              </w:rPr>
              <w:t>环境影响评价工作</w:t>
            </w:r>
            <w:r>
              <w:rPr>
                <w:rFonts w:hint="default" w:ascii="Times New Roman" w:hAnsi="Times New Roman" w:eastAsia="宋体" w:cs="Times New Roman"/>
                <w:color w:val="auto"/>
                <w:kern w:val="0"/>
                <w:sz w:val="24"/>
                <w:szCs w:val="24"/>
                <w:highlight w:val="none"/>
              </w:rPr>
              <w:t>。接受委托后，</w:t>
            </w:r>
            <w:r>
              <w:rPr>
                <w:rFonts w:hint="eastAsia" w:cs="Times New Roman"/>
                <w:color w:val="auto"/>
                <w:kern w:val="0"/>
                <w:sz w:val="24"/>
                <w:szCs w:val="24"/>
                <w:highlight w:val="none"/>
                <w:lang w:val="en-US" w:eastAsia="zh-CN"/>
              </w:rPr>
              <w:t>我公司</w:t>
            </w:r>
            <w:r>
              <w:rPr>
                <w:rFonts w:hint="default" w:ascii="Times New Roman" w:hAnsi="Times New Roman" w:eastAsia="宋体" w:cs="Times New Roman"/>
                <w:color w:val="auto"/>
                <w:kern w:val="0"/>
                <w:sz w:val="24"/>
                <w:szCs w:val="24"/>
                <w:highlight w:val="none"/>
              </w:rPr>
              <w:t>立即对区域环境现状进行了调查踏勘，</w:t>
            </w:r>
            <w:r>
              <w:rPr>
                <w:rFonts w:hint="default" w:ascii="Times New Roman" w:hAnsi="Times New Roman" w:eastAsia="宋体" w:cs="Times New Roman"/>
                <w:color w:val="auto"/>
                <w:kern w:val="0"/>
                <w:sz w:val="24"/>
                <w:szCs w:val="24"/>
                <w:highlight w:val="none"/>
                <w:lang w:val="zh-TW" w:eastAsia="zh-TW"/>
              </w:rPr>
              <w:t>收集了当地水文、气象以及环境现状等资料</w:t>
            </w:r>
            <w:r>
              <w:rPr>
                <w:rFonts w:hint="default" w:ascii="Times New Roman" w:hAnsi="Times New Roman" w:eastAsia="宋体" w:cs="Times New Roman"/>
                <w:color w:val="auto"/>
                <w:kern w:val="0"/>
                <w:sz w:val="24"/>
                <w:szCs w:val="24"/>
                <w:highlight w:val="none"/>
              </w:rPr>
              <w:t>，依据国家有关法规文件、环境影响评价技术导则以及《</w:t>
            </w:r>
            <w:r>
              <w:rPr>
                <w:rFonts w:hint="default" w:ascii="Times New Roman" w:hAnsi="Times New Roman" w:eastAsia="宋体" w:cs="Times New Roman"/>
                <w:color w:val="auto"/>
                <w:sz w:val="24"/>
                <w:szCs w:val="24"/>
                <w:highlight w:val="none"/>
              </w:rPr>
              <w:t>建设项目环境影响报告表编制技术指南（</w:t>
            </w:r>
            <w:r>
              <w:rPr>
                <w:rFonts w:hint="eastAsia" w:ascii="Times New Roman" w:hAnsi="Times New Roman" w:eastAsia="宋体" w:cs="Times New Roman"/>
                <w:color w:val="auto"/>
                <w:sz w:val="24"/>
                <w:szCs w:val="24"/>
                <w:highlight w:val="none"/>
                <w:lang w:val="en-US" w:eastAsia="zh-CN"/>
              </w:rPr>
              <w:t>污染</w:t>
            </w:r>
            <w:r>
              <w:rPr>
                <w:rFonts w:hint="default" w:ascii="Times New Roman" w:hAnsi="Times New Roman" w:eastAsia="宋体" w:cs="Times New Roman"/>
                <w:color w:val="auto"/>
                <w:sz w:val="24"/>
                <w:szCs w:val="24"/>
                <w:highlight w:val="none"/>
              </w:rPr>
              <w:t>影响型</w:t>
            </w:r>
            <w:r>
              <w:rPr>
                <w:rFonts w:hint="eastAsia" w:cs="Times New Roman"/>
                <w:color w:val="auto"/>
                <w:sz w:val="24"/>
                <w:szCs w:val="24"/>
                <w:highlight w:val="none"/>
                <w:lang w:eastAsia="zh-CN"/>
              </w:rPr>
              <w:t>）</w:t>
            </w:r>
            <w:r>
              <w:rPr>
                <w:rFonts w:hint="default" w:ascii="Times New Roman" w:hAnsi="Times New Roman" w:eastAsia="宋体" w:cs="Times New Roman"/>
                <w:color w:val="auto"/>
                <w:kern w:val="0"/>
                <w:sz w:val="24"/>
                <w:szCs w:val="24"/>
                <w:highlight w:val="none"/>
              </w:rPr>
              <w:t>》，编制了《</w:t>
            </w:r>
            <w:r>
              <w:rPr>
                <w:rFonts w:hint="eastAsia" w:cs="Times New Roman"/>
                <w:color w:val="auto"/>
                <w:sz w:val="24"/>
                <w:highlight w:val="none"/>
                <w:lang w:eastAsia="zh-CN"/>
              </w:rPr>
              <w:t>年产5万吨玉米压片、3万吨饲料、1万吨玉米杂粮建设项目</w:t>
            </w:r>
            <w:r>
              <w:rPr>
                <w:rFonts w:hint="default" w:ascii="Times New Roman" w:hAnsi="Times New Roman" w:eastAsia="宋体" w:cs="Times New Roman"/>
                <w:color w:val="auto"/>
                <w:kern w:val="0"/>
                <w:sz w:val="24"/>
                <w:szCs w:val="24"/>
                <w:highlight w:val="none"/>
              </w:rPr>
              <w:t>环境影响报告表》。</w:t>
            </w:r>
          </w:p>
          <w:p w14:paraId="5D20B207">
            <w:pPr>
              <w:pStyle w:val="114"/>
              <w:keepNext w:val="0"/>
              <w:keepLines w:val="0"/>
              <w:numPr>
                <w:ilvl w:val="0"/>
                <w:numId w:val="0"/>
              </w:numPr>
              <w:suppressLineNumbers w:val="0"/>
              <w:spacing w:before="0" w:beforeAutospacing="0" w:after="0" w:afterAutospacing="0"/>
              <w:ind w:left="0" w:right="0" w:rightChars="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SA"/>
              </w:rPr>
              <w:t>2、</w:t>
            </w:r>
            <w:r>
              <w:rPr>
                <w:rFonts w:hint="default" w:ascii="Times New Roman" w:hAnsi="Times New Roman" w:eastAsia="宋体" w:cs="Times New Roman"/>
                <w:b/>
                <w:bCs/>
                <w:color w:val="auto"/>
                <w:sz w:val="24"/>
                <w:szCs w:val="24"/>
              </w:rPr>
              <w:t>项目组成</w:t>
            </w:r>
          </w:p>
          <w:p w14:paraId="51DD8403">
            <w:pPr>
              <w:pStyle w:val="114"/>
              <w:keepNext w:val="0"/>
              <w:keepLines w:val="0"/>
              <w:suppressLineNumbers w:val="0"/>
              <w:spacing w:before="0" w:beforeAutospacing="0" w:after="0" w:afterAutospacing="0"/>
              <w:ind w:left="0" w:right="0" w:firstLine="480"/>
              <w:rPr>
                <w:rFonts w:hint="eastAsia" w:cs="Times New Roman"/>
                <w:color w:val="auto"/>
                <w:sz w:val="24"/>
                <w:szCs w:val="24"/>
                <w:lang w:eastAsia="zh-CN"/>
              </w:rPr>
            </w:pPr>
            <w:r>
              <w:rPr>
                <w:rFonts w:hint="default" w:ascii="Times New Roman" w:hAnsi="Times New Roman" w:eastAsia="宋体" w:cs="Times New Roman"/>
                <w:color w:val="auto"/>
                <w:sz w:val="24"/>
                <w:szCs w:val="24"/>
              </w:rPr>
              <w:t>项目名称：</w:t>
            </w:r>
            <w:r>
              <w:rPr>
                <w:rFonts w:hint="eastAsia" w:cs="Times New Roman"/>
                <w:color w:val="auto"/>
                <w:sz w:val="24"/>
                <w:highlight w:val="none"/>
                <w:lang w:eastAsia="zh-CN"/>
              </w:rPr>
              <w:t>年产5万吨玉米压片、3万吨饲料、1万吨玉米杂粮建设项目</w:t>
            </w:r>
            <w:r>
              <w:rPr>
                <w:rFonts w:hint="eastAsia" w:cs="Times New Roman"/>
                <w:color w:val="auto"/>
                <w:sz w:val="24"/>
                <w:szCs w:val="24"/>
                <w:lang w:eastAsia="zh-CN"/>
              </w:rPr>
              <w:t>；</w:t>
            </w:r>
          </w:p>
          <w:p w14:paraId="1F2FC60C">
            <w:pPr>
              <w:pStyle w:val="114"/>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w:t>
            </w:r>
            <w:r>
              <w:rPr>
                <w:rFonts w:hint="eastAsia" w:cs="Times New Roman"/>
                <w:color w:val="auto"/>
                <w:kern w:val="0"/>
                <w:sz w:val="24"/>
                <w:szCs w:val="24"/>
                <w:highlight w:val="none"/>
                <w:lang w:val="en-US" w:eastAsia="zh-CN"/>
              </w:rPr>
              <w:t>胡杨河华优农业有限公司；</w:t>
            </w:r>
          </w:p>
          <w:p w14:paraId="4AD773F2">
            <w:pPr>
              <w:pStyle w:val="114"/>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项目性质：新建</w:t>
            </w:r>
            <w:r>
              <w:rPr>
                <w:rFonts w:hint="eastAsia" w:cs="Times New Roman"/>
                <w:color w:val="auto"/>
                <w:sz w:val="24"/>
                <w:szCs w:val="24"/>
                <w:lang w:eastAsia="zh-CN"/>
              </w:rPr>
              <w:t>；</w:t>
            </w:r>
          </w:p>
          <w:p w14:paraId="32DB08C9">
            <w:pPr>
              <w:pStyle w:val="114"/>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建设地点：</w:t>
            </w:r>
            <w:r>
              <w:rPr>
                <w:rFonts w:hint="eastAsia" w:ascii="Times New Roman" w:hAnsi="Times New Roman" w:eastAsia="宋体" w:cs="Times New Roman"/>
                <w:color w:val="auto"/>
                <w:sz w:val="24"/>
                <w:highlight w:val="none"/>
                <w:lang w:val="en-US" w:eastAsia="zh-CN"/>
              </w:rPr>
              <w:t>新疆生产建设兵团第七师131团1连漠河大道以东，217国道以西</w:t>
            </w:r>
            <w:r>
              <w:rPr>
                <w:rFonts w:hint="default" w:ascii="Times New Roman" w:hAnsi="Times New Roman" w:eastAsia="宋体" w:cs="Times New Roman"/>
                <w:color w:val="auto"/>
                <w:sz w:val="24"/>
                <w:szCs w:val="24"/>
              </w:rPr>
              <w:t>，中心地理坐标为E</w:t>
            </w:r>
            <w:r>
              <w:rPr>
                <w:rFonts w:hint="eastAsia" w:cs="Times New Roman"/>
                <w:color w:val="auto"/>
                <w:sz w:val="24"/>
                <w:szCs w:val="24"/>
                <w:lang w:val="en-US" w:eastAsia="zh-CN"/>
              </w:rPr>
              <w:t>84</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52</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08.977</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N44°</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9'</w:t>
            </w:r>
            <w:r>
              <w:rPr>
                <w:rFonts w:hint="eastAsia" w:cs="Times New Roman"/>
                <w:color w:val="auto"/>
                <w:sz w:val="24"/>
                <w:szCs w:val="24"/>
                <w:lang w:val="en-US" w:eastAsia="zh-CN"/>
              </w:rPr>
              <w:t>08.333</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w:t>
            </w:r>
            <w:r>
              <w:rPr>
                <w:rFonts w:hint="eastAsia" w:cs="Times New Roman"/>
                <w:color w:val="auto"/>
                <w:sz w:val="24"/>
                <w:szCs w:val="24"/>
                <w:lang w:val="en-US" w:eastAsia="zh-CN"/>
              </w:rPr>
              <w:t>南</w:t>
            </w:r>
            <w:r>
              <w:rPr>
                <w:rFonts w:hint="default" w:ascii="Times New Roman" w:hAnsi="Times New Roman" w:eastAsia="宋体" w:cs="Times New Roman"/>
                <w:color w:val="auto"/>
                <w:sz w:val="24"/>
                <w:szCs w:val="24"/>
              </w:rPr>
              <w:t>侧为</w:t>
            </w:r>
            <w:r>
              <w:rPr>
                <w:rFonts w:hint="eastAsia" w:cs="Times New Roman"/>
                <w:color w:val="auto"/>
                <w:sz w:val="24"/>
                <w:szCs w:val="24"/>
                <w:lang w:val="en-US" w:eastAsia="zh-CN"/>
              </w:rPr>
              <w:t>现有道路</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西侧为在建辣椒厂，北侧及东侧均为农田</w:t>
            </w:r>
            <w:r>
              <w:rPr>
                <w:rFonts w:hint="default" w:ascii="Times New Roman" w:hAnsi="Times New Roman" w:eastAsia="宋体" w:cs="Times New Roman"/>
                <w:color w:val="auto"/>
                <w:sz w:val="24"/>
                <w:szCs w:val="24"/>
              </w:rPr>
              <w:t>。</w:t>
            </w:r>
          </w:p>
          <w:p w14:paraId="09CA7BCE">
            <w:pPr>
              <w:pStyle w:val="114"/>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投资总额：</w:t>
            </w:r>
            <w:r>
              <w:rPr>
                <w:rFonts w:hint="eastAsia" w:cs="Times New Roman"/>
                <w:color w:val="auto"/>
                <w:sz w:val="24"/>
                <w:szCs w:val="24"/>
                <w:lang w:val="en-US" w:eastAsia="zh-CN"/>
              </w:rPr>
              <w:t>4000</w:t>
            </w:r>
            <w:r>
              <w:rPr>
                <w:rFonts w:hint="default" w:ascii="Times New Roman" w:hAnsi="Times New Roman" w:eastAsia="宋体" w:cs="Times New Roman"/>
                <w:color w:val="auto"/>
                <w:sz w:val="24"/>
                <w:szCs w:val="24"/>
              </w:rPr>
              <w:t>万元</w:t>
            </w:r>
            <w:r>
              <w:rPr>
                <w:rFonts w:hint="eastAsia" w:cs="Times New Roman"/>
                <w:color w:val="auto"/>
                <w:sz w:val="24"/>
                <w:szCs w:val="24"/>
                <w:lang w:eastAsia="zh-CN"/>
              </w:rPr>
              <w:t>（</w:t>
            </w:r>
            <w:r>
              <w:rPr>
                <w:rFonts w:hint="eastAsia" w:cs="Times New Roman"/>
                <w:color w:val="auto"/>
                <w:sz w:val="24"/>
                <w:szCs w:val="24"/>
                <w:lang w:val="en-US" w:eastAsia="zh-CN"/>
              </w:rPr>
              <w:t>本次仅为一期投资</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，资金来源为企业自筹；</w:t>
            </w:r>
          </w:p>
          <w:p w14:paraId="578570B4">
            <w:pPr>
              <w:pStyle w:val="114"/>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劳动定员及工作制度：本项目劳动定员</w:t>
            </w:r>
            <w:r>
              <w:rPr>
                <w:rFonts w:hint="eastAsia" w:cs="Times New Roman"/>
                <w:color w:val="auto"/>
                <w:sz w:val="24"/>
                <w:szCs w:val="24"/>
                <w:lang w:val="en-US" w:eastAsia="zh-CN"/>
              </w:rPr>
              <w:t>30</w:t>
            </w:r>
            <w:r>
              <w:rPr>
                <w:rFonts w:hint="default" w:ascii="Times New Roman" w:hAnsi="Times New Roman" w:eastAsia="宋体" w:cs="Times New Roman"/>
                <w:color w:val="auto"/>
                <w:sz w:val="24"/>
                <w:szCs w:val="24"/>
              </w:rPr>
              <w:t>人，玉米烘干生产线年运行</w:t>
            </w:r>
            <w:r>
              <w:rPr>
                <w:rFonts w:hint="eastAsia" w:cs="Times New Roman"/>
                <w:color w:val="auto"/>
                <w:sz w:val="24"/>
                <w:szCs w:val="24"/>
                <w:lang w:val="en-US" w:eastAsia="zh-CN"/>
              </w:rPr>
              <w:t>100</w:t>
            </w:r>
            <w:r>
              <w:rPr>
                <w:rFonts w:hint="default" w:ascii="Times New Roman" w:hAnsi="Times New Roman" w:eastAsia="宋体" w:cs="Times New Roman"/>
                <w:color w:val="auto"/>
                <w:sz w:val="24"/>
                <w:szCs w:val="24"/>
              </w:rPr>
              <w:t>d</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每天</w:t>
            </w:r>
            <w:r>
              <w:rPr>
                <w:rFonts w:hint="eastAsia" w:cs="Times New Roman"/>
                <w:color w:val="auto"/>
                <w:sz w:val="24"/>
                <w:szCs w:val="24"/>
                <w:lang w:val="en-US" w:eastAsia="zh-CN"/>
              </w:rPr>
              <w:t>12h</w:t>
            </w:r>
            <w:r>
              <w:rPr>
                <w:rFonts w:hint="default" w:ascii="Times New Roman" w:hAnsi="Times New Roman" w:eastAsia="宋体" w:cs="Times New Roman"/>
                <w:color w:val="auto"/>
                <w:sz w:val="24"/>
                <w:szCs w:val="24"/>
              </w:rPr>
              <w:t>。</w:t>
            </w:r>
          </w:p>
          <w:p w14:paraId="6602AF77">
            <w:pPr>
              <w:pStyle w:val="114"/>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建设内容：</w:t>
            </w:r>
            <w:r>
              <w:rPr>
                <w:rFonts w:hint="eastAsia" w:ascii="Times New Roman" w:hAnsi="Times New Roman" w:eastAsia="宋体"/>
                <w:color w:val="auto"/>
                <w:sz w:val="24"/>
                <w:szCs w:val="24"/>
                <w:vertAlign w:val="baseline"/>
                <w:lang w:val="en-US" w:eastAsia="zh-CN"/>
              </w:rPr>
              <w:t>新建1千吨烘干塔、1万吨储粮仓、3000m钢结构厂房。（注：一期工程配套</w:t>
            </w:r>
            <w:r>
              <w:rPr>
                <w:rFonts w:hint="eastAsia"/>
                <w:color w:val="auto"/>
                <w:sz w:val="24"/>
                <w:szCs w:val="24"/>
                <w:vertAlign w:val="baseline"/>
                <w:lang w:val="en-US" w:eastAsia="zh-CN"/>
              </w:rPr>
              <w:t>20t/h生物质热风炉</w:t>
            </w:r>
            <w:r>
              <w:rPr>
                <w:rFonts w:hint="eastAsia" w:ascii="Times New Roman" w:hAnsi="Times New Roman" w:eastAsia="宋体"/>
                <w:color w:val="auto"/>
                <w:sz w:val="24"/>
                <w:szCs w:val="24"/>
                <w:vertAlign w:val="baseline"/>
                <w:lang w:val="en-US" w:eastAsia="zh-CN"/>
              </w:rPr>
              <w:t>1台）</w:t>
            </w:r>
            <w:r>
              <w:rPr>
                <w:rFonts w:hint="default" w:ascii="Times New Roman" w:hAnsi="Times New Roman" w:eastAsia="宋体" w:cs="Times New Roman"/>
                <w:color w:val="auto"/>
                <w:sz w:val="24"/>
                <w:szCs w:val="24"/>
              </w:rPr>
              <w:t>。</w:t>
            </w:r>
          </w:p>
          <w:p w14:paraId="152C9752">
            <w:pPr>
              <w:pStyle w:val="114"/>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生产能力：</w:t>
            </w:r>
            <w:r>
              <w:rPr>
                <w:rFonts w:hint="eastAsia" w:cs="Times New Roman"/>
                <w:color w:val="auto"/>
                <w:sz w:val="24"/>
                <w:szCs w:val="24"/>
                <w:lang w:val="en-US" w:eastAsia="zh-CN"/>
              </w:rPr>
              <w:t>日产1000吨烘干玉米</w:t>
            </w:r>
            <w:r>
              <w:rPr>
                <w:rFonts w:hint="default" w:ascii="Times New Roman" w:hAnsi="Times New Roman" w:eastAsia="宋体" w:cs="Times New Roman"/>
                <w:color w:val="auto"/>
                <w:sz w:val="24"/>
                <w:szCs w:val="24"/>
              </w:rPr>
              <w:t>。</w:t>
            </w:r>
          </w:p>
          <w:p w14:paraId="4E6E1C3D">
            <w:pPr>
              <w:pStyle w:val="114"/>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ind w:left="0" w:right="0" w:firstLine="480"/>
              <w:textAlignment w:val="auto"/>
              <w:rPr>
                <w:rFonts w:hint="default" w:ascii="Times New Roman" w:hAnsi="Times New Roman" w:eastAsia="宋体" w:cs="Times New Roman"/>
                <w:color w:val="auto"/>
                <w:sz w:val="24"/>
                <w:szCs w:val="24"/>
                <w:highlight w:val="none"/>
              </w:rPr>
            </w:pPr>
            <w:r>
              <w:rPr>
                <w:rFonts w:hint="default" w:ascii="Times New Roman" w:hAnsi="Times New Roman"/>
                <w:color w:val="auto"/>
                <w:sz w:val="24"/>
                <w:szCs w:val="24"/>
                <w:highlight w:val="none"/>
              </w:rPr>
              <w:t>地理位置图见</w:t>
            </w:r>
            <w:r>
              <w:rPr>
                <w:rFonts w:hint="eastAsia" w:ascii="Times New Roman" w:hAnsi="Times New Roman"/>
                <w:b/>
                <w:bCs/>
                <w:color w:val="auto"/>
                <w:sz w:val="24"/>
                <w:szCs w:val="24"/>
                <w:highlight w:val="none"/>
                <w:lang w:val="en-US" w:eastAsia="zh-CN"/>
              </w:rPr>
              <w:t>附图</w:t>
            </w:r>
            <w:r>
              <w:rPr>
                <w:rFonts w:hint="eastAsia"/>
                <w:b/>
                <w:bCs/>
                <w:color w:val="auto"/>
                <w:sz w:val="24"/>
                <w:szCs w:val="24"/>
                <w:highlight w:val="none"/>
                <w:lang w:val="en-US" w:eastAsia="zh-CN"/>
              </w:rPr>
              <w:t>5</w:t>
            </w:r>
            <w:r>
              <w:rPr>
                <w:rFonts w:hint="default" w:ascii="Times New Roman" w:hAnsi="Times New Roman"/>
                <w:color w:val="auto"/>
                <w:sz w:val="24"/>
                <w:szCs w:val="24"/>
                <w:highlight w:val="none"/>
              </w:rPr>
              <w:t>，项目周边环境关系</w:t>
            </w:r>
            <w:r>
              <w:rPr>
                <w:rFonts w:hint="eastAsia" w:ascii="Times New Roman" w:hAnsi="Times New Roman"/>
                <w:color w:val="auto"/>
                <w:sz w:val="24"/>
                <w:szCs w:val="24"/>
                <w:highlight w:val="none"/>
                <w:lang w:val="en-US" w:eastAsia="zh-CN"/>
              </w:rPr>
              <w:t>图</w:t>
            </w:r>
            <w:r>
              <w:rPr>
                <w:rFonts w:hint="default" w:ascii="Times New Roman" w:hAnsi="Times New Roman"/>
                <w:color w:val="auto"/>
                <w:sz w:val="24"/>
                <w:szCs w:val="24"/>
                <w:highlight w:val="none"/>
              </w:rPr>
              <w:t>见</w:t>
            </w:r>
            <w:r>
              <w:rPr>
                <w:rFonts w:hint="eastAsia" w:ascii="Times New Roman" w:hAnsi="Times New Roman"/>
                <w:b/>
                <w:bCs/>
                <w:color w:val="auto"/>
                <w:sz w:val="24"/>
                <w:szCs w:val="24"/>
                <w:highlight w:val="none"/>
                <w:lang w:val="en-US" w:eastAsia="zh-CN"/>
              </w:rPr>
              <w:t>附图</w:t>
            </w:r>
            <w:r>
              <w:rPr>
                <w:rFonts w:hint="eastAsia"/>
                <w:b/>
                <w:bCs/>
                <w:color w:val="auto"/>
                <w:sz w:val="24"/>
                <w:szCs w:val="24"/>
                <w:highlight w:val="none"/>
                <w:lang w:val="en-US" w:eastAsia="zh-CN"/>
              </w:rPr>
              <w:t>6</w:t>
            </w:r>
            <w:r>
              <w:rPr>
                <w:rFonts w:hint="default"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项目</w:t>
            </w:r>
            <w:r>
              <w:rPr>
                <w:rFonts w:hint="eastAsia"/>
                <w:color w:val="auto"/>
                <w:sz w:val="24"/>
                <w:szCs w:val="24"/>
                <w:highlight w:val="none"/>
                <w:lang w:val="en-US" w:eastAsia="zh-CN"/>
              </w:rPr>
              <w:t>区现状</w:t>
            </w:r>
            <w:r>
              <w:rPr>
                <w:rFonts w:hint="default" w:ascii="Times New Roman" w:hAnsi="Times New Roman"/>
                <w:color w:val="auto"/>
                <w:sz w:val="24"/>
                <w:szCs w:val="24"/>
                <w:highlight w:val="none"/>
              </w:rPr>
              <w:t>情况见现场踏勘照片。</w:t>
            </w:r>
          </w:p>
          <w:p w14:paraId="03FC9930">
            <w:pPr>
              <w:pStyle w:val="114"/>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建设内容</w:t>
            </w:r>
          </w:p>
          <w:p w14:paraId="5FC4B2AF">
            <w:pPr>
              <w:pStyle w:val="114"/>
              <w:keepNext w:val="0"/>
              <w:keepLines w:val="0"/>
              <w:suppressLineNumbers w:val="0"/>
              <w:spacing w:before="0" w:beforeAutospacing="0" w:after="0" w:afterAutospacing="0"/>
              <w:ind w:left="0" w:right="0" w:firstLine="480"/>
              <w:rPr>
                <w:rFonts w:hint="default" w:ascii="Times New Roman" w:hAnsi="Times New Roman" w:eastAsia="宋体" w:cs="Times New Roman"/>
                <w:b/>
                <w:color w:val="auto"/>
              </w:rPr>
            </w:pPr>
            <w:r>
              <w:rPr>
                <w:rFonts w:hint="default" w:ascii="Times New Roman" w:hAnsi="Times New Roman" w:eastAsia="宋体" w:cs="Times New Roman"/>
                <w:color w:val="auto"/>
                <w:sz w:val="24"/>
                <w:szCs w:val="24"/>
              </w:rPr>
              <w:t>项目组成及建设内容一览表见表2-1。</w:t>
            </w:r>
          </w:p>
          <w:p w14:paraId="03AADD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rPr>
              <w:t xml:space="preserve">表2-1  </w:t>
            </w:r>
            <w:r>
              <w:rPr>
                <w:rFonts w:hint="default" w:ascii="Times New Roman" w:hAnsi="Times New Roman" w:eastAsia="宋体" w:cs="Times New Roman"/>
                <w:b/>
                <w:color w:val="auto"/>
                <w:szCs w:val="21"/>
              </w:rPr>
              <w:t>项目组成一览表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694"/>
              <w:gridCol w:w="6339"/>
              <w:gridCol w:w="464"/>
            </w:tblGrid>
            <w:tr w14:paraId="219C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noWrap w:val="0"/>
                  <w:vAlign w:val="center"/>
                </w:tcPr>
                <w:p w14:paraId="2A939547">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工程类别</w:t>
                  </w:r>
                </w:p>
              </w:tc>
              <w:tc>
                <w:tcPr>
                  <w:tcW w:w="694" w:type="dxa"/>
                  <w:noWrap w:val="0"/>
                  <w:vAlign w:val="center"/>
                </w:tcPr>
                <w:p w14:paraId="58855D36">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组成</w:t>
                  </w:r>
                </w:p>
              </w:tc>
              <w:tc>
                <w:tcPr>
                  <w:tcW w:w="6339" w:type="dxa"/>
                  <w:noWrap w:val="0"/>
                  <w:vAlign w:val="center"/>
                </w:tcPr>
                <w:p w14:paraId="1DE86AEB">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主要建设内容</w:t>
                  </w:r>
                </w:p>
              </w:tc>
              <w:tc>
                <w:tcPr>
                  <w:tcW w:w="464" w:type="dxa"/>
                  <w:noWrap w:val="0"/>
                  <w:vAlign w:val="center"/>
                </w:tcPr>
                <w:p w14:paraId="37BDF935">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备注</w:t>
                  </w:r>
                </w:p>
              </w:tc>
            </w:tr>
            <w:tr w14:paraId="6CA2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restart"/>
                  <w:noWrap w:val="0"/>
                  <w:vAlign w:val="center"/>
                </w:tcPr>
                <w:p w14:paraId="3D5D28C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主体工程</w:t>
                  </w:r>
                </w:p>
              </w:tc>
              <w:tc>
                <w:tcPr>
                  <w:tcW w:w="694" w:type="dxa"/>
                  <w:noWrap w:val="0"/>
                  <w:vAlign w:val="center"/>
                </w:tcPr>
                <w:p w14:paraId="5F7D3D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生产厂房</w:t>
                  </w:r>
                </w:p>
              </w:tc>
              <w:tc>
                <w:tcPr>
                  <w:tcW w:w="6339" w:type="dxa"/>
                  <w:noWrap w:val="0"/>
                  <w:vAlign w:val="center"/>
                </w:tcPr>
                <w:p w14:paraId="71CA75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占地</w:t>
                  </w:r>
                  <w:r>
                    <w:rPr>
                      <w:rFonts w:hint="default" w:ascii="Times New Roman" w:hAnsi="Times New Roman" w:eastAsia="宋体" w:cs="Times New Roman"/>
                      <w:color w:val="auto"/>
                      <w:sz w:val="21"/>
                      <w:szCs w:val="21"/>
                      <w:highlight w:val="none"/>
                      <w:lang w:val="en-US" w:eastAsia="zh-CN"/>
                    </w:rPr>
                    <w:t>面积</w:t>
                  </w:r>
                  <w:r>
                    <w:rPr>
                      <w:rFonts w:hint="eastAsia" w:cs="Times New Roman"/>
                      <w:color w:val="auto"/>
                      <w:sz w:val="21"/>
                      <w:szCs w:val="21"/>
                      <w:highlight w:val="none"/>
                      <w:lang w:val="en-US" w:eastAsia="zh-CN"/>
                    </w:rPr>
                    <w:t>3150.22</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丙类</w:t>
                  </w:r>
                  <w:r>
                    <w:rPr>
                      <w:rFonts w:hint="default" w:ascii="Times New Roman" w:hAnsi="Times New Roman" w:eastAsia="宋体" w:cs="Times New Roman"/>
                      <w:color w:val="auto"/>
                      <w:sz w:val="21"/>
                      <w:szCs w:val="21"/>
                      <w:highlight w:val="none"/>
                      <w:vertAlign w:val="baseline"/>
                      <w:lang w:val="en-US" w:eastAsia="zh-CN"/>
                    </w:rPr>
                    <w:t>厂房，钢结构</w:t>
                  </w:r>
                  <w:r>
                    <w:rPr>
                      <w:rFonts w:hint="eastAsia" w:cs="Times New Roman"/>
                      <w:color w:val="auto"/>
                      <w:sz w:val="21"/>
                      <w:szCs w:val="21"/>
                      <w:highlight w:val="none"/>
                      <w:vertAlign w:val="baseline"/>
                      <w:lang w:val="en-US" w:eastAsia="zh-CN"/>
                    </w:rPr>
                    <w:t>，高13.85m</w:t>
                  </w:r>
                  <w:r>
                    <w:rPr>
                      <w:rFonts w:hint="default" w:ascii="Times New Roman" w:hAnsi="Times New Roman" w:eastAsia="宋体"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内设日产1000吨烘干塔生产线</w:t>
                  </w:r>
                  <w:r>
                    <w:rPr>
                      <w:rFonts w:hint="eastAsia" w:cs="Times New Roman"/>
                      <w:color w:val="auto"/>
                      <w:kern w:val="0"/>
                      <w:sz w:val="21"/>
                      <w:szCs w:val="21"/>
                      <w:highlight w:val="none"/>
                      <w:lang w:val="en-US" w:eastAsia="zh-CN"/>
                    </w:rPr>
                    <w:t>。位于整个厂区西侧。</w:t>
                  </w:r>
                </w:p>
              </w:tc>
              <w:tc>
                <w:tcPr>
                  <w:tcW w:w="464" w:type="dxa"/>
                  <w:noWrap w:val="0"/>
                  <w:vAlign w:val="center"/>
                </w:tcPr>
                <w:p w14:paraId="10BE43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新建</w:t>
                  </w:r>
                </w:p>
              </w:tc>
            </w:tr>
            <w:tr w14:paraId="4E13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7796755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p>
              </w:tc>
              <w:tc>
                <w:tcPr>
                  <w:tcW w:w="694" w:type="dxa"/>
                  <w:noWrap w:val="0"/>
                  <w:vAlign w:val="center"/>
                </w:tcPr>
                <w:p w14:paraId="763C34CB">
                  <w:pPr>
                    <w:keepNext w:val="0"/>
                    <w:keepLines w:val="0"/>
                    <w:suppressLineNumbers w:val="0"/>
                    <w:spacing w:before="0" w:beforeAutospacing="0" w:after="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设备区</w:t>
                  </w:r>
                </w:p>
              </w:tc>
              <w:tc>
                <w:tcPr>
                  <w:tcW w:w="6339" w:type="dxa"/>
                  <w:noWrap w:val="0"/>
                  <w:vAlign w:val="center"/>
                </w:tcPr>
                <w:p w14:paraId="0FF232F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设备区占地2498m</w:t>
                  </w:r>
                  <w:r>
                    <w:rPr>
                      <w:rFonts w:hint="eastAsia" w:cs="Times New Roman"/>
                      <w:color w:val="auto"/>
                      <w:sz w:val="21"/>
                      <w:szCs w:val="21"/>
                      <w:vertAlign w:val="superscript"/>
                      <w:lang w:val="en-US" w:eastAsia="zh-CN"/>
                    </w:rPr>
                    <w:t>2</w:t>
                  </w:r>
                  <w:r>
                    <w:rPr>
                      <w:rFonts w:hint="eastAsia" w:cs="Times New Roman"/>
                      <w:color w:val="auto"/>
                      <w:sz w:val="21"/>
                      <w:szCs w:val="21"/>
                      <w:vertAlign w:val="baseline"/>
                      <w:lang w:val="en-US" w:eastAsia="zh-CN"/>
                    </w:rPr>
                    <w:t>，内设锅炉房，本项目（一期）安置1台20t/h生物质热风炉，</w:t>
                  </w:r>
                  <w:r>
                    <w:rPr>
                      <w:rFonts w:hint="eastAsia" w:cs="Times New Roman"/>
                      <w:color w:val="auto"/>
                      <w:sz w:val="21"/>
                      <w:szCs w:val="21"/>
                      <w:lang w:val="en-US" w:eastAsia="zh-CN"/>
                    </w:rPr>
                    <w:t>位于整个厂区西北角。</w:t>
                  </w:r>
                </w:p>
              </w:tc>
              <w:tc>
                <w:tcPr>
                  <w:tcW w:w="464" w:type="dxa"/>
                  <w:noWrap w:val="0"/>
                  <w:vAlign w:val="center"/>
                </w:tcPr>
                <w:p w14:paraId="082BC20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新建</w:t>
                  </w:r>
                </w:p>
              </w:tc>
            </w:tr>
            <w:tr w14:paraId="4C43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restart"/>
                  <w:noWrap w:val="0"/>
                  <w:vAlign w:val="center"/>
                </w:tcPr>
                <w:p w14:paraId="236023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辅助</w:t>
                  </w:r>
                </w:p>
                <w:p w14:paraId="290177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工程</w:t>
                  </w:r>
                </w:p>
              </w:tc>
              <w:tc>
                <w:tcPr>
                  <w:tcW w:w="694" w:type="dxa"/>
                  <w:noWrap w:val="0"/>
                  <w:vAlign w:val="center"/>
                </w:tcPr>
                <w:p w14:paraId="4C3EACD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办公服务用房</w:t>
                  </w:r>
                </w:p>
              </w:tc>
              <w:tc>
                <w:tcPr>
                  <w:tcW w:w="6339" w:type="dxa"/>
                  <w:noWrap w:val="0"/>
                  <w:vAlign w:val="center"/>
                </w:tcPr>
                <w:p w14:paraId="62899B2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占地</w:t>
                  </w:r>
                  <w:r>
                    <w:rPr>
                      <w:rFonts w:hint="default" w:ascii="Times New Roman" w:hAnsi="Times New Roman" w:eastAsia="宋体" w:cs="Times New Roman"/>
                      <w:color w:val="auto"/>
                      <w:sz w:val="21"/>
                      <w:szCs w:val="21"/>
                      <w:highlight w:val="none"/>
                      <w:lang w:val="en-US" w:eastAsia="zh-CN"/>
                    </w:rPr>
                    <w:t>面积</w:t>
                  </w:r>
                  <w:r>
                    <w:rPr>
                      <w:rFonts w:hint="eastAsia" w:cs="Times New Roman"/>
                      <w:color w:val="auto"/>
                      <w:sz w:val="21"/>
                      <w:szCs w:val="21"/>
                      <w:highlight w:val="none"/>
                      <w:lang w:val="en-US" w:eastAsia="zh-CN"/>
                    </w:rPr>
                    <w:t>1323.3</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eastAsia" w:cs="Times New Roman"/>
                      <w:color w:val="auto"/>
                      <w:sz w:val="21"/>
                      <w:szCs w:val="21"/>
                      <w:highlight w:val="none"/>
                      <w:vertAlign w:val="baseline"/>
                      <w:lang w:val="en-US" w:eastAsia="zh-CN"/>
                    </w:rPr>
                    <w:t>（长80.2m，宽16.5m）</w:t>
                  </w:r>
                  <w:r>
                    <w:rPr>
                      <w:rFonts w:hint="default" w:ascii="Times New Roman" w:hAnsi="Times New Roman" w:eastAsia="宋体"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一层结构，位于整个厂区南侧。</w:t>
                  </w:r>
                </w:p>
              </w:tc>
              <w:tc>
                <w:tcPr>
                  <w:tcW w:w="464" w:type="dxa"/>
                  <w:noWrap w:val="0"/>
                  <w:vAlign w:val="center"/>
                </w:tcPr>
                <w:p w14:paraId="78184A7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新建</w:t>
                  </w:r>
                </w:p>
              </w:tc>
            </w:tr>
            <w:tr w14:paraId="3A51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4871DFE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540DA0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检验室</w:t>
                  </w:r>
                </w:p>
              </w:tc>
              <w:tc>
                <w:tcPr>
                  <w:tcW w:w="6339" w:type="dxa"/>
                  <w:noWrap w:val="0"/>
                  <w:vAlign w:val="center"/>
                </w:tcPr>
                <w:p w14:paraId="1F38AE5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占地</w:t>
                  </w:r>
                  <w:r>
                    <w:rPr>
                      <w:rFonts w:hint="default" w:ascii="Times New Roman" w:hAnsi="Times New Roman" w:eastAsia="宋体" w:cs="Times New Roman"/>
                      <w:color w:val="auto"/>
                      <w:sz w:val="21"/>
                      <w:szCs w:val="21"/>
                      <w:highlight w:val="none"/>
                      <w:lang w:val="en-US" w:eastAsia="zh-CN"/>
                    </w:rPr>
                    <w:t>面积</w:t>
                  </w:r>
                  <w:r>
                    <w:rPr>
                      <w:rFonts w:hint="eastAsia" w:cs="Times New Roman"/>
                      <w:color w:val="auto"/>
                      <w:sz w:val="21"/>
                      <w:szCs w:val="21"/>
                      <w:highlight w:val="none"/>
                      <w:lang w:val="en-US" w:eastAsia="zh-CN"/>
                    </w:rPr>
                    <w:t>121.4</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一层结构，高度为4.8m，位于整个厂区南侧，办公服务用房西侧。</w:t>
                  </w:r>
                </w:p>
              </w:tc>
              <w:tc>
                <w:tcPr>
                  <w:tcW w:w="464" w:type="dxa"/>
                  <w:noWrap w:val="0"/>
                  <w:vAlign w:val="center"/>
                </w:tcPr>
                <w:p w14:paraId="69C0A1F2">
                  <w:pPr>
                    <w:keepNext w:val="0"/>
                    <w:keepLines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sz w:val="21"/>
                      <w:szCs w:val="21"/>
                      <w:lang w:val="en-US" w:eastAsia="zh-CN"/>
                    </w:rPr>
                    <w:t>新建</w:t>
                  </w:r>
                </w:p>
              </w:tc>
            </w:tr>
            <w:tr w14:paraId="2847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771F044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09C76B1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门卫室</w:t>
                  </w:r>
                </w:p>
              </w:tc>
              <w:tc>
                <w:tcPr>
                  <w:tcW w:w="6339" w:type="dxa"/>
                  <w:noWrap w:val="0"/>
                  <w:vAlign w:val="center"/>
                </w:tcPr>
                <w:p w14:paraId="1D0B379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占地</w:t>
                  </w:r>
                  <w:r>
                    <w:rPr>
                      <w:rFonts w:hint="default" w:ascii="Times New Roman" w:hAnsi="Times New Roman" w:eastAsia="宋体" w:cs="Times New Roman"/>
                      <w:color w:val="auto"/>
                      <w:sz w:val="21"/>
                      <w:szCs w:val="21"/>
                      <w:highlight w:val="none"/>
                      <w:lang w:val="en-US" w:eastAsia="zh-CN"/>
                    </w:rPr>
                    <w:t>面积</w:t>
                  </w:r>
                  <w:r>
                    <w:rPr>
                      <w:rFonts w:hint="eastAsia" w:cs="Times New Roman"/>
                      <w:color w:val="auto"/>
                      <w:sz w:val="21"/>
                      <w:szCs w:val="21"/>
                      <w:highlight w:val="none"/>
                      <w:lang w:val="en-US" w:eastAsia="zh-CN"/>
                    </w:rPr>
                    <w:t>22.75</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一层结构，高度为4.8m，</w:t>
                  </w:r>
                  <w:r>
                    <w:rPr>
                      <w:rFonts w:hint="eastAsia" w:cs="Times New Roman"/>
                      <w:color w:val="auto"/>
                      <w:kern w:val="2"/>
                      <w:sz w:val="21"/>
                      <w:szCs w:val="21"/>
                      <w:highlight w:val="none"/>
                      <w:lang w:val="en-US" w:eastAsia="zh-CN" w:bidi="ar-SA"/>
                    </w:rPr>
                    <w:t>位于整个厂区南侧主入口东侧</w:t>
                  </w:r>
                </w:p>
              </w:tc>
              <w:tc>
                <w:tcPr>
                  <w:tcW w:w="464" w:type="dxa"/>
                  <w:noWrap w:val="0"/>
                  <w:vAlign w:val="center"/>
                </w:tcPr>
                <w:p w14:paraId="4915CD28">
                  <w:pPr>
                    <w:keepNext w:val="0"/>
                    <w:keepLines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SA"/>
                    </w:rPr>
                  </w:pPr>
                  <w:r>
                    <w:rPr>
                      <w:rFonts w:hint="eastAsia" w:cs="Times New Roman"/>
                      <w:color w:val="auto"/>
                      <w:sz w:val="21"/>
                      <w:szCs w:val="21"/>
                      <w:lang w:val="en-US" w:eastAsia="zh-CN"/>
                    </w:rPr>
                    <w:t>新建</w:t>
                  </w:r>
                </w:p>
              </w:tc>
            </w:tr>
            <w:tr w14:paraId="6249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Merge w:val="continue"/>
                  <w:noWrap w:val="0"/>
                  <w:vAlign w:val="center"/>
                </w:tcPr>
                <w:p w14:paraId="6FD860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641398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粮仓4#</w:t>
                  </w:r>
                </w:p>
              </w:tc>
              <w:tc>
                <w:tcPr>
                  <w:tcW w:w="6339" w:type="dxa"/>
                  <w:noWrap w:val="0"/>
                  <w:vAlign w:val="center"/>
                </w:tcPr>
                <w:p w14:paraId="7C627AB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新建</w:t>
                  </w:r>
                  <w:r>
                    <w:rPr>
                      <w:rFonts w:hint="eastAsia" w:cs="Times New Roman"/>
                      <w:color w:val="auto"/>
                      <w:kern w:val="2"/>
                      <w:sz w:val="21"/>
                      <w:szCs w:val="21"/>
                      <w:highlight w:val="none"/>
                      <w:lang w:val="en-US" w:eastAsia="zh-CN" w:bidi="ar-SA"/>
                    </w:rPr>
                    <w:t>圆形粮仓3座，其中1座粮仓半径为15.5m，高度为15m，装载量为10000吨，另外2座装载量为2000吨，由粮仓提升机与烘干塔相连。</w:t>
                  </w:r>
                </w:p>
              </w:tc>
              <w:tc>
                <w:tcPr>
                  <w:tcW w:w="464" w:type="dxa"/>
                  <w:noWrap w:val="0"/>
                  <w:vAlign w:val="center"/>
                </w:tcPr>
                <w:p w14:paraId="23F05931">
                  <w:pPr>
                    <w:keepNext w:val="0"/>
                    <w:keepLines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sz w:val="21"/>
                      <w:szCs w:val="21"/>
                      <w:lang w:val="en-US" w:eastAsia="zh-CN"/>
                    </w:rPr>
                    <w:t>新建</w:t>
                  </w:r>
                </w:p>
              </w:tc>
            </w:tr>
            <w:tr w14:paraId="7427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Merge w:val="continue"/>
                  <w:noWrap w:val="0"/>
                  <w:vAlign w:val="center"/>
                </w:tcPr>
                <w:p w14:paraId="604A38E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332D7E5A">
                  <w:pPr>
                    <w:keepNext w:val="0"/>
                    <w:keepLines w:val="0"/>
                    <w:suppressLineNumbers w:val="0"/>
                    <w:spacing w:before="0" w:beforeAutospacing="0" w:after="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消防水池</w:t>
                  </w:r>
                </w:p>
              </w:tc>
              <w:tc>
                <w:tcPr>
                  <w:tcW w:w="6339" w:type="dxa"/>
                  <w:noWrap w:val="0"/>
                  <w:vAlign w:val="center"/>
                </w:tcPr>
                <w:p w14:paraId="3A60D42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占地面积60m</w:t>
                  </w:r>
                  <w:r>
                    <w:rPr>
                      <w:rFonts w:hint="eastAsia" w:cs="Times New Roman"/>
                      <w:color w:val="auto"/>
                      <w:kern w:val="2"/>
                      <w:sz w:val="21"/>
                      <w:szCs w:val="21"/>
                      <w:highlight w:val="none"/>
                      <w:vertAlign w:val="superscript"/>
                      <w:lang w:val="en-US" w:eastAsia="zh-CN" w:bidi="ar-SA"/>
                    </w:rPr>
                    <w:t>2</w:t>
                  </w:r>
                  <w:r>
                    <w:rPr>
                      <w:rFonts w:hint="eastAsia" w:cs="Times New Roman"/>
                      <w:color w:val="auto"/>
                      <w:kern w:val="2"/>
                      <w:sz w:val="21"/>
                      <w:szCs w:val="21"/>
                      <w:highlight w:val="none"/>
                      <w:lang w:val="en-US" w:eastAsia="zh-CN" w:bidi="ar-SA"/>
                    </w:rPr>
                    <w:t>，地下深度5m，容积300m</w:t>
                  </w:r>
                  <w:r>
                    <w:rPr>
                      <w:rFonts w:hint="eastAsia" w:cs="Times New Roman"/>
                      <w:color w:val="auto"/>
                      <w:kern w:val="2"/>
                      <w:sz w:val="21"/>
                      <w:szCs w:val="21"/>
                      <w:highlight w:val="none"/>
                      <w:vertAlign w:val="superscript"/>
                      <w:lang w:val="en-US" w:eastAsia="zh-CN" w:bidi="ar-SA"/>
                    </w:rPr>
                    <w:t>3</w:t>
                  </w:r>
                  <w:r>
                    <w:rPr>
                      <w:rFonts w:hint="eastAsia" w:cs="Times New Roman"/>
                      <w:color w:val="auto"/>
                      <w:kern w:val="2"/>
                      <w:sz w:val="21"/>
                      <w:szCs w:val="21"/>
                      <w:highlight w:val="none"/>
                      <w:lang w:val="en-US" w:eastAsia="zh-CN" w:bidi="ar-SA"/>
                    </w:rPr>
                    <w:t>。位于整个厂区西南角。</w:t>
                  </w:r>
                </w:p>
              </w:tc>
              <w:tc>
                <w:tcPr>
                  <w:tcW w:w="464" w:type="dxa"/>
                  <w:noWrap w:val="0"/>
                  <w:vAlign w:val="center"/>
                </w:tcPr>
                <w:p w14:paraId="6A525C6F">
                  <w:pPr>
                    <w:keepNext w:val="0"/>
                    <w:keepLines w:val="0"/>
                    <w:suppressLineNumbers w:val="0"/>
                    <w:spacing w:before="0" w:beforeAutospacing="0" w:after="0" w:afterAutospacing="0"/>
                    <w:ind w:left="0" w:leftChars="0" w:right="0" w:rightChars="0"/>
                    <w:jc w:val="center"/>
                    <w:rPr>
                      <w:rFonts w:hint="eastAsia" w:cs="Times New Roman"/>
                      <w:color w:val="auto"/>
                      <w:sz w:val="21"/>
                      <w:szCs w:val="21"/>
                      <w:lang w:val="en-US" w:eastAsia="zh-CN"/>
                    </w:rPr>
                  </w:pPr>
                  <w:r>
                    <w:rPr>
                      <w:rFonts w:hint="eastAsia" w:cs="Times New Roman"/>
                      <w:color w:val="auto"/>
                      <w:sz w:val="21"/>
                      <w:szCs w:val="21"/>
                      <w:lang w:val="en-US" w:eastAsia="zh-CN"/>
                    </w:rPr>
                    <w:t>新建</w:t>
                  </w:r>
                </w:p>
              </w:tc>
            </w:tr>
            <w:tr w14:paraId="426E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restart"/>
                  <w:noWrap w:val="0"/>
                  <w:vAlign w:val="center"/>
                </w:tcPr>
                <w:p w14:paraId="139EAE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公用</w:t>
                  </w:r>
                </w:p>
                <w:p w14:paraId="2531EA1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工程</w:t>
                  </w:r>
                </w:p>
              </w:tc>
              <w:tc>
                <w:tcPr>
                  <w:tcW w:w="694" w:type="dxa"/>
                  <w:noWrap w:val="0"/>
                  <w:vAlign w:val="center"/>
                </w:tcPr>
                <w:p w14:paraId="12F211A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给水</w:t>
                  </w:r>
                </w:p>
              </w:tc>
              <w:tc>
                <w:tcPr>
                  <w:tcW w:w="6339" w:type="dxa"/>
                  <w:noWrap w:val="0"/>
                  <w:vAlign w:val="center"/>
                </w:tcPr>
                <w:p w14:paraId="719CA1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施工期由西侧在建辣椒厂地下水井提供，运营期接入市政供水管网。</w:t>
                  </w:r>
                </w:p>
              </w:tc>
              <w:tc>
                <w:tcPr>
                  <w:tcW w:w="464" w:type="dxa"/>
                  <w:noWrap w:val="0"/>
                  <w:vAlign w:val="center"/>
                </w:tcPr>
                <w:p w14:paraId="5F18345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新建</w:t>
                  </w:r>
                </w:p>
              </w:tc>
            </w:tr>
            <w:tr w14:paraId="0964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4F7FC3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0D9913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排水</w:t>
                  </w:r>
                </w:p>
              </w:tc>
              <w:tc>
                <w:tcPr>
                  <w:tcW w:w="6339" w:type="dxa"/>
                  <w:noWrap w:val="0"/>
                  <w:vAlign w:val="center"/>
                </w:tcPr>
                <w:p w14:paraId="64858ED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kern w:val="2"/>
                      <w:sz w:val="21"/>
                      <w:szCs w:val="21"/>
                      <w:lang w:val="en-US" w:eastAsia="zh-CN" w:bidi="ar-SA"/>
                    </w:rPr>
                    <w:t>新建化粪池容积为50m</w:t>
                  </w:r>
                  <w:r>
                    <w:rPr>
                      <w:rFonts w:hint="eastAsia"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位于办公服务用房东侧，整个项目区东南角。</w:t>
                  </w:r>
                </w:p>
              </w:tc>
              <w:tc>
                <w:tcPr>
                  <w:tcW w:w="464" w:type="dxa"/>
                  <w:noWrap w:val="0"/>
                  <w:vAlign w:val="center"/>
                </w:tcPr>
                <w:p w14:paraId="08AFE4E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新建</w:t>
                  </w:r>
                </w:p>
              </w:tc>
            </w:tr>
            <w:tr w14:paraId="05AC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4AB1A4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330BBB6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供电</w:t>
                  </w:r>
                </w:p>
              </w:tc>
              <w:tc>
                <w:tcPr>
                  <w:tcW w:w="6339" w:type="dxa"/>
                  <w:noWrap w:val="0"/>
                  <w:vAlign w:val="center"/>
                </w:tcPr>
                <w:p w14:paraId="44C8AD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用电由项目区南侧10kV电力线路接入。</w:t>
                  </w:r>
                </w:p>
              </w:tc>
              <w:tc>
                <w:tcPr>
                  <w:tcW w:w="464" w:type="dxa"/>
                  <w:noWrap w:val="0"/>
                  <w:vAlign w:val="center"/>
                </w:tcPr>
                <w:p w14:paraId="1EAE159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新建</w:t>
                  </w:r>
                </w:p>
              </w:tc>
            </w:tr>
            <w:tr w14:paraId="2130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20AE39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62BBABE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供热</w:t>
                  </w:r>
                </w:p>
              </w:tc>
              <w:tc>
                <w:tcPr>
                  <w:tcW w:w="6339" w:type="dxa"/>
                  <w:noWrap w:val="0"/>
                  <w:vAlign w:val="center"/>
                </w:tcPr>
                <w:p w14:paraId="421369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lang w:val="en-US" w:eastAsia="zh-CN"/>
                    </w:rPr>
                    <w:t>生产供热由本项目新建1台20t/h生物质热风炉提供。</w:t>
                  </w:r>
                </w:p>
              </w:tc>
              <w:tc>
                <w:tcPr>
                  <w:tcW w:w="464" w:type="dxa"/>
                  <w:noWrap w:val="0"/>
                  <w:vAlign w:val="center"/>
                </w:tcPr>
                <w:p w14:paraId="770DDE9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新建</w:t>
                  </w:r>
                </w:p>
              </w:tc>
            </w:tr>
            <w:tr w14:paraId="398A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08F483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106BA5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供暖</w:t>
                  </w:r>
                </w:p>
              </w:tc>
              <w:tc>
                <w:tcPr>
                  <w:tcW w:w="6339" w:type="dxa"/>
                  <w:noWrap w:val="0"/>
                  <w:vAlign w:val="center"/>
                </w:tcPr>
                <w:p w14:paraId="14E3DE47">
                  <w:pPr>
                    <w:keepNext w:val="0"/>
                    <w:keepLines w:val="0"/>
                    <w:suppressLineNumbers w:val="0"/>
                    <w:spacing w:before="0" w:beforeAutospacing="0" w:after="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本项目冬季不生产。</w:t>
                  </w:r>
                </w:p>
              </w:tc>
              <w:tc>
                <w:tcPr>
                  <w:tcW w:w="464" w:type="dxa"/>
                  <w:noWrap w:val="0"/>
                  <w:vAlign w:val="center"/>
                </w:tcPr>
                <w:p w14:paraId="21D854C6">
                  <w:pPr>
                    <w:keepNext w:val="0"/>
                    <w:keepLines w:val="0"/>
                    <w:suppressLineNumbers w:val="0"/>
                    <w:spacing w:before="0" w:beforeAutospacing="0" w:after="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r>
            <w:tr w14:paraId="2462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restart"/>
                  <w:noWrap w:val="0"/>
                  <w:vAlign w:val="center"/>
                </w:tcPr>
                <w:p w14:paraId="225134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w:t>
                  </w:r>
                </w:p>
                <w:p w14:paraId="7DE81ED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工程</w:t>
                  </w:r>
                </w:p>
              </w:tc>
              <w:tc>
                <w:tcPr>
                  <w:tcW w:w="694" w:type="dxa"/>
                  <w:noWrap w:val="0"/>
                  <w:vAlign w:val="center"/>
                </w:tcPr>
                <w:p w14:paraId="65CA7E6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w:t>
                  </w:r>
                </w:p>
              </w:tc>
              <w:tc>
                <w:tcPr>
                  <w:tcW w:w="6339" w:type="dxa"/>
                  <w:noWrap w:val="0"/>
                  <w:vAlign w:val="center"/>
                </w:tcPr>
                <w:p w14:paraId="1F7155A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highlight w:val="none"/>
                      <w:lang w:val="en-US" w:eastAsia="zh-CN" w:bidi="ar-SA"/>
                    </w:rPr>
                    <w:t>生物质热风炉配套SNCR+旋风除尘+布袋除尘器，处理后经1根不低于17m排气筒达标排放；筛分过程在封闭车间进行同时设置布袋除尘器，烘干工序设抑尘罩抑尘，输送带及出料口封闭；生物质颗粒、燃烧灰渣、布袋除尘器收集尘分别由编织袋包装，减少无组织废气排放。</w:t>
                  </w:r>
                </w:p>
              </w:tc>
              <w:tc>
                <w:tcPr>
                  <w:tcW w:w="464" w:type="dxa"/>
                  <w:noWrap w:val="0"/>
                  <w:vAlign w:val="center"/>
                </w:tcPr>
                <w:p w14:paraId="387540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新建</w:t>
                  </w:r>
                </w:p>
              </w:tc>
            </w:tr>
            <w:tr w14:paraId="6B6B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35BECE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19DFA3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w:t>
                  </w:r>
                </w:p>
              </w:tc>
              <w:tc>
                <w:tcPr>
                  <w:tcW w:w="6339" w:type="dxa"/>
                  <w:noWrap w:val="0"/>
                  <w:vAlign w:val="center"/>
                </w:tcPr>
                <w:p w14:paraId="42F619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生活污水</w:t>
                  </w:r>
                  <w:r>
                    <w:rPr>
                      <w:rFonts w:hint="eastAsia" w:ascii="Times New Roman" w:hAnsi="Times New Roman" w:eastAsia="宋体" w:cs="Times New Roman"/>
                      <w:color w:val="auto"/>
                      <w:sz w:val="21"/>
                      <w:szCs w:val="21"/>
                      <w:lang w:val="en-US" w:eastAsia="zh-CN"/>
                    </w:rPr>
                    <w:t>排入</w:t>
                  </w:r>
                  <w:r>
                    <w:rPr>
                      <w:rFonts w:hint="eastAsia" w:cs="Times New Roman"/>
                      <w:color w:val="auto"/>
                      <w:sz w:val="21"/>
                      <w:szCs w:val="21"/>
                      <w:lang w:val="en-US" w:eastAsia="zh-CN"/>
                    </w:rPr>
                    <w:t>化粪池</w:t>
                  </w:r>
                  <w:r>
                    <w:rPr>
                      <w:rFonts w:hint="eastAsia" w:ascii="Times New Roman" w:hAnsi="Times New Roman" w:eastAsia="宋体" w:cs="Times New Roman"/>
                      <w:color w:val="auto"/>
                      <w:sz w:val="21"/>
                      <w:szCs w:val="21"/>
                      <w:lang w:val="en-US" w:eastAsia="zh-CN"/>
                    </w:rPr>
                    <w:t>，</w:t>
                  </w:r>
                  <w:r>
                    <w:rPr>
                      <w:rFonts w:hint="eastAsia" w:cs="Times New Roman"/>
                      <w:color w:val="auto"/>
                      <w:sz w:val="21"/>
                      <w:szCs w:val="21"/>
                      <w:lang w:val="en-US" w:eastAsia="zh-CN"/>
                    </w:rPr>
                    <w:t>吸污清运</w:t>
                  </w:r>
                  <w:r>
                    <w:rPr>
                      <w:rFonts w:hint="eastAsia" w:ascii="Times New Roman" w:hAnsi="Times New Roman" w:eastAsia="宋体" w:cs="Times New Roman"/>
                      <w:color w:val="auto"/>
                      <w:sz w:val="21"/>
                      <w:szCs w:val="21"/>
                      <w:lang w:val="en-US" w:eastAsia="zh-CN"/>
                    </w:rPr>
                    <w:t>至</w:t>
                  </w:r>
                  <w:r>
                    <w:rPr>
                      <w:rFonts w:hint="eastAsia" w:cs="Times New Roman"/>
                      <w:color w:val="auto"/>
                      <w:sz w:val="21"/>
                      <w:szCs w:val="21"/>
                      <w:lang w:val="en-US" w:eastAsia="zh-CN"/>
                    </w:rPr>
                    <w:t>天北经济技术开发区污水处理厂</w:t>
                  </w:r>
                  <w:r>
                    <w:rPr>
                      <w:rFonts w:hint="eastAsia" w:ascii="Times New Roman" w:hAnsi="Times New Roman" w:eastAsia="宋体" w:cs="Times New Roman"/>
                      <w:color w:val="auto"/>
                      <w:sz w:val="21"/>
                      <w:szCs w:val="21"/>
                      <w:lang w:val="en-US" w:eastAsia="zh-CN"/>
                    </w:rPr>
                    <w:t>处理</w:t>
                  </w:r>
                  <w:r>
                    <w:rPr>
                      <w:rFonts w:hint="eastAsia" w:cs="Times New Roman"/>
                      <w:color w:val="auto"/>
                      <w:kern w:val="2"/>
                      <w:sz w:val="21"/>
                      <w:szCs w:val="21"/>
                      <w:highlight w:val="none"/>
                      <w:lang w:val="en-US" w:eastAsia="zh-CN" w:bidi="ar-SA"/>
                    </w:rPr>
                    <w:t>。</w:t>
                  </w:r>
                </w:p>
              </w:tc>
              <w:tc>
                <w:tcPr>
                  <w:tcW w:w="464" w:type="dxa"/>
                  <w:noWrap w:val="0"/>
                  <w:vAlign w:val="center"/>
                </w:tcPr>
                <w:p w14:paraId="097122F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新建</w:t>
                  </w:r>
                </w:p>
              </w:tc>
            </w:tr>
            <w:tr w14:paraId="6A34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64F192D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4EC4F1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6339" w:type="dxa"/>
                  <w:noWrap w:val="0"/>
                  <w:vAlign w:val="center"/>
                </w:tcPr>
                <w:p w14:paraId="79E797B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锅炉房采取隔声减振措施，加强设备维护保养</w:t>
                  </w:r>
                </w:p>
              </w:tc>
              <w:tc>
                <w:tcPr>
                  <w:tcW w:w="464" w:type="dxa"/>
                  <w:noWrap w:val="0"/>
                  <w:vAlign w:val="center"/>
                </w:tcPr>
                <w:p w14:paraId="318AA1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新建</w:t>
                  </w:r>
                </w:p>
              </w:tc>
            </w:tr>
            <w:tr w14:paraId="6BB7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5" w:type="dxa"/>
                  <w:vMerge w:val="continue"/>
                  <w:noWrap w:val="0"/>
                  <w:vAlign w:val="center"/>
                </w:tcPr>
                <w:p w14:paraId="60A9BD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p>
              </w:tc>
              <w:tc>
                <w:tcPr>
                  <w:tcW w:w="694" w:type="dxa"/>
                  <w:noWrap w:val="0"/>
                  <w:vAlign w:val="center"/>
                </w:tcPr>
                <w:p w14:paraId="0CBCAF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固废</w:t>
                  </w:r>
                </w:p>
              </w:tc>
              <w:tc>
                <w:tcPr>
                  <w:tcW w:w="6339" w:type="dxa"/>
                  <w:noWrap w:val="0"/>
                  <w:vAlign w:val="center"/>
                </w:tcPr>
                <w:p w14:paraId="5B96F14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color w:val="auto"/>
                      <w:lang w:val="en-US" w:eastAsia="zh-CN"/>
                    </w:rPr>
                    <w:t>生活垃圾集中收集，交由环卫部门处理；</w:t>
                  </w:r>
                  <w:r>
                    <w:rPr>
                      <w:rFonts w:hint="eastAsia" w:cs="宋体"/>
                      <w:color w:val="auto"/>
                      <w:kern w:val="0"/>
                      <w:sz w:val="21"/>
                      <w:szCs w:val="21"/>
                      <w:highlight w:val="none"/>
                      <w:lang w:val="en-US" w:eastAsia="zh-CN" w:bidi="ar"/>
                    </w:rPr>
                    <w:t>除尘器废布袋更换后</w:t>
                  </w:r>
                  <w:r>
                    <w:rPr>
                      <w:rFonts w:hint="eastAsia" w:ascii="Times New Roman" w:hAnsi="Times New Roman" w:eastAsia="宋体" w:cs="宋体"/>
                      <w:color w:val="auto"/>
                      <w:kern w:val="0"/>
                      <w:sz w:val="21"/>
                      <w:szCs w:val="21"/>
                      <w:highlight w:val="none"/>
                      <w:lang w:val="en-US" w:eastAsia="zh-CN" w:bidi="ar"/>
                    </w:rPr>
                    <w:t>立即外售处置，不在项目区内储存；锅炉灰渣及除尘器集尘灰统一收集</w:t>
                  </w:r>
                  <w:r>
                    <w:rPr>
                      <w:rFonts w:hint="eastAsia" w:cs="宋体"/>
                      <w:color w:val="auto"/>
                      <w:kern w:val="0"/>
                      <w:sz w:val="21"/>
                      <w:szCs w:val="21"/>
                      <w:highlight w:val="none"/>
                      <w:lang w:val="en-US" w:eastAsia="zh-CN" w:bidi="ar"/>
                    </w:rPr>
                    <w:t>后用编织袋包装防尘，暂存于</w:t>
                  </w:r>
                  <w:r>
                    <w:rPr>
                      <w:rFonts w:hint="eastAsia" w:cs="Times New Roman"/>
                      <w:color w:val="auto"/>
                      <w:kern w:val="2"/>
                      <w:sz w:val="21"/>
                      <w:szCs w:val="21"/>
                      <w:highlight w:val="none"/>
                      <w:lang w:val="en-US" w:eastAsia="zh-CN" w:bidi="ar-SA"/>
                    </w:rPr>
                    <w:t>一般固废暂存间（设置在设备区配电室南侧，建筑面积20m</w:t>
                  </w:r>
                  <w:r>
                    <w:rPr>
                      <w:rFonts w:hint="eastAsia" w:cs="Times New Roman"/>
                      <w:color w:val="auto"/>
                      <w:kern w:val="2"/>
                      <w:sz w:val="21"/>
                      <w:szCs w:val="21"/>
                      <w:highlight w:val="none"/>
                      <w:vertAlign w:val="superscript"/>
                      <w:lang w:val="en-US" w:eastAsia="zh-CN" w:bidi="ar-SA"/>
                    </w:rPr>
                    <w:t>2</w:t>
                  </w:r>
                  <w:r>
                    <w:rPr>
                      <w:rFonts w:hint="eastAsia" w:cs="Times New Roman"/>
                      <w:color w:val="auto"/>
                      <w:kern w:val="2"/>
                      <w:sz w:val="21"/>
                      <w:szCs w:val="21"/>
                      <w:highlight w:val="none"/>
                      <w:lang w:val="en-US" w:eastAsia="zh-CN" w:bidi="ar-SA"/>
                    </w:rPr>
                    <w:t>）</w:t>
                  </w:r>
                  <w:r>
                    <w:rPr>
                      <w:rFonts w:hint="eastAsia" w:cs="Times New Roman"/>
                      <w:color w:val="auto"/>
                      <w:kern w:val="2"/>
                      <w:sz w:val="21"/>
                      <w:szCs w:val="21"/>
                      <w:highlight w:val="none"/>
                      <w:vertAlign w:val="baseline"/>
                      <w:lang w:val="en-US" w:eastAsia="zh-CN" w:bidi="ar-SA"/>
                    </w:rPr>
                    <w:t>，最后</w:t>
                  </w:r>
                  <w:r>
                    <w:rPr>
                      <w:rFonts w:hint="eastAsia" w:cs="宋体"/>
                      <w:color w:val="auto"/>
                      <w:kern w:val="0"/>
                      <w:sz w:val="21"/>
                      <w:szCs w:val="21"/>
                      <w:highlight w:val="none"/>
                      <w:lang w:val="en-US" w:eastAsia="zh-CN" w:bidi="ar"/>
                    </w:rPr>
                    <w:t>定期作为建筑原料或生产建筑原料的材料外售</w:t>
                  </w:r>
                  <w:r>
                    <w:rPr>
                      <w:rFonts w:hint="eastAsia" w:cs="Times New Roman"/>
                      <w:color w:val="auto"/>
                      <w:kern w:val="2"/>
                      <w:sz w:val="21"/>
                      <w:szCs w:val="21"/>
                      <w:highlight w:val="none"/>
                      <w:lang w:val="en-US" w:eastAsia="zh-CN" w:bidi="ar-SA"/>
                    </w:rPr>
                    <w:t>。废机油、废机油桶、含油废抹布和含油废手套设置危废库（10m</w:t>
                  </w:r>
                  <w:r>
                    <w:rPr>
                      <w:rFonts w:hint="eastAsia" w:cs="Times New Roman"/>
                      <w:color w:val="auto"/>
                      <w:kern w:val="2"/>
                      <w:sz w:val="21"/>
                      <w:szCs w:val="21"/>
                      <w:highlight w:val="none"/>
                      <w:vertAlign w:val="superscript"/>
                      <w:lang w:val="en-US" w:eastAsia="zh-CN" w:bidi="ar-SA"/>
                    </w:rPr>
                    <w:t>2</w:t>
                  </w:r>
                  <w:r>
                    <w:rPr>
                      <w:rFonts w:hint="eastAsia" w:cs="Times New Roman"/>
                      <w:color w:val="auto"/>
                      <w:kern w:val="2"/>
                      <w:sz w:val="21"/>
                      <w:szCs w:val="21"/>
                      <w:highlight w:val="none"/>
                      <w:lang w:val="en-US" w:eastAsia="zh-CN" w:bidi="ar-SA"/>
                    </w:rPr>
                    <w:t>）暂存，定期交由有资质的单位处理，危废库位于整个厂区西北角，设备区配电室南侧。</w:t>
                  </w:r>
                </w:p>
              </w:tc>
              <w:tc>
                <w:tcPr>
                  <w:tcW w:w="464" w:type="dxa"/>
                  <w:noWrap w:val="0"/>
                  <w:vAlign w:val="center"/>
                </w:tcPr>
                <w:p w14:paraId="22DD0DF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新建</w:t>
                  </w:r>
                </w:p>
              </w:tc>
            </w:tr>
          </w:tbl>
          <w:p w14:paraId="1AC52083">
            <w:pPr>
              <w:pStyle w:val="114"/>
              <w:keepNext w:val="0"/>
              <w:keepLines w:val="0"/>
              <w:numPr>
                <w:ilvl w:val="0"/>
                <w:numId w:val="0"/>
              </w:numPr>
              <w:suppressLineNumbers w:val="0"/>
              <w:spacing w:before="120" w:beforeLines="50" w:beforeAutospacing="0" w:after="0" w:afterAutospacing="0"/>
              <w:ind w:left="0" w:right="0" w:rightChars="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SA"/>
              </w:rPr>
              <w:t>3、</w:t>
            </w:r>
            <w:r>
              <w:rPr>
                <w:rFonts w:hint="eastAsia" w:ascii="Times New Roman" w:hAnsi="Times New Roman" w:eastAsia="宋体" w:cs="Times New Roman"/>
                <w:b/>
                <w:bCs/>
                <w:color w:val="auto"/>
                <w:sz w:val="24"/>
                <w:szCs w:val="24"/>
                <w:lang w:val="en-US" w:eastAsia="zh-CN"/>
              </w:rPr>
              <w:t>项目规模</w:t>
            </w:r>
          </w:p>
          <w:p w14:paraId="1BE16740">
            <w:pPr>
              <w:pStyle w:val="114"/>
              <w:keepNext w:val="0"/>
              <w:keepLines w:val="0"/>
              <w:suppressLineNumbers w:val="0"/>
              <w:spacing w:before="0" w:beforeAutospacing="0" w:after="0" w:afterAutospacing="0"/>
              <w:ind w:left="0" w:right="0" w:firstLine="420"/>
              <w:rPr>
                <w:rFonts w:hint="default" w:ascii="Times New Roman" w:hAnsi="Times New Roman" w:eastAsia="宋体" w:cs="Times New Roman"/>
                <w:b/>
                <w:color w:val="auto"/>
                <w:szCs w:val="21"/>
                <w:highlight w:val="none"/>
              </w:rPr>
            </w:pPr>
            <w:r>
              <w:rPr>
                <w:rFonts w:hint="eastAsia" w:ascii="Times New Roman" w:hAnsi="Times New Roman" w:eastAsia="宋体" w:cs="Times New Roman"/>
                <w:color w:val="auto"/>
                <w:sz w:val="24"/>
                <w:szCs w:val="24"/>
                <w:lang w:val="en-US" w:eastAsia="zh-CN"/>
              </w:rPr>
              <w:t>项目产品产能、规模，见</w:t>
            </w:r>
            <w:r>
              <w:rPr>
                <w:rFonts w:hint="default" w:ascii="Times New Roman" w:hAnsi="Times New Roman" w:eastAsia="宋体" w:cs="Times New Roman"/>
                <w:color w:val="auto"/>
                <w:sz w:val="24"/>
                <w:szCs w:val="24"/>
              </w:rPr>
              <w:t>表</w:t>
            </w:r>
            <w:r>
              <w:rPr>
                <w:rFonts w:hint="eastAsia" w:ascii="Times New Roman" w:hAnsi="Times New Roman" w:eastAsia="宋体" w:cs="Times New Roman"/>
                <w:color w:val="auto"/>
                <w:sz w:val="24"/>
                <w:szCs w:val="24"/>
                <w:lang w:val="en-US" w:eastAsia="zh-CN"/>
              </w:rPr>
              <w:t>2-2</w:t>
            </w:r>
            <w:r>
              <w:rPr>
                <w:rFonts w:hint="default" w:ascii="Times New Roman" w:hAnsi="Times New Roman" w:eastAsia="宋体" w:cs="Times New Roman"/>
                <w:color w:val="auto"/>
                <w:sz w:val="24"/>
                <w:szCs w:val="24"/>
              </w:rPr>
              <w:t>。</w:t>
            </w:r>
          </w:p>
          <w:p w14:paraId="3F79F7C8">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w:t>
            </w:r>
            <w:r>
              <w:rPr>
                <w:rFonts w:hint="eastAsia" w:ascii="Times New Roman" w:hAnsi="Times New Roman" w:eastAsia="宋体" w:cs="Times New Roman"/>
                <w:b/>
                <w:color w:val="auto"/>
                <w:szCs w:val="21"/>
                <w:highlight w:val="none"/>
                <w:lang w:val="en-US" w:eastAsia="zh-CN"/>
              </w:rPr>
              <w:t>2-2</w:t>
            </w:r>
            <w:r>
              <w:rPr>
                <w:rFonts w:hint="default" w:ascii="Times New Roman" w:hAnsi="Times New Roman" w:eastAsia="宋体" w:cs="Times New Roman"/>
                <w:b/>
                <w:color w:val="auto"/>
                <w:szCs w:val="21"/>
                <w:highlight w:val="none"/>
              </w:rPr>
              <w:t xml:space="preserve">  </w:t>
            </w:r>
            <w:r>
              <w:rPr>
                <w:rFonts w:hint="eastAsia" w:ascii="Times New Roman" w:hAnsi="Times New Roman" w:eastAsia="宋体" w:cs="Times New Roman"/>
                <w:b/>
                <w:color w:val="auto"/>
                <w:szCs w:val="21"/>
                <w:highlight w:val="none"/>
                <w:lang w:val="en-US" w:eastAsia="zh-CN"/>
              </w:rPr>
              <w:t>产品产能及规模一览</w:t>
            </w:r>
            <w:r>
              <w:rPr>
                <w:rFonts w:hint="default" w:ascii="Times New Roman" w:hAnsi="Times New Roman" w:eastAsia="宋体" w:cs="Times New Roman"/>
                <w:b/>
                <w:color w:val="auto"/>
                <w:szCs w:val="21"/>
                <w:highlight w:val="none"/>
              </w:rPr>
              <w:t>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586"/>
              <w:gridCol w:w="3012"/>
              <w:gridCol w:w="1883"/>
              <w:gridCol w:w="1062"/>
            </w:tblGrid>
            <w:tr w14:paraId="2C58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28" w:type="pct"/>
                  <w:noWrap w:val="0"/>
                  <w:vAlign w:val="center"/>
                </w:tcPr>
                <w:p w14:paraId="25FD1C3C">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序号</w:t>
                  </w:r>
                </w:p>
              </w:tc>
              <w:tc>
                <w:tcPr>
                  <w:tcW w:w="961" w:type="pct"/>
                  <w:noWrap w:val="0"/>
                  <w:vAlign w:val="center"/>
                </w:tcPr>
                <w:p w14:paraId="4A01B957">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lang w:val="en-US" w:eastAsia="zh-CN"/>
                    </w:rPr>
                  </w:pPr>
                  <w:r>
                    <w:rPr>
                      <w:rFonts w:hint="eastAsia" w:cs="Times New Roman"/>
                      <w:b/>
                      <w:color w:val="auto"/>
                      <w:szCs w:val="21"/>
                      <w:highlight w:val="none"/>
                      <w:lang w:val="en-US" w:eastAsia="zh-CN"/>
                    </w:rPr>
                    <w:t>产品</w:t>
                  </w:r>
                </w:p>
              </w:tc>
              <w:tc>
                <w:tcPr>
                  <w:tcW w:w="1825" w:type="pct"/>
                  <w:noWrap w:val="0"/>
                  <w:vAlign w:val="center"/>
                </w:tcPr>
                <w:p w14:paraId="03849A4F">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产能</w:t>
                  </w:r>
                </w:p>
              </w:tc>
              <w:tc>
                <w:tcPr>
                  <w:tcW w:w="1141" w:type="pct"/>
                  <w:noWrap w:val="0"/>
                  <w:vAlign w:val="center"/>
                </w:tcPr>
                <w:p w14:paraId="466474B1">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规格</w:t>
                  </w:r>
                </w:p>
              </w:tc>
              <w:tc>
                <w:tcPr>
                  <w:tcW w:w="643" w:type="pct"/>
                  <w:noWrap w:val="0"/>
                  <w:vAlign w:val="center"/>
                </w:tcPr>
                <w:p w14:paraId="51A2E77B">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备注</w:t>
                  </w:r>
                </w:p>
              </w:tc>
            </w:tr>
            <w:tr w14:paraId="3A70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28" w:type="pct"/>
                  <w:noWrap w:val="0"/>
                  <w:vAlign w:val="center"/>
                </w:tcPr>
                <w:p w14:paraId="1AE6C29D">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w:t>
                  </w:r>
                </w:p>
              </w:tc>
              <w:tc>
                <w:tcPr>
                  <w:tcW w:w="961" w:type="pct"/>
                  <w:noWrap w:val="0"/>
                  <w:vAlign w:val="center"/>
                </w:tcPr>
                <w:p w14:paraId="49BCB251">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ascii="Times New Roman" w:hAnsi="Times New Roman" w:eastAsia="宋体" w:cs="Times New Roman"/>
                      <w:color w:val="auto"/>
                      <w:kern w:val="0"/>
                      <w:sz w:val="21"/>
                      <w:szCs w:val="21"/>
                      <w:highlight w:val="none"/>
                      <w:vertAlign w:val="baseline"/>
                      <w:lang w:val="en-US" w:eastAsia="zh-CN"/>
                    </w:rPr>
                    <w:t>烘干玉米</w:t>
                  </w:r>
                </w:p>
              </w:tc>
              <w:tc>
                <w:tcPr>
                  <w:tcW w:w="1825" w:type="pct"/>
                  <w:noWrap w:val="0"/>
                  <w:vAlign w:val="center"/>
                </w:tcPr>
                <w:p w14:paraId="78DB6F34">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10万t/a</w:t>
                  </w:r>
                </w:p>
              </w:tc>
              <w:tc>
                <w:tcPr>
                  <w:tcW w:w="1141" w:type="pct"/>
                  <w:noWrap w:val="0"/>
                  <w:vAlign w:val="center"/>
                </w:tcPr>
                <w:p w14:paraId="00663900">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643" w:type="pct"/>
                  <w:noWrap w:val="0"/>
                  <w:vAlign w:val="center"/>
                </w:tcPr>
                <w:p w14:paraId="382DA815">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1000t/d</w:t>
                  </w:r>
                </w:p>
              </w:tc>
            </w:tr>
          </w:tbl>
          <w:p w14:paraId="0807386F">
            <w:pPr>
              <w:pStyle w:val="114"/>
              <w:keepNext w:val="0"/>
              <w:keepLines w:val="0"/>
              <w:numPr>
                <w:ilvl w:val="0"/>
                <w:numId w:val="0"/>
              </w:numPr>
              <w:suppressLineNumbers w:val="0"/>
              <w:spacing w:before="120" w:beforeLines="50" w:beforeAutospacing="0" w:after="0" w:afterAutospacing="0"/>
              <w:ind w:left="0" w:right="0" w:right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kern w:val="0"/>
                <w:sz w:val="24"/>
                <w:szCs w:val="24"/>
                <w:highlight w:val="none"/>
                <w:lang w:val="en-US" w:eastAsia="zh-CN" w:bidi="ar-SA"/>
              </w:rPr>
              <w:t>4、</w:t>
            </w:r>
            <w:r>
              <w:rPr>
                <w:rFonts w:hint="default" w:ascii="Times New Roman" w:hAnsi="Times New Roman" w:eastAsia="宋体" w:cs="Times New Roman"/>
                <w:b/>
                <w:bCs/>
                <w:color w:val="auto"/>
                <w:sz w:val="24"/>
                <w:szCs w:val="24"/>
                <w:highlight w:val="none"/>
              </w:rPr>
              <w:t>主要生产设备</w:t>
            </w:r>
          </w:p>
          <w:p w14:paraId="51E1E4AB">
            <w:pPr>
              <w:pStyle w:val="114"/>
              <w:keepNext w:val="0"/>
              <w:keepLines w:val="0"/>
              <w:suppressLineNumbers w:val="0"/>
              <w:spacing w:before="0" w:beforeAutospacing="0" w:after="0" w:afterAutospacing="0"/>
              <w:ind w:left="0" w:right="0" w:firstLine="4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本项目主要的生产设备见表</w:t>
            </w:r>
            <w:r>
              <w:rPr>
                <w:rFonts w:hint="eastAsia" w:ascii="Times New Roman" w:hAnsi="Times New Roman" w:eastAsia="宋体" w:cs="Times New Roman"/>
                <w:color w:val="auto"/>
                <w:sz w:val="24"/>
                <w:szCs w:val="24"/>
                <w:lang w:val="en-US" w:eastAsia="zh-CN"/>
              </w:rPr>
              <w:t>2-3</w:t>
            </w:r>
            <w:r>
              <w:rPr>
                <w:rFonts w:hint="default" w:ascii="Times New Roman" w:hAnsi="Times New Roman" w:eastAsia="宋体" w:cs="Times New Roman"/>
                <w:color w:val="auto"/>
                <w:sz w:val="24"/>
                <w:szCs w:val="24"/>
              </w:rPr>
              <w:t>。</w:t>
            </w:r>
          </w:p>
          <w:p w14:paraId="1DD0CE66">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表</w:t>
            </w:r>
            <w:r>
              <w:rPr>
                <w:rFonts w:hint="eastAsia" w:ascii="Times New Roman" w:hAnsi="Times New Roman" w:eastAsia="宋体" w:cs="Times New Roman"/>
                <w:b/>
                <w:color w:val="auto"/>
                <w:szCs w:val="21"/>
                <w:lang w:val="en-US" w:eastAsia="zh-CN"/>
              </w:rPr>
              <w:t>2-3</w:t>
            </w:r>
            <w:r>
              <w:rPr>
                <w:rFonts w:hint="default" w:ascii="Times New Roman" w:hAnsi="Times New Roman" w:eastAsia="宋体" w:cs="Times New Roman"/>
                <w:b/>
                <w:color w:val="auto"/>
                <w:szCs w:val="21"/>
              </w:rPr>
              <w:t xml:space="preserve">  主要生产设备明细表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2274"/>
              <w:gridCol w:w="789"/>
              <w:gridCol w:w="951"/>
              <w:gridCol w:w="3635"/>
            </w:tblGrid>
            <w:tr w14:paraId="26B6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57C780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1378" w:type="pct"/>
                  <w:noWrap w:val="0"/>
                  <w:vAlign w:val="center"/>
                </w:tcPr>
                <w:p w14:paraId="18929A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设备名称</w:t>
                  </w:r>
                </w:p>
              </w:tc>
              <w:tc>
                <w:tcPr>
                  <w:tcW w:w="478" w:type="pct"/>
                  <w:noWrap w:val="0"/>
                  <w:vAlign w:val="center"/>
                </w:tcPr>
                <w:p w14:paraId="33752D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576" w:type="pct"/>
                  <w:noWrap w:val="0"/>
                  <w:vAlign w:val="center"/>
                </w:tcPr>
                <w:p w14:paraId="1871571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单位</w:t>
                  </w:r>
                </w:p>
              </w:tc>
              <w:tc>
                <w:tcPr>
                  <w:tcW w:w="2202" w:type="pct"/>
                  <w:noWrap w:val="0"/>
                  <w:vAlign w:val="center"/>
                </w:tcPr>
                <w:p w14:paraId="6DDECD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备注</w:t>
                  </w:r>
                </w:p>
              </w:tc>
            </w:tr>
            <w:tr w14:paraId="3A0F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343A57C0">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olor w:val="auto"/>
                      <w:w w:val="100"/>
                      <w:sz w:val="21"/>
                      <w:szCs w:val="21"/>
                    </w:rPr>
                    <w:t>一</w:t>
                  </w:r>
                </w:p>
              </w:tc>
              <w:tc>
                <w:tcPr>
                  <w:tcW w:w="1378" w:type="pct"/>
                  <w:noWrap w:val="0"/>
                  <w:vAlign w:val="center"/>
                </w:tcPr>
                <w:p w14:paraId="25568916">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生物质热风炉</w:t>
                  </w:r>
                </w:p>
              </w:tc>
              <w:tc>
                <w:tcPr>
                  <w:tcW w:w="478" w:type="pct"/>
                  <w:noWrap w:val="0"/>
                  <w:vAlign w:val="center"/>
                </w:tcPr>
                <w:p w14:paraId="38F8E8E6">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w w:val="100"/>
                      <w:kern w:val="2"/>
                      <w:sz w:val="21"/>
                      <w:szCs w:val="21"/>
                      <w:lang w:val="en-US" w:eastAsia="zh-CN" w:bidi="ar-SA"/>
                    </w:rPr>
                  </w:pPr>
                  <w:r>
                    <w:rPr>
                      <w:rFonts w:hint="eastAsia"/>
                      <w:b w:val="0"/>
                      <w:bCs/>
                      <w:color w:val="auto"/>
                      <w:w w:val="100"/>
                      <w:sz w:val="21"/>
                      <w:szCs w:val="21"/>
                      <w:lang w:val="en-US" w:eastAsia="zh-CN"/>
                    </w:rPr>
                    <w:t>1</w:t>
                  </w:r>
                </w:p>
              </w:tc>
              <w:tc>
                <w:tcPr>
                  <w:tcW w:w="576" w:type="pct"/>
                  <w:noWrap w:val="0"/>
                  <w:vAlign w:val="center"/>
                </w:tcPr>
                <w:p w14:paraId="32C84DA5">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w w:val="100"/>
                      <w:kern w:val="2"/>
                      <w:sz w:val="21"/>
                      <w:szCs w:val="21"/>
                      <w:lang w:val="en-US" w:eastAsia="zh-CN" w:bidi="ar-SA"/>
                    </w:rPr>
                  </w:pPr>
                  <w:r>
                    <w:rPr>
                      <w:rFonts w:hint="default" w:ascii="Times New Roman" w:hAnsi="Times New Roman" w:eastAsia="宋体"/>
                      <w:color w:val="auto"/>
                      <w:w w:val="100"/>
                      <w:sz w:val="21"/>
                      <w:szCs w:val="21"/>
                    </w:rPr>
                    <w:t>台</w:t>
                  </w:r>
                </w:p>
              </w:tc>
              <w:tc>
                <w:tcPr>
                  <w:tcW w:w="2202" w:type="pct"/>
                  <w:noWrap w:val="0"/>
                  <w:vAlign w:val="center"/>
                </w:tcPr>
                <w:p w14:paraId="050BF89F">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b w:val="0"/>
                      <w:bCs/>
                      <w:color w:val="auto"/>
                      <w:sz w:val="21"/>
                      <w:szCs w:val="21"/>
                      <w:lang w:val="en-US" w:eastAsia="zh-CN"/>
                    </w:rPr>
                  </w:pPr>
                  <w:r>
                    <w:rPr>
                      <w:rFonts w:hint="eastAsia"/>
                      <w:b w:val="0"/>
                      <w:bCs/>
                      <w:color w:val="auto"/>
                      <w:sz w:val="21"/>
                      <w:szCs w:val="21"/>
                      <w:lang w:val="en-US" w:eastAsia="zh-CN"/>
                    </w:rPr>
                    <w:t>20t/h</w:t>
                  </w:r>
                </w:p>
              </w:tc>
            </w:tr>
            <w:tr w14:paraId="4F60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36E9FFFA">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w w:val="100"/>
                      <w:sz w:val="21"/>
                      <w:szCs w:val="21"/>
                      <w:lang w:val="en-US" w:eastAsia="zh-CN"/>
                    </w:rPr>
                    <w:t>二</w:t>
                  </w:r>
                </w:p>
              </w:tc>
              <w:tc>
                <w:tcPr>
                  <w:tcW w:w="1378" w:type="pct"/>
                  <w:noWrap w:val="0"/>
                  <w:vAlign w:val="center"/>
                </w:tcPr>
                <w:p w14:paraId="32E66F7D">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烘干设备</w:t>
                  </w:r>
                </w:p>
              </w:tc>
              <w:tc>
                <w:tcPr>
                  <w:tcW w:w="478" w:type="pct"/>
                  <w:noWrap w:val="0"/>
                  <w:vAlign w:val="center"/>
                </w:tcPr>
                <w:p w14:paraId="58ACC0DA">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576" w:type="pct"/>
                  <w:noWrap w:val="0"/>
                  <w:vAlign w:val="center"/>
                </w:tcPr>
                <w:p w14:paraId="00C062A4">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202" w:type="pct"/>
                  <w:noWrap w:val="0"/>
                  <w:vAlign w:val="center"/>
                </w:tcPr>
                <w:p w14:paraId="5A519682">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p>
              </w:tc>
            </w:tr>
            <w:tr w14:paraId="4045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0098DB0C">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olor w:val="auto"/>
                      <w:w w:val="100"/>
                      <w:sz w:val="21"/>
                      <w:szCs w:val="21"/>
                    </w:rPr>
                    <w:t>1</w:t>
                  </w:r>
                </w:p>
              </w:tc>
              <w:tc>
                <w:tcPr>
                  <w:tcW w:w="1378" w:type="pct"/>
                  <w:noWrap w:val="0"/>
                  <w:vAlign w:val="center"/>
                </w:tcPr>
                <w:p w14:paraId="11083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烘干塔</w:t>
                  </w:r>
                </w:p>
              </w:tc>
              <w:tc>
                <w:tcPr>
                  <w:tcW w:w="478" w:type="pct"/>
                  <w:noWrap w:val="0"/>
                  <w:vAlign w:val="center"/>
                </w:tcPr>
                <w:p w14:paraId="079A58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576" w:type="pct"/>
                  <w:noWrap w:val="0"/>
                  <w:vAlign w:val="center"/>
                </w:tcPr>
                <w:p w14:paraId="0B49C9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套</w:t>
                  </w:r>
                </w:p>
              </w:tc>
              <w:tc>
                <w:tcPr>
                  <w:tcW w:w="2202" w:type="pct"/>
                  <w:noWrap w:val="0"/>
                  <w:vAlign w:val="center"/>
                </w:tcPr>
                <w:p w14:paraId="1566D9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242.9</w:t>
                  </w:r>
                  <w:r>
                    <w:rPr>
                      <w:rFonts w:hint="eastAsia" w:cs="Times New Roman"/>
                      <w:i w:val="0"/>
                      <w:iCs w:val="0"/>
                      <w:color w:val="auto"/>
                      <w:kern w:val="0"/>
                      <w:sz w:val="21"/>
                      <w:szCs w:val="21"/>
                      <w:u w:val="none"/>
                      <w:lang w:val="en-US" w:eastAsia="zh-CN" w:bidi="ar"/>
                    </w:rPr>
                    <w:t>kW</w:t>
                  </w:r>
                </w:p>
              </w:tc>
            </w:tr>
            <w:tr w14:paraId="38AF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55EDAEB1">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default" w:ascii="Times New Roman" w:hAnsi="Times New Roman" w:eastAsia="宋体"/>
                      <w:color w:val="auto"/>
                      <w:w w:val="100"/>
                      <w:sz w:val="21"/>
                      <w:szCs w:val="21"/>
                    </w:rPr>
                    <w:t>2</w:t>
                  </w:r>
                </w:p>
              </w:tc>
              <w:tc>
                <w:tcPr>
                  <w:tcW w:w="1378" w:type="pct"/>
                  <w:noWrap w:val="0"/>
                  <w:vAlign w:val="center"/>
                </w:tcPr>
                <w:p w14:paraId="77E657FB">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鼓风机</w:t>
                  </w:r>
                </w:p>
              </w:tc>
              <w:tc>
                <w:tcPr>
                  <w:tcW w:w="478" w:type="pct"/>
                  <w:noWrap w:val="0"/>
                  <w:vAlign w:val="center"/>
                </w:tcPr>
                <w:p w14:paraId="3EC82CDB">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16</w:t>
                  </w:r>
                </w:p>
              </w:tc>
              <w:tc>
                <w:tcPr>
                  <w:tcW w:w="576" w:type="pct"/>
                  <w:noWrap w:val="0"/>
                  <w:vAlign w:val="center"/>
                </w:tcPr>
                <w:p w14:paraId="5B928980">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台</w:t>
                  </w:r>
                </w:p>
              </w:tc>
              <w:tc>
                <w:tcPr>
                  <w:tcW w:w="2202" w:type="pct"/>
                  <w:noWrap w:val="0"/>
                  <w:vAlign w:val="center"/>
                </w:tcPr>
                <w:p w14:paraId="5CA41C27">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18.5</w:t>
                  </w:r>
                  <w:r>
                    <w:rPr>
                      <w:rFonts w:hint="eastAsia"/>
                      <w:color w:val="auto"/>
                      <w:w w:val="100"/>
                      <w:sz w:val="21"/>
                      <w:szCs w:val="21"/>
                      <w:lang w:val="en-US" w:eastAsia="zh-CN"/>
                    </w:rPr>
                    <w:t>kW</w:t>
                  </w:r>
                </w:p>
              </w:tc>
            </w:tr>
            <w:tr w14:paraId="635E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03AEF1BB">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default" w:ascii="Times New Roman" w:hAnsi="Times New Roman" w:eastAsia="宋体"/>
                      <w:color w:val="auto"/>
                      <w:w w:val="100"/>
                      <w:sz w:val="21"/>
                      <w:szCs w:val="21"/>
                    </w:rPr>
                    <w:t>3</w:t>
                  </w:r>
                </w:p>
              </w:tc>
              <w:tc>
                <w:tcPr>
                  <w:tcW w:w="1378" w:type="pct"/>
                  <w:noWrap w:val="0"/>
                  <w:vAlign w:val="center"/>
                </w:tcPr>
                <w:p w14:paraId="37CFF21B">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引风机</w:t>
                  </w:r>
                </w:p>
              </w:tc>
              <w:tc>
                <w:tcPr>
                  <w:tcW w:w="478" w:type="pct"/>
                  <w:noWrap w:val="0"/>
                  <w:vAlign w:val="center"/>
                </w:tcPr>
                <w:p w14:paraId="5F0E9521">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16</w:t>
                  </w:r>
                </w:p>
              </w:tc>
              <w:tc>
                <w:tcPr>
                  <w:tcW w:w="576" w:type="pct"/>
                  <w:noWrap w:val="0"/>
                  <w:vAlign w:val="center"/>
                </w:tcPr>
                <w:p w14:paraId="3CC72BDC">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台</w:t>
                  </w:r>
                </w:p>
              </w:tc>
              <w:tc>
                <w:tcPr>
                  <w:tcW w:w="2202" w:type="pct"/>
                  <w:noWrap w:val="0"/>
                  <w:vAlign w:val="center"/>
                </w:tcPr>
                <w:p w14:paraId="74A92DBE">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0.55</w:t>
                  </w:r>
                  <w:r>
                    <w:rPr>
                      <w:rFonts w:hint="eastAsia"/>
                      <w:color w:val="auto"/>
                      <w:w w:val="100"/>
                      <w:sz w:val="21"/>
                      <w:szCs w:val="21"/>
                      <w:lang w:val="en-US" w:eastAsia="zh-CN"/>
                    </w:rPr>
                    <w:t>kW</w:t>
                  </w:r>
                </w:p>
              </w:tc>
            </w:tr>
            <w:tr w14:paraId="17EF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0DBAA9CE">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default" w:ascii="Times New Roman" w:hAnsi="Times New Roman" w:eastAsia="宋体"/>
                      <w:color w:val="auto"/>
                      <w:w w:val="100"/>
                      <w:sz w:val="21"/>
                      <w:szCs w:val="21"/>
                    </w:rPr>
                    <w:t>4</w:t>
                  </w:r>
                </w:p>
              </w:tc>
              <w:tc>
                <w:tcPr>
                  <w:tcW w:w="1378" w:type="pct"/>
                  <w:noWrap w:val="0"/>
                  <w:vAlign w:val="center"/>
                </w:tcPr>
                <w:p w14:paraId="6A9B25FA">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输送机</w:t>
                  </w:r>
                </w:p>
              </w:tc>
              <w:tc>
                <w:tcPr>
                  <w:tcW w:w="478" w:type="pct"/>
                  <w:noWrap w:val="0"/>
                  <w:vAlign w:val="center"/>
                </w:tcPr>
                <w:p w14:paraId="6CD29A56">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5</w:t>
                  </w:r>
                </w:p>
              </w:tc>
              <w:tc>
                <w:tcPr>
                  <w:tcW w:w="576" w:type="pct"/>
                  <w:noWrap w:val="0"/>
                  <w:vAlign w:val="center"/>
                </w:tcPr>
                <w:p w14:paraId="7538CC03">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台</w:t>
                  </w:r>
                </w:p>
              </w:tc>
              <w:tc>
                <w:tcPr>
                  <w:tcW w:w="2202" w:type="pct"/>
                  <w:noWrap w:val="0"/>
                  <w:vAlign w:val="center"/>
                </w:tcPr>
                <w:p w14:paraId="5C6F4090">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8</w:t>
                  </w:r>
                  <w:r>
                    <w:rPr>
                      <w:rFonts w:hint="eastAsia"/>
                      <w:color w:val="auto"/>
                      <w:w w:val="100"/>
                      <w:sz w:val="21"/>
                      <w:szCs w:val="21"/>
                      <w:lang w:val="en-US" w:eastAsia="zh-CN"/>
                    </w:rPr>
                    <w:t>kW</w:t>
                  </w:r>
                </w:p>
              </w:tc>
            </w:tr>
            <w:tr w14:paraId="401D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06F5640E">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5</w:t>
                  </w:r>
                </w:p>
              </w:tc>
              <w:tc>
                <w:tcPr>
                  <w:tcW w:w="1378" w:type="pct"/>
                  <w:noWrap w:val="0"/>
                  <w:vAlign w:val="center"/>
                </w:tcPr>
                <w:p w14:paraId="052F254A">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提升机</w:t>
                  </w:r>
                </w:p>
              </w:tc>
              <w:tc>
                <w:tcPr>
                  <w:tcW w:w="478" w:type="pct"/>
                  <w:noWrap w:val="0"/>
                  <w:vAlign w:val="center"/>
                </w:tcPr>
                <w:p w14:paraId="11138DCB">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1</w:t>
                  </w:r>
                </w:p>
              </w:tc>
              <w:tc>
                <w:tcPr>
                  <w:tcW w:w="576" w:type="pct"/>
                  <w:noWrap w:val="0"/>
                  <w:vAlign w:val="center"/>
                </w:tcPr>
                <w:p w14:paraId="31549FDB">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台</w:t>
                  </w:r>
                </w:p>
              </w:tc>
              <w:tc>
                <w:tcPr>
                  <w:tcW w:w="2202" w:type="pct"/>
                  <w:noWrap w:val="0"/>
                  <w:vAlign w:val="center"/>
                </w:tcPr>
                <w:p w14:paraId="744E607B">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22</w:t>
                  </w:r>
                  <w:r>
                    <w:rPr>
                      <w:rFonts w:hint="eastAsia"/>
                      <w:color w:val="auto"/>
                      <w:w w:val="100"/>
                      <w:sz w:val="21"/>
                      <w:szCs w:val="21"/>
                      <w:lang w:val="en-US" w:eastAsia="zh-CN"/>
                    </w:rPr>
                    <w:t>kW</w:t>
                  </w:r>
                </w:p>
              </w:tc>
            </w:tr>
            <w:tr w14:paraId="312E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45439D55">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6</w:t>
                  </w:r>
                </w:p>
              </w:tc>
              <w:tc>
                <w:tcPr>
                  <w:tcW w:w="1378" w:type="pct"/>
                  <w:noWrap w:val="0"/>
                  <w:vAlign w:val="center"/>
                </w:tcPr>
                <w:p w14:paraId="35927742">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液压后翻卸料翻板机</w:t>
                  </w:r>
                </w:p>
              </w:tc>
              <w:tc>
                <w:tcPr>
                  <w:tcW w:w="478" w:type="pct"/>
                  <w:noWrap w:val="0"/>
                  <w:vAlign w:val="center"/>
                </w:tcPr>
                <w:p w14:paraId="6E2DCEE4">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1</w:t>
                  </w:r>
                </w:p>
              </w:tc>
              <w:tc>
                <w:tcPr>
                  <w:tcW w:w="576" w:type="pct"/>
                  <w:noWrap w:val="0"/>
                  <w:vAlign w:val="center"/>
                </w:tcPr>
                <w:p w14:paraId="233BA70E">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台</w:t>
                  </w:r>
                </w:p>
              </w:tc>
              <w:tc>
                <w:tcPr>
                  <w:tcW w:w="2202" w:type="pct"/>
                  <w:noWrap w:val="0"/>
                  <w:vAlign w:val="center"/>
                </w:tcPr>
                <w:p w14:paraId="23B09820">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29.5</w:t>
                  </w:r>
                  <w:r>
                    <w:rPr>
                      <w:rFonts w:hint="eastAsia"/>
                      <w:color w:val="auto"/>
                      <w:w w:val="100"/>
                      <w:sz w:val="21"/>
                      <w:szCs w:val="21"/>
                      <w:lang w:val="en-US" w:eastAsia="zh-CN"/>
                    </w:rPr>
                    <w:t>kW</w:t>
                  </w:r>
                </w:p>
              </w:tc>
            </w:tr>
            <w:tr w14:paraId="5AF7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14E21471">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7</w:t>
                  </w:r>
                </w:p>
              </w:tc>
              <w:tc>
                <w:tcPr>
                  <w:tcW w:w="1378" w:type="pct"/>
                  <w:noWrap w:val="0"/>
                  <w:vAlign w:val="center"/>
                </w:tcPr>
                <w:p w14:paraId="191B6B36">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自动打包称</w:t>
                  </w:r>
                </w:p>
              </w:tc>
              <w:tc>
                <w:tcPr>
                  <w:tcW w:w="478" w:type="pct"/>
                  <w:noWrap w:val="0"/>
                  <w:vAlign w:val="center"/>
                </w:tcPr>
                <w:p w14:paraId="2447B2BE">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2</w:t>
                  </w:r>
                </w:p>
              </w:tc>
              <w:tc>
                <w:tcPr>
                  <w:tcW w:w="576" w:type="pct"/>
                  <w:noWrap w:val="0"/>
                  <w:vAlign w:val="center"/>
                </w:tcPr>
                <w:p w14:paraId="755FC5EA">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台</w:t>
                  </w:r>
                </w:p>
              </w:tc>
              <w:tc>
                <w:tcPr>
                  <w:tcW w:w="2202" w:type="pct"/>
                  <w:noWrap w:val="0"/>
                  <w:vAlign w:val="center"/>
                </w:tcPr>
                <w:p w14:paraId="36F9F5AD">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rPr>
                  </w:pPr>
                  <w:r>
                    <w:rPr>
                      <w:rFonts w:hint="eastAsia" w:ascii="Times New Roman" w:hAnsi="Times New Roman" w:eastAsia="宋体"/>
                      <w:color w:val="auto"/>
                      <w:w w:val="100"/>
                      <w:sz w:val="21"/>
                      <w:szCs w:val="21"/>
                      <w:lang w:val="en-US" w:eastAsia="zh-CN"/>
                    </w:rPr>
                    <w:t>7.5</w:t>
                  </w:r>
                  <w:r>
                    <w:rPr>
                      <w:rFonts w:hint="eastAsia"/>
                      <w:color w:val="auto"/>
                      <w:w w:val="100"/>
                      <w:sz w:val="21"/>
                      <w:szCs w:val="21"/>
                      <w:lang w:val="en-US" w:eastAsia="zh-CN"/>
                    </w:rPr>
                    <w:t>kW</w:t>
                  </w:r>
                </w:p>
              </w:tc>
            </w:tr>
            <w:tr w14:paraId="3D26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0E0A2435">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color w:val="auto"/>
                      <w:w w:val="100"/>
                      <w:sz w:val="21"/>
                      <w:szCs w:val="21"/>
                      <w:lang w:val="en-US" w:eastAsia="zh-CN"/>
                    </w:rPr>
                    <w:t>三</w:t>
                  </w:r>
                </w:p>
              </w:tc>
              <w:tc>
                <w:tcPr>
                  <w:tcW w:w="4635" w:type="pct"/>
                  <w:gridSpan w:val="4"/>
                  <w:noWrap w:val="0"/>
                  <w:vAlign w:val="center"/>
                </w:tcPr>
                <w:p w14:paraId="75988864">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锅炉除尘环保系统</w:t>
                  </w:r>
                </w:p>
              </w:tc>
            </w:tr>
            <w:tr w14:paraId="04AD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noWrap w:val="0"/>
                  <w:vAlign w:val="center"/>
                </w:tcPr>
                <w:p w14:paraId="06361558">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1</w:t>
                  </w:r>
                </w:p>
              </w:tc>
              <w:tc>
                <w:tcPr>
                  <w:tcW w:w="1378" w:type="pct"/>
                  <w:noWrap w:val="0"/>
                  <w:vAlign w:val="center"/>
                </w:tcPr>
                <w:p w14:paraId="45B30074">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旋风除尘器</w:t>
                  </w:r>
                </w:p>
              </w:tc>
              <w:tc>
                <w:tcPr>
                  <w:tcW w:w="478" w:type="pct"/>
                  <w:noWrap w:val="0"/>
                  <w:vAlign w:val="center"/>
                </w:tcPr>
                <w:p w14:paraId="7C1145D6">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1</w:t>
                  </w:r>
                </w:p>
              </w:tc>
              <w:tc>
                <w:tcPr>
                  <w:tcW w:w="576" w:type="pct"/>
                  <w:noWrap w:val="0"/>
                  <w:vAlign w:val="center"/>
                </w:tcPr>
                <w:p w14:paraId="56D4C6DE">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default" w:ascii="Times New Roman" w:hAnsi="Times New Roman" w:eastAsia="宋体"/>
                      <w:color w:val="auto"/>
                      <w:w w:val="100"/>
                      <w:sz w:val="21"/>
                      <w:szCs w:val="21"/>
                    </w:rPr>
                    <w:t>套</w:t>
                  </w:r>
                </w:p>
              </w:tc>
              <w:tc>
                <w:tcPr>
                  <w:tcW w:w="2202" w:type="pct"/>
                  <w:noWrap w:val="0"/>
                  <w:vAlign w:val="center"/>
                </w:tcPr>
                <w:p w14:paraId="027E2372">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w:t>
                  </w:r>
                </w:p>
              </w:tc>
            </w:tr>
            <w:tr w14:paraId="2C34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shd w:val="clear" w:color="auto" w:fill="auto"/>
                  <w:noWrap w:val="0"/>
                  <w:vAlign w:val="center"/>
                </w:tcPr>
                <w:p w14:paraId="548DCD76">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2</w:t>
                  </w:r>
                </w:p>
              </w:tc>
              <w:tc>
                <w:tcPr>
                  <w:tcW w:w="1378" w:type="pct"/>
                  <w:shd w:val="clear" w:color="auto" w:fill="auto"/>
                  <w:noWrap w:val="0"/>
                  <w:vAlign w:val="center"/>
                </w:tcPr>
                <w:p w14:paraId="562F4BDE">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布袋除尘器</w:t>
                  </w:r>
                </w:p>
              </w:tc>
              <w:tc>
                <w:tcPr>
                  <w:tcW w:w="478" w:type="pct"/>
                  <w:shd w:val="clear" w:color="auto" w:fill="auto"/>
                  <w:noWrap w:val="0"/>
                  <w:vAlign w:val="center"/>
                </w:tcPr>
                <w:p w14:paraId="7B2369B5">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color w:val="auto"/>
                      <w:w w:val="100"/>
                      <w:sz w:val="21"/>
                      <w:szCs w:val="21"/>
                      <w:lang w:val="en-US" w:eastAsia="zh-CN"/>
                    </w:rPr>
                    <w:t>2</w:t>
                  </w:r>
                </w:p>
              </w:tc>
              <w:tc>
                <w:tcPr>
                  <w:tcW w:w="576" w:type="pct"/>
                  <w:shd w:val="clear" w:color="auto" w:fill="auto"/>
                  <w:noWrap w:val="0"/>
                  <w:vAlign w:val="center"/>
                </w:tcPr>
                <w:p w14:paraId="3DFF2A66">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套</w:t>
                  </w:r>
                </w:p>
              </w:tc>
              <w:tc>
                <w:tcPr>
                  <w:tcW w:w="2202" w:type="pct"/>
                  <w:shd w:val="clear" w:color="auto" w:fill="auto"/>
                  <w:noWrap w:val="0"/>
                  <w:vAlign w:val="center"/>
                </w:tcPr>
                <w:p w14:paraId="36E64AFA">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ascii="Times New Roman" w:hAnsi="Times New Roman" w:eastAsia="宋体"/>
                      <w:color w:val="auto"/>
                      <w:w w:val="100"/>
                      <w:sz w:val="21"/>
                      <w:szCs w:val="21"/>
                      <w:lang w:val="en-US" w:eastAsia="zh-CN"/>
                    </w:rPr>
                    <w:t>/</w:t>
                  </w:r>
                </w:p>
              </w:tc>
            </w:tr>
            <w:tr w14:paraId="45E4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shd w:val="clear" w:color="auto" w:fill="auto"/>
                  <w:noWrap w:val="0"/>
                  <w:vAlign w:val="center"/>
                </w:tcPr>
                <w:p w14:paraId="1C03BCB8">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color w:val="auto"/>
                      <w:w w:val="100"/>
                      <w:sz w:val="21"/>
                      <w:szCs w:val="21"/>
                      <w:lang w:val="en-US" w:eastAsia="zh-CN"/>
                    </w:rPr>
                    <w:t>3</w:t>
                  </w:r>
                </w:p>
              </w:tc>
              <w:tc>
                <w:tcPr>
                  <w:tcW w:w="1378" w:type="pct"/>
                  <w:shd w:val="clear" w:color="auto" w:fill="auto"/>
                  <w:noWrap w:val="0"/>
                  <w:vAlign w:val="center"/>
                </w:tcPr>
                <w:p w14:paraId="0D7333EB">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r>
                    <w:rPr>
                      <w:rFonts w:hint="eastAsia" w:cs="Times New Roman"/>
                      <w:color w:val="auto"/>
                      <w:kern w:val="2"/>
                      <w:sz w:val="21"/>
                      <w:szCs w:val="21"/>
                      <w:highlight w:val="none"/>
                      <w:lang w:val="en-US" w:eastAsia="zh-CN" w:bidi="ar-SA"/>
                    </w:rPr>
                    <w:t>SNCR</w:t>
                  </w:r>
                </w:p>
              </w:tc>
              <w:tc>
                <w:tcPr>
                  <w:tcW w:w="478" w:type="pct"/>
                  <w:shd w:val="clear" w:color="auto" w:fill="auto"/>
                  <w:noWrap w:val="0"/>
                  <w:vAlign w:val="center"/>
                </w:tcPr>
                <w:p w14:paraId="0AF37B28">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w w:val="100"/>
                      <w:kern w:val="2"/>
                      <w:sz w:val="21"/>
                      <w:szCs w:val="21"/>
                      <w:lang w:val="en-US" w:eastAsia="zh-CN" w:bidi="ar-SA"/>
                    </w:rPr>
                  </w:pPr>
                  <w:r>
                    <w:rPr>
                      <w:rFonts w:hint="eastAsia" w:ascii="Times New Roman" w:hAnsi="Times New Roman" w:eastAsia="宋体"/>
                      <w:color w:val="auto"/>
                      <w:w w:val="100"/>
                      <w:sz w:val="21"/>
                      <w:szCs w:val="21"/>
                      <w:lang w:val="en-US" w:eastAsia="zh-CN"/>
                    </w:rPr>
                    <w:t>1</w:t>
                  </w:r>
                </w:p>
              </w:tc>
              <w:tc>
                <w:tcPr>
                  <w:tcW w:w="576" w:type="pct"/>
                  <w:shd w:val="clear" w:color="auto" w:fill="auto"/>
                  <w:noWrap w:val="0"/>
                  <w:vAlign w:val="center"/>
                </w:tcPr>
                <w:p w14:paraId="2AFB6662">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w w:val="100"/>
                      <w:kern w:val="2"/>
                      <w:sz w:val="21"/>
                      <w:szCs w:val="21"/>
                      <w:lang w:val="en-US" w:eastAsia="zh-CN" w:bidi="ar-SA"/>
                    </w:rPr>
                  </w:pPr>
                  <w:r>
                    <w:rPr>
                      <w:rFonts w:hint="eastAsia" w:ascii="Times New Roman" w:hAnsi="Times New Roman" w:eastAsia="宋体"/>
                      <w:color w:val="auto"/>
                      <w:w w:val="100"/>
                      <w:sz w:val="21"/>
                      <w:szCs w:val="21"/>
                      <w:lang w:val="en-US" w:eastAsia="zh-CN"/>
                    </w:rPr>
                    <w:t>套</w:t>
                  </w:r>
                </w:p>
              </w:tc>
              <w:tc>
                <w:tcPr>
                  <w:tcW w:w="2202" w:type="pct"/>
                  <w:shd w:val="clear" w:color="auto" w:fill="auto"/>
                  <w:noWrap w:val="0"/>
                  <w:vAlign w:val="center"/>
                </w:tcPr>
                <w:p w14:paraId="1BE755E8">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w w:val="100"/>
                      <w:kern w:val="2"/>
                      <w:sz w:val="21"/>
                      <w:szCs w:val="21"/>
                      <w:lang w:val="en-US" w:eastAsia="zh-CN" w:bidi="ar-SA"/>
                    </w:rPr>
                  </w:pPr>
                  <w:r>
                    <w:rPr>
                      <w:rFonts w:hint="eastAsia" w:ascii="Times New Roman" w:hAnsi="Times New Roman" w:eastAsia="宋体"/>
                      <w:color w:val="auto"/>
                      <w:w w:val="100"/>
                      <w:sz w:val="21"/>
                      <w:szCs w:val="21"/>
                      <w:lang w:val="en-US" w:eastAsia="zh-CN"/>
                    </w:rPr>
                    <w:t>/</w:t>
                  </w:r>
                </w:p>
              </w:tc>
            </w:tr>
            <w:tr w14:paraId="0F7B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4" w:type="pct"/>
                  <w:shd w:val="clear" w:color="auto" w:fill="auto"/>
                  <w:noWrap w:val="0"/>
                  <w:vAlign w:val="center"/>
                </w:tcPr>
                <w:p w14:paraId="7C8490CC">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color w:val="auto"/>
                      <w:w w:val="100"/>
                      <w:sz w:val="21"/>
                      <w:szCs w:val="21"/>
                      <w:lang w:val="en-US" w:eastAsia="zh-CN"/>
                    </w:rPr>
                    <w:t>4</w:t>
                  </w:r>
                </w:p>
              </w:tc>
              <w:tc>
                <w:tcPr>
                  <w:tcW w:w="1378" w:type="pct"/>
                  <w:shd w:val="clear" w:color="auto" w:fill="auto"/>
                  <w:noWrap w:val="0"/>
                  <w:vAlign w:val="center"/>
                </w:tcPr>
                <w:p w14:paraId="6498CA6C">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color w:val="auto"/>
                      <w:w w:val="100"/>
                      <w:sz w:val="21"/>
                      <w:szCs w:val="21"/>
                      <w:lang w:val="en-US" w:eastAsia="zh-CN"/>
                    </w:rPr>
                    <w:t>烟囱</w:t>
                  </w:r>
                </w:p>
              </w:tc>
              <w:tc>
                <w:tcPr>
                  <w:tcW w:w="478" w:type="pct"/>
                  <w:shd w:val="clear" w:color="auto" w:fill="auto"/>
                  <w:noWrap w:val="0"/>
                  <w:vAlign w:val="center"/>
                </w:tcPr>
                <w:p w14:paraId="2A220E0E">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color w:val="auto"/>
                      <w:w w:val="100"/>
                      <w:sz w:val="21"/>
                      <w:szCs w:val="21"/>
                      <w:lang w:val="en-US" w:eastAsia="zh-CN"/>
                    </w:rPr>
                    <w:t>17</w:t>
                  </w:r>
                </w:p>
              </w:tc>
              <w:tc>
                <w:tcPr>
                  <w:tcW w:w="576" w:type="pct"/>
                  <w:shd w:val="clear" w:color="auto" w:fill="auto"/>
                  <w:noWrap w:val="0"/>
                  <w:vAlign w:val="center"/>
                </w:tcPr>
                <w:p w14:paraId="3CC85484">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olor w:val="auto"/>
                      <w:w w:val="100"/>
                      <w:sz w:val="21"/>
                      <w:szCs w:val="21"/>
                      <w:lang w:val="en-US" w:eastAsia="zh-CN"/>
                    </w:rPr>
                  </w:pPr>
                  <w:r>
                    <w:rPr>
                      <w:rFonts w:hint="eastAsia"/>
                      <w:color w:val="auto"/>
                      <w:w w:val="100"/>
                      <w:sz w:val="21"/>
                      <w:szCs w:val="21"/>
                      <w:lang w:val="en-US" w:eastAsia="zh-CN"/>
                    </w:rPr>
                    <w:t>m</w:t>
                  </w:r>
                </w:p>
              </w:tc>
              <w:tc>
                <w:tcPr>
                  <w:tcW w:w="2202" w:type="pct"/>
                  <w:shd w:val="clear" w:color="auto" w:fill="auto"/>
                  <w:noWrap w:val="0"/>
                  <w:vAlign w:val="center"/>
                </w:tcPr>
                <w:p w14:paraId="1CFB378F">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olor w:val="auto"/>
                      <w:w w:val="100"/>
                      <w:sz w:val="21"/>
                      <w:szCs w:val="21"/>
                      <w:lang w:val="en-US" w:eastAsia="zh-CN"/>
                    </w:rPr>
                  </w:pPr>
                </w:p>
              </w:tc>
            </w:tr>
          </w:tbl>
          <w:p w14:paraId="325A5D97">
            <w:pPr>
              <w:pStyle w:val="114"/>
              <w:keepNext w:val="0"/>
              <w:keepLines w:val="0"/>
              <w:numPr>
                <w:ilvl w:val="0"/>
                <w:numId w:val="0"/>
              </w:numPr>
              <w:suppressLineNumbers w:val="0"/>
              <w:spacing w:before="120" w:beforeLines="50" w:beforeAutospacing="0" w:after="0" w:afterAutospacing="0"/>
              <w:ind w:left="0" w:right="0" w:right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kern w:val="0"/>
                <w:sz w:val="24"/>
                <w:szCs w:val="24"/>
                <w:lang w:val="en-US" w:eastAsia="zh-CN" w:bidi="ar-SA"/>
              </w:rPr>
              <w:t>5</w:t>
            </w:r>
            <w:r>
              <w:rPr>
                <w:rFonts w:hint="default" w:ascii="Times New Roman" w:hAnsi="Times New Roman" w:eastAsia="宋体" w:cs="Times New Roman"/>
                <w:b/>
                <w:bCs/>
                <w:color w:val="auto"/>
                <w:kern w:val="0"/>
                <w:sz w:val="24"/>
                <w:szCs w:val="24"/>
                <w:highlight w:val="none"/>
                <w:lang w:val="en-US" w:eastAsia="zh-CN" w:bidi="ar-SA"/>
              </w:rPr>
              <w:t>、</w:t>
            </w:r>
            <w:r>
              <w:rPr>
                <w:rFonts w:hint="eastAsia" w:ascii="Times New Roman" w:hAnsi="Times New Roman" w:eastAsia="宋体" w:cs="Times New Roman"/>
                <w:b/>
                <w:bCs/>
                <w:color w:val="auto"/>
                <w:sz w:val="24"/>
                <w:szCs w:val="24"/>
                <w:highlight w:val="none"/>
                <w:lang w:val="en-US" w:eastAsia="zh-CN"/>
              </w:rPr>
              <w:t>原辅材料及燃料</w:t>
            </w:r>
          </w:p>
          <w:p w14:paraId="138B8CCD">
            <w:pPr>
              <w:pStyle w:val="114"/>
              <w:keepNext w:val="0"/>
              <w:keepLines w:val="0"/>
              <w:suppressLineNumbers w:val="0"/>
              <w:spacing w:before="0" w:beforeAutospacing="0" w:after="0" w:afterAutospacing="0"/>
              <w:ind w:left="0" w:right="0" w:firstLine="42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本项目生产原辅材料及能源消耗见表2-4。</w:t>
            </w:r>
          </w:p>
          <w:p w14:paraId="5BFC799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w:t>
            </w:r>
            <w:r>
              <w:rPr>
                <w:rFonts w:hint="eastAsia" w:ascii="Times New Roman" w:hAnsi="Times New Roman" w:eastAsia="宋体" w:cs="Times New Roman"/>
                <w:b/>
                <w:color w:val="auto"/>
                <w:szCs w:val="21"/>
                <w:highlight w:val="none"/>
                <w:lang w:val="en-US" w:eastAsia="zh-CN"/>
              </w:rPr>
              <w:t>2-4</w:t>
            </w:r>
            <w:r>
              <w:rPr>
                <w:rFonts w:hint="default" w:ascii="Times New Roman" w:hAnsi="Times New Roman" w:eastAsia="宋体" w:cs="Times New Roman"/>
                <w:b/>
                <w:color w:val="auto"/>
                <w:szCs w:val="21"/>
                <w:highlight w:val="none"/>
              </w:rPr>
              <w:t xml:space="preserve">  主要</w:t>
            </w:r>
            <w:r>
              <w:rPr>
                <w:rFonts w:hint="eastAsia" w:ascii="Times New Roman" w:hAnsi="Times New Roman" w:eastAsia="宋体" w:cs="Times New Roman"/>
                <w:b/>
                <w:color w:val="auto"/>
                <w:szCs w:val="21"/>
                <w:highlight w:val="none"/>
                <w:lang w:val="en-US" w:eastAsia="zh-CN"/>
              </w:rPr>
              <w:t>生产原辅材料及能源消耗一览</w:t>
            </w:r>
            <w:r>
              <w:rPr>
                <w:rFonts w:hint="default" w:ascii="Times New Roman" w:hAnsi="Times New Roman" w:eastAsia="宋体" w:cs="Times New Roman"/>
                <w:b/>
                <w:color w:val="auto"/>
                <w:szCs w:val="21"/>
                <w:highlight w:val="none"/>
              </w:rPr>
              <w:t>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284"/>
              <w:gridCol w:w="1400"/>
              <w:gridCol w:w="3033"/>
              <w:gridCol w:w="1758"/>
            </w:tblGrid>
            <w:tr w14:paraId="2250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51" w:type="dxa"/>
                  <w:noWrap w:val="0"/>
                  <w:vAlign w:val="center"/>
                </w:tcPr>
                <w:p w14:paraId="5E099781">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序号</w:t>
                  </w:r>
                </w:p>
              </w:tc>
              <w:tc>
                <w:tcPr>
                  <w:tcW w:w="1284" w:type="dxa"/>
                  <w:noWrap w:val="0"/>
                  <w:vAlign w:val="center"/>
                </w:tcPr>
                <w:p w14:paraId="0393E3B1">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lang w:val="en-US" w:eastAsia="zh-CN"/>
                    </w:rPr>
                    <w:t>原料</w:t>
                  </w:r>
                  <w:r>
                    <w:rPr>
                      <w:rFonts w:hint="default" w:ascii="Times New Roman" w:hAnsi="Times New Roman" w:eastAsia="宋体" w:cs="Times New Roman"/>
                      <w:b/>
                      <w:color w:val="auto"/>
                      <w:szCs w:val="21"/>
                      <w:highlight w:val="none"/>
                    </w:rPr>
                    <w:t>名称</w:t>
                  </w:r>
                </w:p>
              </w:tc>
              <w:tc>
                <w:tcPr>
                  <w:tcW w:w="1400" w:type="dxa"/>
                  <w:noWrap w:val="0"/>
                  <w:vAlign w:val="center"/>
                </w:tcPr>
                <w:p w14:paraId="76B5A2D3">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Cs w:val="21"/>
                      <w:highlight w:val="none"/>
                      <w:lang w:eastAsia="zh-CN"/>
                    </w:rPr>
                  </w:pPr>
                  <w:r>
                    <w:rPr>
                      <w:rFonts w:hint="eastAsia" w:cs="Times New Roman"/>
                      <w:b/>
                      <w:color w:val="auto"/>
                      <w:szCs w:val="21"/>
                      <w:highlight w:val="none"/>
                      <w:lang w:val="en-US" w:eastAsia="zh-CN"/>
                    </w:rPr>
                    <w:t>单位</w:t>
                  </w:r>
                </w:p>
              </w:tc>
              <w:tc>
                <w:tcPr>
                  <w:tcW w:w="3033" w:type="dxa"/>
                  <w:noWrap w:val="0"/>
                  <w:vAlign w:val="center"/>
                </w:tcPr>
                <w:p w14:paraId="736E8677">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lang w:val="en-US" w:eastAsia="zh-CN"/>
                    </w:rPr>
                  </w:pPr>
                  <w:r>
                    <w:rPr>
                      <w:rFonts w:hint="eastAsia" w:cs="Times New Roman"/>
                      <w:b/>
                      <w:color w:val="auto"/>
                      <w:szCs w:val="21"/>
                      <w:highlight w:val="none"/>
                      <w:lang w:val="en-US" w:eastAsia="zh-CN"/>
                    </w:rPr>
                    <w:t>数量</w:t>
                  </w:r>
                </w:p>
              </w:tc>
              <w:tc>
                <w:tcPr>
                  <w:tcW w:w="1758" w:type="dxa"/>
                  <w:noWrap w:val="0"/>
                  <w:vAlign w:val="center"/>
                </w:tcPr>
                <w:p w14:paraId="0C02B889">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Cs w:val="21"/>
                      <w:highlight w:val="none"/>
                      <w:lang w:eastAsia="zh-CN"/>
                    </w:rPr>
                  </w:pPr>
                  <w:r>
                    <w:rPr>
                      <w:rFonts w:hint="eastAsia" w:ascii="Times New Roman" w:hAnsi="Times New Roman" w:eastAsia="宋体" w:cs="Times New Roman"/>
                      <w:b/>
                      <w:color w:val="auto"/>
                      <w:szCs w:val="21"/>
                      <w:highlight w:val="none"/>
                      <w:lang w:val="en-US" w:eastAsia="zh-CN"/>
                    </w:rPr>
                    <w:t>来源</w:t>
                  </w:r>
                </w:p>
              </w:tc>
            </w:tr>
            <w:tr w14:paraId="73E8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1" w:type="dxa"/>
                  <w:noWrap w:val="0"/>
                  <w:vAlign w:val="center"/>
                </w:tcPr>
                <w:p w14:paraId="6559043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1284" w:type="dxa"/>
                  <w:noWrap w:val="0"/>
                  <w:vAlign w:val="center"/>
                </w:tcPr>
                <w:p w14:paraId="054914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新鲜水</w:t>
                  </w:r>
                </w:p>
              </w:tc>
              <w:tc>
                <w:tcPr>
                  <w:tcW w:w="1400" w:type="dxa"/>
                  <w:noWrap w:val="0"/>
                  <w:vAlign w:val="center"/>
                </w:tcPr>
                <w:p w14:paraId="0A2E410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m</w:t>
                  </w:r>
                  <w:r>
                    <w:rPr>
                      <w:rFonts w:hint="eastAsia" w:cs="Times New Roman"/>
                      <w:color w:val="auto"/>
                      <w:kern w:val="2"/>
                      <w:sz w:val="21"/>
                      <w:szCs w:val="21"/>
                      <w:highlight w:val="none"/>
                      <w:vertAlign w:val="superscript"/>
                      <w:lang w:val="en-US" w:eastAsia="zh-CN" w:bidi="ar-SA"/>
                    </w:rPr>
                    <w:t>3</w:t>
                  </w:r>
                  <w:r>
                    <w:rPr>
                      <w:rFonts w:hint="eastAsia" w:cs="Times New Roman"/>
                      <w:color w:val="auto"/>
                      <w:kern w:val="2"/>
                      <w:sz w:val="21"/>
                      <w:szCs w:val="21"/>
                      <w:highlight w:val="none"/>
                      <w:lang w:val="en-US" w:eastAsia="zh-CN" w:bidi="ar-SA"/>
                    </w:rPr>
                    <w:t>/a</w:t>
                  </w:r>
                </w:p>
              </w:tc>
              <w:tc>
                <w:tcPr>
                  <w:tcW w:w="3033" w:type="dxa"/>
                  <w:noWrap w:val="0"/>
                  <w:vAlign w:val="center"/>
                </w:tcPr>
                <w:p w14:paraId="135DEE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290</w:t>
                  </w:r>
                </w:p>
              </w:tc>
              <w:tc>
                <w:tcPr>
                  <w:tcW w:w="1758" w:type="dxa"/>
                  <w:noWrap w:val="0"/>
                  <w:vAlign w:val="center"/>
                </w:tcPr>
                <w:p w14:paraId="5E487CA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lang w:val="en-US" w:eastAsia="zh-CN"/>
                    </w:rPr>
                    <w:t>运营期接入市政供水管网</w:t>
                  </w:r>
                </w:p>
              </w:tc>
            </w:tr>
            <w:tr w14:paraId="19D7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1" w:type="dxa"/>
                  <w:noWrap w:val="0"/>
                  <w:vAlign w:val="center"/>
                </w:tcPr>
                <w:p w14:paraId="42CD1F0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c>
                <w:tcPr>
                  <w:tcW w:w="1284" w:type="dxa"/>
                  <w:noWrap w:val="0"/>
                  <w:vAlign w:val="center"/>
                </w:tcPr>
                <w:p w14:paraId="4EDA08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生物质颗粒</w:t>
                  </w:r>
                </w:p>
              </w:tc>
              <w:tc>
                <w:tcPr>
                  <w:tcW w:w="1400" w:type="dxa"/>
                  <w:noWrap w:val="0"/>
                  <w:vAlign w:val="center"/>
                </w:tcPr>
                <w:p w14:paraId="533F267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t/a</w:t>
                  </w:r>
                </w:p>
              </w:tc>
              <w:tc>
                <w:tcPr>
                  <w:tcW w:w="3033" w:type="dxa"/>
                  <w:noWrap w:val="0"/>
                  <w:vAlign w:val="center"/>
                </w:tcPr>
                <w:p w14:paraId="5CBFE2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3000</w:t>
                  </w:r>
                </w:p>
              </w:tc>
              <w:tc>
                <w:tcPr>
                  <w:tcW w:w="1758" w:type="dxa"/>
                  <w:noWrap w:val="0"/>
                  <w:vAlign w:val="center"/>
                </w:tcPr>
                <w:p w14:paraId="2F8996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周边收购</w:t>
                  </w:r>
                </w:p>
              </w:tc>
            </w:tr>
            <w:tr w14:paraId="6BB1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1" w:type="dxa"/>
                  <w:noWrap w:val="0"/>
                  <w:vAlign w:val="center"/>
                </w:tcPr>
                <w:p w14:paraId="2E6455E0">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w:t>
                  </w:r>
                </w:p>
              </w:tc>
              <w:tc>
                <w:tcPr>
                  <w:tcW w:w="1284" w:type="dxa"/>
                  <w:noWrap w:val="0"/>
                  <w:vAlign w:val="center"/>
                </w:tcPr>
                <w:p w14:paraId="56927796">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玉米</w:t>
                  </w:r>
                </w:p>
              </w:tc>
              <w:tc>
                <w:tcPr>
                  <w:tcW w:w="1400" w:type="dxa"/>
                  <w:noWrap w:val="0"/>
                  <w:vAlign w:val="center"/>
                </w:tcPr>
                <w:p w14:paraId="19668FFD">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万t/a</w:t>
                  </w:r>
                </w:p>
              </w:tc>
              <w:tc>
                <w:tcPr>
                  <w:tcW w:w="3033" w:type="dxa"/>
                  <w:noWrap w:val="0"/>
                  <w:vAlign w:val="center"/>
                </w:tcPr>
                <w:p w14:paraId="3E1AAE3F">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12.3（含水率20~30%）</w:t>
                  </w:r>
                </w:p>
              </w:tc>
              <w:tc>
                <w:tcPr>
                  <w:tcW w:w="1758" w:type="dxa"/>
                  <w:noWrap w:val="0"/>
                  <w:vAlign w:val="center"/>
                </w:tcPr>
                <w:p w14:paraId="7E0BDD7D">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周边收购</w:t>
                  </w:r>
                </w:p>
              </w:tc>
            </w:tr>
            <w:tr w14:paraId="220A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51" w:type="dxa"/>
                  <w:noWrap w:val="0"/>
                  <w:vAlign w:val="center"/>
                </w:tcPr>
                <w:p w14:paraId="17D15717">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w:t>
                  </w:r>
                </w:p>
              </w:tc>
              <w:tc>
                <w:tcPr>
                  <w:tcW w:w="1284" w:type="dxa"/>
                  <w:noWrap w:val="0"/>
                  <w:vAlign w:val="center"/>
                </w:tcPr>
                <w:p w14:paraId="13E2424C">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尿素</w:t>
                  </w:r>
                </w:p>
              </w:tc>
              <w:tc>
                <w:tcPr>
                  <w:tcW w:w="1400" w:type="dxa"/>
                  <w:noWrap w:val="0"/>
                  <w:vAlign w:val="center"/>
                </w:tcPr>
                <w:p w14:paraId="0D8EA1E4">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t/a</w:t>
                  </w:r>
                </w:p>
              </w:tc>
              <w:tc>
                <w:tcPr>
                  <w:tcW w:w="3033" w:type="dxa"/>
                  <w:noWrap w:val="0"/>
                  <w:vAlign w:val="center"/>
                </w:tcPr>
                <w:p w14:paraId="5E545350">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w:t>
                  </w:r>
                </w:p>
              </w:tc>
              <w:tc>
                <w:tcPr>
                  <w:tcW w:w="1758" w:type="dxa"/>
                  <w:noWrap w:val="0"/>
                  <w:vAlign w:val="center"/>
                </w:tcPr>
                <w:p w14:paraId="4F397184">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市场购买</w:t>
                  </w:r>
                </w:p>
              </w:tc>
            </w:tr>
          </w:tbl>
          <w:p w14:paraId="17DBEC8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尿素，又称碳酰胺（carbamide</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是由碳、氮、氧、氢组成的有机化合物是一种白色晶体。最简单的有机化合物之一，是哺乳动物和某些鱼类体内蛋白质代谢分解的主要含氮终产物。性状：无色或白色针状或棒状结晶体，工业或农业品为白色略带微红色固体颗粒，无臭无味。含氮量约为46.67%。沸点：196.6°Cat760mmHg。闪点：72.7°C。密度：1.335。熔点：132.7℃。水溶性：1080g/L（20℃）。溶解性：溶于水、甲醇、甲醛、乙醇、液氨和醇，微溶于乙醚、氯仿、苯。弱碱性。可用于燃烧废气脱硝的选择性还原剂，将烟气中的NOx还原脱除，生成氮气和水。</w:t>
            </w:r>
          </w:p>
          <w:p w14:paraId="2FA6B9D9">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eastAsia="宋体"/>
                <w:color w:val="auto"/>
                <w:sz w:val="24"/>
                <w:highlight w:val="none"/>
                <w:lang w:val="en-US" w:eastAsia="zh-CN"/>
              </w:rPr>
            </w:pPr>
            <w:r>
              <w:rPr>
                <w:rFonts w:hint="eastAsia" w:ascii="Times New Roman" w:hAnsi="Times New Roman"/>
                <w:color w:val="auto"/>
                <w:sz w:val="24"/>
                <w:lang w:val="en-US" w:eastAsia="zh-CN"/>
              </w:rPr>
              <w:t>（2）</w:t>
            </w:r>
            <w:r>
              <w:rPr>
                <w:rFonts w:hint="eastAsia" w:ascii="Times New Roman" w:hAnsi="Times New Roman" w:eastAsia="宋体"/>
                <w:color w:val="auto"/>
                <w:sz w:val="24"/>
                <w:lang w:val="en-US" w:eastAsia="zh-CN"/>
              </w:rPr>
              <w:t>生物质颗粒燃料具体成分分析见</w:t>
            </w:r>
            <w:r>
              <w:rPr>
                <w:rFonts w:hint="eastAsia" w:ascii="Times New Roman" w:hAnsi="Times New Roman" w:eastAsia="宋体"/>
                <w:color w:val="auto"/>
                <w:sz w:val="24"/>
                <w:highlight w:val="none"/>
                <w:lang w:val="en-US" w:eastAsia="zh-CN"/>
              </w:rPr>
              <w:t>表</w:t>
            </w:r>
            <w:r>
              <w:rPr>
                <w:rFonts w:hint="eastAsia" w:ascii="Times New Roman" w:hAnsi="Times New Roman"/>
                <w:color w:val="auto"/>
                <w:sz w:val="24"/>
                <w:highlight w:val="none"/>
                <w:lang w:val="en-US" w:eastAsia="zh-CN"/>
              </w:rPr>
              <w:t>2-5</w:t>
            </w:r>
            <w:r>
              <w:rPr>
                <w:rFonts w:hint="eastAsia"/>
                <w:color w:val="auto"/>
                <w:sz w:val="24"/>
                <w:highlight w:val="none"/>
                <w:lang w:val="en-US" w:eastAsia="zh-CN"/>
              </w:rPr>
              <w:t>，</w:t>
            </w:r>
            <w:r>
              <w:rPr>
                <w:rFonts w:hint="eastAsia"/>
                <w:color w:val="auto"/>
                <w:sz w:val="24"/>
                <w:lang w:val="en-US" w:eastAsia="zh-CN"/>
              </w:rPr>
              <w:t>生物质颗粒检测报告详见</w:t>
            </w:r>
            <w:r>
              <w:rPr>
                <w:rFonts w:hint="eastAsia"/>
                <w:b/>
                <w:bCs/>
                <w:color w:val="auto"/>
                <w:sz w:val="24"/>
                <w:highlight w:val="none"/>
                <w:lang w:val="en-US" w:eastAsia="zh-CN"/>
              </w:rPr>
              <w:t>附件三</w:t>
            </w:r>
            <w:r>
              <w:rPr>
                <w:rFonts w:hint="eastAsia" w:ascii="Times New Roman" w:hAnsi="Times New Roman" w:eastAsia="宋体"/>
                <w:color w:val="auto"/>
                <w:sz w:val="24"/>
                <w:highlight w:val="none"/>
                <w:lang w:val="en-US" w:eastAsia="zh-CN"/>
              </w:rPr>
              <w:t>。</w:t>
            </w:r>
          </w:p>
          <w:p w14:paraId="103C00D6">
            <w:pPr>
              <w:pStyle w:val="2"/>
              <w:keepNext w:val="0"/>
              <w:keepLines w:val="0"/>
              <w:suppressLineNumbers w:val="0"/>
              <w:spacing w:before="0" w:beforeAutospacing="0" w:after="0" w:afterAutospacing="0"/>
              <w:ind w:left="0" w:right="0"/>
              <w:jc w:val="center"/>
              <w:rPr>
                <w:rFonts w:hint="eastAsia" w:ascii="Times New Roman" w:hAnsi="Times New Roman" w:eastAsia="宋体"/>
                <w:b/>
                <w:bCs/>
                <w:color w:val="auto"/>
                <w:sz w:val="21"/>
                <w:szCs w:val="21"/>
                <w:highlight w:val="none"/>
                <w:lang w:val="en-US" w:eastAsia="zh-CN"/>
              </w:rPr>
            </w:pPr>
            <w:r>
              <w:rPr>
                <w:rFonts w:hint="eastAsia" w:ascii="Times New Roman" w:hAnsi="Times New Roman" w:eastAsia="宋体"/>
                <w:b/>
                <w:bCs/>
                <w:color w:val="auto"/>
                <w:sz w:val="21"/>
                <w:szCs w:val="21"/>
                <w:highlight w:val="none"/>
              </w:rPr>
              <w:t>表</w:t>
            </w:r>
            <w:r>
              <w:rPr>
                <w:rFonts w:hint="eastAsia" w:ascii="Times New Roman" w:hAnsi="Times New Roman"/>
                <w:b/>
                <w:bCs/>
                <w:color w:val="auto"/>
                <w:sz w:val="21"/>
                <w:szCs w:val="21"/>
                <w:highlight w:val="none"/>
                <w:lang w:val="en-US" w:eastAsia="zh-CN"/>
              </w:rPr>
              <w:t>2-5</w:t>
            </w:r>
            <w:r>
              <w:rPr>
                <w:rFonts w:hint="eastAsia" w:ascii="Times New Roman" w:hAnsi="Times New Roman" w:eastAsia="宋体"/>
                <w:b/>
                <w:bCs/>
                <w:color w:val="auto"/>
                <w:sz w:val="21"/>
                <w:szCs w:val="21"/>
                <w:highlight w:val="none"/>
              </w:rPr>
              <w:t xml:space="preserve">  </w:t>
            </w:r>
            <w:r>
              <w:rPr>
                <w:rFonts w:hint="eastAsia" w:ascii="Times New Roman" w:hAnsi="Times New Roman" w:eastAsia="宋体"/>
                <w:b/>
                <w:bCs/>
                <w:color w:val="auto"/>
                <w:sz w:val="21"/>
                <w:szCs w:val="21"/>
                <w:highlight w:val="none"/>
                <w:lang w:val="en-US" w:eastAsia="zh-CN"/>
              </w:rPr>
              <w:t>生物质颗粒燃料成</w:t>
            </w:r>
            <w:r>
              <w:rPr>
                <w:rFonts w:hint="eastAsia" w:ascii="Times New Roman" w:hAnsi="Times New Roman"/>
                <w:b/>
                <w:bCs/>
                <w:color w:val="auto"/>
                <w:sz w:val="21"/>
                <w:szCs w:val="21"/>
                <w:highlight w:val="none"/>
                <w:lang w:val="en-US" w:eastAsia="zh-CN"/>
              </w:rPr>
              <w:t>分</w:t>
            </w:r>
            <w:r>
              <w:rPr>
                <w:rFonts w:hint="eastAsia" w:ascii="Times New Roman" w:hAnsi="Times New Roman" w:eastAsia="宋体"/>
                <w:b/>
                <w:bCs/>
                <w:color w:val="auto"/>
                <w:sz w:val="21"/>
                <w:szCs w:val="21"/>
                <w:highlight w:val="none"/>
                <w:lang w:val="en-US" w:eastAsia="zh-CN"/>
              </w:rPr>
              <w:t>分析表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4"/>
              <w:gridCol w:w="1480"/>
              <w:gridCol w:w="1555"/>
              <w:gridCol w:w="1870"/>
            </w:tblGrid>
            <w:tr w14:paraId="7118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5BA54324">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项目</w:t>
                  </w:r>
                </w:p>
              </w:tc>
              <w:tc>
                <w:tcPr>
                  <w:tcW w:w="897" w:type="pct"/>
                </w:tcPr>
                <w:p w14:paraId="70BDEF65">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符号</w:t>
                  </w:r>
                </w:p>
              </w:tc>
              <w:tc>
                <w:tcPr>
                  <w:tcW w:w="942" w:type="pct"/>
                </w:tcPr>
                <w:p w14:paraId="3A893C61">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单位</w:t>
                  </w:r>
                </w:p>
              </w:tc>
              <w:tc>
                <w:tcPr>
                  <w:tcW w:w="1133" w:type="pct"/>
                </w:tcPr>
                <w:p w14:paraId="2E6FBC52">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检测结果</w:t>
                  </w:r>
                </w:p>
              </w:tc>
            </w:tr>
            <w:tr w14:paraId="6479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040C19FB">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收到基全硫</w:t>
                  </w:r>
                </w:p>
              </w:tc>
              <w:tc>
                <w:tcPr>
                  <w:tcW w:w="897" w:type="pct"/>
                </w:tcPr>
                <w:p w14:paraId="09EE2C3D">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S</w:t>
                  </w:r>
                  <w:r>
                    <w:rPr>
                      <w:rFonts w:hint="eastAsia"/>
                      <w:b w:val="0"/>
                      <w:bCs w:val="0"/>
                      <w:color w:val="auto"/>
                      <w:sz w:val="21"/>
                      <w:szCs w:val="21"/>
                      <w:highlight w:val="none"/>
                      <w:vertAlign w:val="subscript"/>
                      <w:lang w:val="en-US" w:eastAsia="zh-CN"/>
                    </w:rPr>
                    <w:t>t，ar</w:t>
                  </w:r>
                </w:p>
              </w:tc>
              <w:tc>
                <w:tcPr>
                  <w:tcW w:w="942" w:type="pct"/>
                </w:tcPr>
                <w:p w14:paraId="7D65ACF9">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5A27C702">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0.032</w:t>
                  </w:r>
                </w:p>
              </w:tc>
            </w:tr>
            <w:tr w14:paraId="6BAF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2A596952">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干基全硫</w:t>
                  </w:r>
                </w:p>
              </w:tc>
              <w:tc>
                <w:tcPr>
                  <w:tcW w:w="897" w:type="pct"/>
                </w:tcPr>
                <w:p w14:paraId="752D3B81">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S</w:t>
                  </w:r>
                  <w:r>
                    <w:rPr>
                      <w:rFonts w:hint="eastAsia"/>
                      <w:b w:val="0"/>
                      <w:bCs w:val="0"/>
                      <w:color w:val="auto"/>
                      <w:sz w:val="21"/>
                      <w:szCs w:val="21"/>
                      <w:highlight w:val="none"/>
                      <w:vertAlign w:val="subscript"/>
                      <w:lang w:val="en-US" w:eastAsia="zh-CN"/>
                    </w:rPr>
                    <w:t>t.d</w:t>
                  </w:r>
                </w:p>
              </w:tc>
              <w:tc>
                <w:tcPr>
                  <w:tcW w:w="942" w:type="pct"/>
                </w:tcPr>
                <w:p w14:paraId="19500466">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5919C183">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0.033</w:t>
                  </w:r>
                </w:p>
              </w:tc>
            </w:tr>
            <w:tr w14:paraId="6BD0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16FC90C4">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空干基灰分</w:t>
                  </w:r>
                </w:p>
              </w:tc>
              <w:tc>
                <w:tcPr>
                  <w:tcW w:w="897" w:type="pct"/>
                </w:tcPr>
                <w:p w14:paraId="5863CCB9">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Aad</w:t>
                  </w:r>
                </w:p>
              </w:tc>
              <w:tc>
                <w:tcPr>
                  <w:tcW w:w="942" w:type="pct"/>
                </w:tcPr>
                <w:p w14:paraId="1F10DE21">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61377373">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3.26</w:t>
                  </w:r>
                </w:p>
              </w:tc>
            </w:tr>
            <w:tr w14:paraId="1386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6FF9AF6D">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干基灰分</w:t>
                  </w:r>
                </w:p>
              </w:tc>
              <w:tc>
                <w:tcPr>
                  <w:tcW w:w="897" w:type="pct"/>
                </w:tcPr>
                <w:p w14:paraId="0A0AE541">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Ad</w:t>
                  </w:r>
                </w:p>
              </w:tc>
              <w:tc>
                <w:tcPr>
                  <w:tcW w:w="942" w:type="pct"/>
                </w:tcPr>
                <w:p w14:paraId="2CFA43EF">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6D3FFBC9">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3.35</w:t>
                  </w:r>
                </w:p>
              </w:tc>
            </w:tr>
            <w:tr w14:paraId="2A45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3730394B">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空干基挥发分</w:t>
                  </w:r>
                </w:p>
              </w:tc>
              <w:tc>
                <w:tcPr>
                  <w:tcW w:w="897" w:type="pct"/>
                </w:tcPr>
                <w:p w14:paraId="6A691645">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Vad</w:t>
                  </w:r>
                </w:p>
              </w:tc>
              <w:tc>
                <w:tcPr>
                  <w:tcW w:w="942" w:type="pct"/>
                </w:tcPr>
                <w:p w14:paraId="73568AE5">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7283E2AF">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73.63</w:t>
                  </w:r>
                </w:p>
              </w:tc>
            </w:tr>
            <w:tr w14:paraId="5EA9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7AA85BC1">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干燥无灰基挥发分</w:t>
                  </w:r>
                </w:p>
              </w:tc>
              <w:tc>
                <w:tcPr>
                  <w:tcW w:w="897" w:type="pct"/>
                </w:tcPr>
                <w:p w14:paraId="31A488B8">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Vdaf</w:t>
                  </w:r>
                </w:p>
              </w:tc>
              <w:tc>
                <w:tcPr>
                  <w:tcW w:w="942" w:type="pct"/>
                </w:tcPr>
                <w:p w14:paraId="44FC4183">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650CF755">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78.18</w:t>
                  </w:r>
                </w:p>
              </w:tc>
            </w:tr>
            <w:tr w14:paraId="7364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3BFF60F8">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空干基固定碳</w:t>
                  </w:r>
                </w:p>
              </w:tc>
              <w:tc>
                <w:tcPr>
                  <w:tcW w:w="897" w:type="pct"/>
                </w:tcPr>
                <w:p w14:paraId="580A5F96">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FC</w:t>
                  </w:r>
                  <w:r>
                    <w:rPr>
                      <w:rFonts w:hint="eastAsia"/>
                      <w:b w:val="0"/>
                      <w:bCs w:val="0"/>
                      <w:color w:val="auto"/>
                      <w:sz w:val="21"/>
                      <w:szCs w:val="21"/>
                      <w:highlight w:val="none"/>
                      <w:vertAlign w:val="subscript"/>
                      <w:lang w:val="en-US" w:eastAsia="zh-CN"/>
                    </w:rPr>
                    <w:t>ad</w:t>
                  </w:r>
                </w:p>
              </w:tc>
              <w:tc>
                <w:tcPr>
                  <w:tcW w:w="942" w:type="pct"/>
                </w:tcPr>
                <w:p w14:paraId="263894F5">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24C1F63D">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20.55</w:t>
                  </w:r>
                </w:p>
              </w:tc>
            </w:tr>
            <w:tr w14:paraId="0A20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2EC2F52F">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干基固定碳</w:t>
                  </w:r>
                </w:p>
              </w:tc>
              <w:tc>
                <w:tcPr>
                  <w:tcW w:w="897" w:type="pct"/>
                </w:tcPr>
                <w:p w14:paraId="5540A168">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FC</w:t>
                  </w:r>
                  <w:r>
                    <w:rPr>
                      <w:rFonts w:hint="eastAsia"/>
                      <w:b w:val="0"/>
                      <w:bCs w:val="0"/>
                      <w:color w:val="auto"/>
                      <w:sz w:val="21"/>
                      <w:szCs w:val="21"/>
                      <w:highlight w:val="none"/>
                      <w:vertAlign w:val="subscript"/>
                      <w:lang w:val="en-US" w:eastAsia="zh-CN"/>
                    </w:rPr>
                    <w:t>d</w:t>
                  </w:r>
                </w:p>
              </w:tc>
              <w:tc>
                <w:tcPr>
                  <w:tcW w:w="942" w:type="pct"/>
                </w:tcPr>
                <w:p w14:paraId="13351774">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0459022C">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21.09</w:t>
                  </w:r>
                </w:p>
              </w:tc>
            </w:tr>
            <w:tr w14:paraId="37FC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381D59A7">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全水</w:t>
                  </w:r>
                </w:p>
              </w:tc>
              <w:tc>
                <w:tcPr>
                  <w:tcW w:w="897" w:type="pct"/>
                </w:tcPr>
                <w:p w14:paraId="7C79138D">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Mt</w:t>
                  </w:r>
                </w:p>
              </w:tc>
              <w:tc>
                <w:tcPr>
                  <w:tcW w:w="942" w:type="pct"/>
                </w:tcPr>
                <w:p w14:paraId="7BDE935A">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0FAA1A08">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3.42</w:t>
                  </w:r>
                </w:p>
              </w:tc>
            </w:tr>
            <w:tr w14:paraId="5E01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3F116CEC">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空气干燥基水分</w:t>
                  </w:r>
                </w:p>
              </w:tc>
              <w:tc>
                <w:tcPr>
                  <w:tcW w:w="897" w:type="pct"/>
                </w:tcPr>
                <w:p w14:paraId="301BA9BF">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M</w:t>
                  </w:r>
                  <w:r>
                    <w:rPr>
                      <w:rFonts w:hint="eastAsia"/>
                      <w:b w:val="0"/>
                      <w:bCs w:val="0"/>
                      <w:color w:val="auto"/>
                      <w:sz w:val="21"/>
                      <w:szCs w:val="21"/>
                      <w:highlight w:val="none"/>
                      <w:vertAlign w:val="subscript"/>
                      <w:lang w:val="en-US" w:eastAsia="zh-CN"/>
                    </w:rPr>
                    <w:t>ad</w:t>
                  </w:r>
                </w:p>
              </w:tc>
              <w:tc>
                <w:tcPr>
                  <w:tcW w:w="942" w:type="pct"/>
                </w:tcPr>
                <w:p w14:paraId="5271C03C">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76BE3F33">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2.56</w:t>
                  </w:r>
                </w:p>
              </w:tc>
            </w:tr>
            <w:tr w14:paraId="0538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77236B93">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焦渣特征</w:t>
                  </w:r>
                </w:p>
              </w:tc>
              <w:tc>
                <w:tcPr>
                  <w:tcW w:w="897" w:type="pct"/>
                </w:tcPr>
                <w:p w14:paraId="116EA016">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CRC</w:t>
                  </w:r>
                </w:p>
              </w:tc>
              <w:tc>
                <w:tcPr>
                  <w:tcW w:w="942" w:type="pct"/>
                </w:tcPr>
                <w:p w14:paraId="25AB0AF9">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w:t>
                  </w:r>
                </w:p>
              </w:tc>
              <w:tc>
                <w:tcPr>
                  <w:tcW w:w="1133" w:type="pct"/>
                </w:tcPr>
                <w:p w14:paraId="451751E1">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2</w:t>
                  </w:r>
                </w:p>
              </w:tc>
            </w:tr>
            <w:tr w14:paraId="125C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5620ADAF">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收到基低位热量</w:t>
                  </w:r>
                </w:p>
              </w:tc>
              <w:tc>
                <w:tcPr>
                  <w:tcW w:w="897" w:type="pct"/>
                </w:tcPr>
                <w:p w14:paraId="78F88C33">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Qnet.ar</w:t>
                  </w:r>
                </w:p>
              </w:tc>
              <w:tc>
                <w:tcPr>
                  <w:tcW w:w="942" w:type="pct"/>
                </w:tcPr>
                <w:p w14:paraId="15FCB496">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Kcal/kg</w:t>
                  </w:r>
                </w:p>
              </w:tc>
              <w:tc>
                <w:tcPr>
                  <w:tcW w:w="1133" w:type="pct"/>
                </w:tcPr>
                <w:p w14:paraId="6F777BB8">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4137</w:t>
                  </w:r>
                </w:p>
              </w:tc>
            </w:tr>
            <w:tr w14:paraId="35DB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7FC80C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收到基高位热量</w:t>
                  </w:r>
                </w:p>
              </w:tc>
              <w:tc>
                <w:tcPr>
                  <w:tcW w:w="897" w:type="pct"/>
                </w:tcPr>
                <w:p w14:paraId="6A234C62">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Qgr.ar</w:t>
                  </w:r>
                </w:p>
              </w:tc>
              <w:tc>
                <w:tcPr>
                  <w:tcW w:w="942" w:type="pct"/>
                </w:tcPr>
                <w:p w14:paraId="73BB24F5">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Kcal/kg</w:t>
                  </w:r>
                </w:p>
              </w:tc>
              <w:tc>
                <w:tcPr>
                  <w:tcW w:w="1133" w:type="pct"/>
                </w:tcPr>
                <w:p w14:paraId="7BD1A7F5">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4172</w:t>
                  </w:r>
                </w:p>
              </w:tc>
            </w:tr>
            <w:tr w14:paraId="7B56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69F398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空干基高位热量</w:t>
                  </w:r>
                </w:p>
              </w:tc>
              <w:tc>
                <w:tcPr>
                  <w:tcW w:w="897" w:type="pct"/>
                </w:tcPr>
                <w:p w14:paraId="2805826B">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Qgr.ad</w:t>
                  </w:r>
                </w:p>
              </w:tc>
              <w:tc>
                <w:tcPr>
                  <w:tcW w:w="942" w:type="pct"/>
                </w:tcPr>
                <w:p w14:paraId="1620905A">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Kcal/kg</w:t>
                  </w:r>
                </w:p>
              </w:tc>
              <w:tc>
                <w:tcPr>
                  <w:tcW w:w="1133" w:type="pct"/>
                </w:tcPr>
                <w:p w14:paraId="40D82D85">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4385</w:t>
                  </w:r>
                </w:p>
              </w:tc>
            </w:tr>
            <w:tr w14:paraId="33FA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tcPr>
                <w:p w14:paraId="0A519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干基高位热量</w:t>
                  </w:r>
                </w:p>
              </w:tc>
              <w:tc>
                <w:tcPr>
                  <w:tcW w:w="897" w:type="pct"/>
                </w:tcPr>
                <w:p w14:paraId="41B0FE8D">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Qga.d</w:t>
                  </w:r>
                </w:p>
              </w:tc>
              <w:tc>
                <w:tcPr>
                  <w:tcW w:w="942" w:type="pct"/>
                </w:tcPr>
                <w:p w14:paraId="240B3E94">
                  <w:pPr>
                    <w:keepNext w:val="0"/>
                    <w:keepLines w:val="0"/>
                    <w:suppressLineNumbers w:val="0"/>
                    <w:spacing w:before="0" w:beforeAutospacing="0" w:after="0" w:afterAutospacing="0"/>
                    <w:ind w:left="0" w:right="0"/>
                    <w:jc w:val="center"/>
                    <w:rPr>
                      <w:rFonts w:hint="eastAsia"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Kcal/kg</w:t>
                  </w:r>
                </w:p>
              </w:tc>
              <w:tc>
                <w:tcPr>
                  <w:tcW w:w="1133" w:type="pct"/>
                </w:tcPr>
                <w:p w14:paraId="5151B175">
                  <w:pPr>
                    <w:keepNext w:val="0"/>
                    <w:keepLines w:val="0"/>
                    <w:suppressLineNumbers w:val="0"/>
                    <w:spacing w:before="0" w:beforeAutospacing="0" w:after="0" w:afterAutospacing="0"/>
                    <w:ind w:left="0" w:right="0"/>
                    <w:jc w:val="center"/>
                    <w:rPr>
                      <w:rFonts w:hint="default" w:ascii="Times New Roman" w:hAnsi="Times New Roman"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4516</w:t>
                  </w:r>
                </w:p>
              </w:tc>
            </w:tr>
          </w:tbl>
          <w:p w14:paraId="0936C622">
            <w:pPr>
              <w:keepNext w:val="0"/>
              <w:keepLines w:val="0"/>
              <w:widowControl/>
              <w:suppressLineNumbers w:val="0"/>
              <w:spacing w:before="0" w:beforeAutospacing="0" w:after="0" w:afterAutospacing="0"/>
              <w:ind w:left="0" w:right="0"/>
              <w:jc w:val="left"/>
              <w:rPr>
                <w:rFonts w:hint="eastAsia" w:ascii="Times New Roman" w:hAnsi="Times New Roman" w:eastAsia="宋体" w:cs="宋体"/>
                <w:b w:val="0"/>
                <w:bCs w:val="0"/>
                <w:color w:val="auto"/>
                <w:kern w:val="0"/>
                <w:sz w:val="18"/>
                <w:szCs w:val="18"/>
                <w:lang w:val="en-US" w:eastAsia="zh-CN" w:bidi="ar"/>
              </w:rPr>
            </w:pPr>
            <w:r>
              <w:rPr>
                <w:rFonts w:hint="eastAsia" w:ascii="Times New Roman" w:hAnsi="Times New Roman" w:eastAsia="宋体" w:cs="宋体"/>
                <w:b w:val="0"/>
                <w:bCs w:val="0"/>
                <w:color w:val="auto"/>
                <w:kern w:val="0"/>
                <w:sz w:val="18"/>
                <w:szCs w:val="18"/>
                <w:lang w:val="en-US" w:eastAsia="zh-CN" w:bidi="ar"/>
              </w:rPr>
              <w:t>注：上表生物质燃料成分分析数据参考</w:t>
            </w:r>
            <w:r>
              <w:rPr>
                <w:rFonts w:hint="eastAsia" w:cs="宋体"/>
                <w:b w:val="0"/>
                <w:bCs w:val="0"/>
                <w:color w:val="auto"/>
                <w:kern w:val="0"/>
                <w:sz w:val="18"/>
                <w:szCs w:val="18"/>
                <w:lang w:val="en-US" w:eastAsia="zh-CN" w:bidi="ar"/>
              </w:rPr>
              <w:t>建设单位提供检测报告</w:t>
            </w:r>
            <w:r>
              <w:rPr>
                <w:rFonts w:hint="eastAsia" w:ascii="Times New Roman" w:hAnsi="Times New Roman" w:eastAsia="宋体" w:cs="宋体"/>
                <w:b w:val="0"/>
                <w:bCs w:val="0"/>
                <w:color w:val="auto"/>
                <w:kern w:val="0"/>
                <w:sz w:val="18"/>
                <w:szCs w:val="18"/>
                <w:lang w:val="en-US" w:eastAsia="zh-CN" w:bidi="ar"/>
              </w:rPr>
              <w:t>。</w:t>
            </w:r>
          </w:p>
          <w:p w14:paraId="13C4E71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（3）</w:t>
            </w:r>
            <w:r>
              <w:rPr>
                <w:rFonts w:hint="default" w:ascii="Times New Roman" w:hAnsi="Times New Roman" w:eastAsia="宋体" w:cs="Times New Roman"/>
                <w:bCs/>
                <w:color w:val="auto"/>
                <w:sz w:val="24"/>
                <w:highlight w:val="none"/>
                <w:lang w:val="en-US" w:eastAsia="zh-CN"/>
              </w:rPr>
              <w:t>产品质量指标</w:t>
            </w:r>
          </w:p>
          <w:p w14:paraId="3328415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本项目产品为玉米，执行《玉米》（GB</w:t>
            </w:r>
            <w:r>
              <w:rPr>
                <w:rFonts w:hint="eastAsia" w:ascii="Times New Roman" w:hAnsi="Times New Roman" w:eastAsia="宋体" w:cs="Times New Roman"/>
                <w:bCs/>
                <w:color w:val="auto"/>
                <w:sz w:val="24"/>
                <w:highlight w:val="none"/>
                <w:lang w:val="en-US" w:eastAsia="zh-CN"/>
              </w:rPr>
              <w:t xml:space="preserve"> </w:t>
            </w:r>
            <w:r>
              <w:rPr>
                <w:rFonts w:hint="default" w:ascii="Times New Roman" w:hAnsi="Times New Roman" w:eastAsia="宋体" w:cs="Times New Roman"/>
                <w:bCs/>
                <w:color w:val="auto"/>
                <w:sz w:val="24"/>
                <w:highlight w:val="none"/>
                <w:lang w:val="en-US" w:eastAsia="zh-CN"/>
              </w:rPr>
              <w:t>1353-1999），项目产品质量指标见下表2-</w:t>
            </w:r>
            <w:r>
              <w:rPr>
                <w:rFonts w:hint="eastAsia" w:cs="Times New Roman"/>
                <w:bCs/>
                <w:color w:val="auto"/>
                <w:sz w:val="24"/>
                <w:highlight w:val="none"/>
                <w:lang w:val="en-US" w:eastAsia="zh-CN"/>
              </w:rPr>
              <w:t>6</w:t>
            </w:r>
            <w:r>
              <w:rPr>
                <w:rFonts w:hint="default" w:ascii="Times New Roman" w:hAnsi="Times New Roman" w:eastAsia="宋体" w:cs="Times New Roman"/>
                <w:bCs/>
                <w:color w:val="auto"/>
                <w:sz w:val="24"/>
                <w:highlight w:val="none"/>
                <w:lang w:val="en-US" w:eastAsia="zh-CN"/>
              </w:rPr>
              <w:t>。</w:t>
            </w:r>
          </w:p>
          <w:p w14:paraId="2E0B867A">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表2</w:t>
            </w:r>
            <w:r>
              <w:rPr>
                <w:rFonts w:hint="eastAsia" w:cs="Times New Roman"/>
                <w:b/>
                <w:bCs/>
                <w:color w:val="auto"/>
                <w:sz w:val="21"/>
                <w:szCs w:val="21"/>
                <w:highlight w:val="none"/>
                <w:lang w:val="en-US" w:eastAsia="zh-CN"/>
              </w:rPr>
              <w:t>-6</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en-US" w:eastAsia="zh-CN"/>
              </w:rPr>
              <w:t xml:space="preserve"> 玉米质量指标</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498"/>
              <w:gridCol w:w="1179"/>
              <w:gridCol w:w="1096"/>
              <w:gridCol w:w="903"/>
              <w:gridCol w:w="1537"/>
              <w:gridCol w:w="1179"/>
            </w:tblGrid>
            <w:tr w14:paraId="2F34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9" w:type="pct"/>
                  <w:vMerge w:val="restart"/>
                  <w:tcBorders>
                    <w:tl2br w:val="nil"/>
                    <w:tr2bl w:val="nil"/>
                  </w:tcBorders>
                  <w:noWrap w:val="0"/>
                  <w:vAlign w:val="center"/>
                </w:tcPr>
                <w:p w14:paraId="58D3964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等级</w:t>
                  </w:r>
                </w:p>
              </w:tc>
              <w:tc>
                <w:tcPr>
                  <w:tcW w:w="907" w:type="pct"/>
                  <w:vMerge w:val="restart"/>
                  <w:tcBorders>
                    <w:tl2br w:val="nil"/>
                    <w:tr2bl w:val="nil"/>
                  </w:tcBorders>
                  <w:noWrap w:val="0"/>
                  <w:vAlign w:val="center"/>
                </w:tcPr>
                <w:p w14:paraId="1D38148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容量（g/L）</w:t>
                  </w:r>
                </w:p>
              </w:tc>
              <w:tc>
                <w:tcPr>
                  <w:tcW w:w="714" w:type="pct"/>
                  <w:vMerge w:val="restart"/>
                  <w:tcBorders>
                    <w:tl2br w:val="nil"/>
                    <w:tr2bl w:val="nil"/>
                  </w:tcBorders>
                  <w:noWrap w:val="0"/>
                  <w:vAlign w:val="center"/>
                </w:tcPr>
                <w:p w14:paraId="7E88B3D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杂质（%）</w:t>
                  </w:r>
                </w:p>
              </w:tc>
              <w:tc>
                <w:tcPr>
                  <w:tcW w:w="664" w:type="pct"/>
                  <w:vMerge w:val="restart"/>
                  <w:tcBorders>
                    <w:tl2br w:val="nil"/>
                    <w:tr2bl w:val="nil"/>
                  </w:tcBorders>
                  <w:noWrap w:val="0"/>
                  <w:vAlign w:val="center"/>
                </w:tcPr>
                <w:p w14:paraId="47E8681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水分（%）</w:t>
                  </w:r>
                </w:p>
              </w:tc>
              <w:tc>
                <w:tcPr>
                  <w:tcW w:w="1478" w:type="pct"/>
                  <w:gridSpan w:val="2"/>
                  <w:tcBorders>
                    <w:tl2br w:val="nil"/>
                    <w:tr2bl w:val="nil"/>
                  </w:tcBorders>
                  <w:noWrap w:val="0"/>
                  <w:vAlign w:val="center"/>
                </w:tcPr>
                <w:p w14:paraId="3A4A9A6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auto"/>
                      <w:sz w:val="21"/>
                      <w:szCs w:val="21"/>
                      <w:highlight w:val="none"/>
                      <w:vertAlign w:val="baseline"/>
                    </w:rPr>
                  </w:pPr>
                  <w:r>
                    <w:rPr>
                      <w:rFonts w:hint="default" w:ascii="Times New Roman" w:hAnsi="Times New Roman" w:eastAsia="宋体" w:cs="Times New Roman"/>
                      <w:b/>
                      <w:bCs w:val="0"/>
                      <w:color w:val="auto"/>
                      <w:sz w:val="21"/>
                      <w:szCs w:val="21"/>
                      <w:highlight w:val="none"/>
                      <w:vertAlign w:val="baseline"/>
                      <w:lang w:val="en-US" w:eastAsia="zh-CN"/>
                    </w:rPr>
                    <w:t>不完善粒（%）</w:t>
                  </w:r>
                </w:p>
              </w:tc>
              <w:tc>
                <w:tcPr>
                  <w:tcW w:w="714" w:type="pct"/>
                  <w:vMerge w:val="restart"/>
                  <w:tcBorders>
                    <w:tl2br w:val="nil"/>
                    <w:tr2bl w:val="nil"/>
                  </w:tcBorders>
                  <w:noWrap w:val="0"/>
                  <w:vAlign w:val="center"/>
                </w:tcPr>
                <w:p w14:paraId="0242816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色泽、气味</w:t>
                  </w:r>
                </w:p>
              </w:tc>
            </w:tr>
            <w:tr w14:paraId="3B0A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tcBorders>
                    <w:tl2br w:val="nil"/>
                    <w:tr2bl w:val="nil"/>
                  </w:tcBorders>
                  <w:noWrap w:val="0"/>
                  <w:vAlign w:val="center"/>
                </w:tcPr>
                <w:p w14:paraId="1883DB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907" w:type="pct"/>
                  <w:vMerge w:val="continue"/>
                  <w:tcBorders>
                    <w:tl2br w:val="nil"/>
                    <w:tr2bl w:val="nil"/>
                  </w:tcBorders>
                  <w:noWrap w:val="0"/>
                  <w:vAlign w:val="center"/>
                </w:tcPr>
                <w:p w14:paraId="79F56A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714" w:type="pct"/>
                  <w:vMerge w:val="continue"/>
                  <w:tcBorders>
                    <w:tl2br w:val="nil"/>
                    <w:tr2bl w:val="nil"/>
                  </w:tcBorders>
                  <w:noWrap w:val="0"/>
                  <w:vAlign w:val="center"/>
                </w:tcPr>
                <w:p w14:paraId="27F348F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664" w:type="pct"/>
                  <w:vMerge w:val="continue"/>
                  <w:tcBorders>
                    <w:tl2br w:val="nil"/>
                    <w:tr2bl w:val="nil"/>
                  </w:tcBorders>
                  <w:noWrap w:val="0"/>
                  <w:vAlign w:val="center"/>
                </w:tcPr>
                <w:p w14:paraId="6641146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547" w:type="pct"/>
                  <w:tcBorders>
                    <w:tl2br w:val="nil"/>
                    <w:tr2bl w:val="nil"/>
                  </w:tcBorders>
                  <w:noWrap w:val="0"/>
                  <w:vAlign w:val="center"/>
                </w:tcPr>
                <w:p w14:paraId="568EF49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总量</w:t>
                  </w:r>
                </w:p>
              </w:tc>
              <w:tc>
                <w:tcPr>
                  <w:tcW w:w="930" w:type="pct"/>
                  <w:tcBorders>
                    <w:tl2br w:val="nil"/>
                    <w:tr2bl w:val="nil"/>
                  </w:tcBorders>
                  <w:noWrap w:val="0"/>
                  <w:vAlign w:val="center"/>
                </w:tcPr>
                <w:p w14:paraId="33AA55D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其中：生霉粒</w:t>
                  </w:r>
                </w:p>
              </w:tc>
              <w:tc>
                <w:tcPr>
                  <w:tcW w:w="714" w:type="pct"/>
                  <w:vMerge w:val="continue"/>
                  <w:tcBorders>
                    <w:tl2br w:val="nil"/>
                    <w:tr2bl w:val="nil"/>
                  </w:tcBorders>
                  <w:noWrap w:val="0"/>
                  <w:vAlign w:val="center"/>
                </w:tcPr>
                <w:p w14:paraId="668983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r>
            <w:tr w14:paraId="2AB6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Borders>
                    <w:tl2br w:val="nil"/>
                    <w:tr2bl w:val="nil"/>
                  </w:tcBorders>
                  <w:noWrap w:val="0"/>
                  <w:vAlign w:val="center"/>
                </w:tcPr>
                <w:p w14:paraId="2AD77FB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1</w:t>
                  </w:r>
                </w:p>
              </w:tc>
              <w:tc>
                <w:tcPr>
                  <w:tcW w:w="907" w:type="pct"/>
                  <w:tcBorders>
                    <w:tl2br w:val="nil"/>
                    <w:tr2bl w:val="nil"/>
                  </w:tcBorders>
                  <w:noWrap w:val="0"/>
                  <w:vAlign w:val="center"/>
                </w:tcPr>
                <w:p w14:paraId="25902F2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r>
                    <w:rPr>
                      <w:rFonts w:hint="eastAsia" w:cs="Times New Roman"/>
                      <w:bCs/>
                      <w:color w:val="auto"/>
                      <w:sz w:val="21"/>
                      <w:szCs w:val="21"/>
                      <w:highlight w:val="none"/>
                      <w:vertAlign w:val="baseline"/>
                      <w:lang w:val="en-US" w:eastAsia="zh-CN"/>
                    </w:rPr>
                    <w:t>&gt;</w:t>
                  </w:r>
                  <w:r>
                    <w:rPr>
                      <w:rFonts w:hint="default" w:ascii="Times New Roman" w:hAnsi="Times New Roman" w:eastAsia="宋体" w:cs="Times New Roman"/>
                      <w:bCs/>
                      <w:color w:val="auto"/>
                      <w:sz w:val="21"/>
                      <w:szCs w:val="21"/>
                      <w:highlight w:val="none"/>
                      <w:vertAlign w:val="baseline"/>
                      <w:lang w:val="en-US" w:eastAsia="zh-CN"/>
                    </w:rPr>
                    <w:t>710</w:t>
                  </w:r>
                </w:p>
              </w:tc>
              <w:tc>
                <w:tcPr>
                  <w:tcW w:w="714" w:type="pct"/>
                  <w:vMerge w:val="restart"/>
                  <w:tcBorders>
                    <w:tl2br w:val="nil"/>
                    <w:tr2bl w:val="nil"/>
                  </w:tcBorders>
                  <w:noWrap w:val="0"/>
                  <w:vAlign w:val="center"/>
                </w:tcPr>
                <w:p w14:paraId="5189DF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r>
                    <w:rPr>
                      <w:rFonts w:hint="eastAsia" w:cs="Times New Roman"/>
                      <w:bCs/>
                      <w:color w:val="auto"/>
                      <w:sz w:val="21"/>
                      <w:szCs w:val="21"/>
                      <w:highlight w:val="none"/>
                      <w:vertAlign w:val="baseline"/>
                      <w:lang w:eastAsia="zh-CN"/>
                    </w:rPr>
                    <w:t>&lt;</w:t>
                  </w:r>
                  <w:r>
                    <w:rPr>
                      <w:rFonts w:hint="default" w:ascii="Times New Roman" w:hAnsi="Times New Roman" w:eastAsia="宋体" w:cs="Times New Roman"/>
                      <w:bCs/>
                      <w:color w:val="auto"/>
                      <w:sz w:val="21"/>
                      <w:szCs w:val="21"/>
                      <w:highlight w:val="none"/>
                      <w:vertAlign w:val="baseline"/>
                    </w:rPr>
                    <w:t>1.0</w:t>
                  </w:r>
                </w:p>
              </w:tc>
              <w:tc>
                <w:tcPr>
                  <w:tcW w:w="664" w:type="pct"/>
                  <w:vMerge w:val="restart"/>
                  <w:tcBorders>
                    <w:tl2br w:val="nil"/>
                    <w:tr2bl w:val="nil"/>
                  </w:tcBorders>
                  <w:noWrap w:val="0"/>
                  <w:vAlign w:val="center"/>
                </w:tcPr>
                <w:p w14:paraId="35BAF09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r>
                    <w:rPr>
                      <w:rFonts w:hint="eastAsia" w:cs="Times New Roman"/>
                      <w:bCs/>
                      <w:color w:val="auto"/>
                      <w:sz w:val="21"/>
                      <w:szCs w:val="21"/>
                      <w:highlight w:val="none"/>
                      <w:vertAlign w:val="baseline"/>
                      <w:lang w:eastAsia="zh-CN"/>
                    </w:rPr>
                    <w:t>&lt;</w:t>
                  </w:r>
                  <w:r>
                    <w:rPr>
                      <w:rFonts w:hint="default" w:ascii="Times New Roman" w:hAnsi="Times New Roman" w:eastAsia="宋体" w:cs="Times New Roman"/>
                      <w:bCs/>
                      <w:color w:val="auto"/>
                      <w:sz w:val="21"/>
                      <w:szCs w:val="21"/>
                      <w:highlight w:val="none"/>
                      <w:vertAlign w:val="baseline"/>
                    </w:rPr>
                    <w:t>1</w:t>
                  </w:r>
                  <w:r>
                    <w:rPr>
                      <w:rFonts w:hint="default" w:ascii="Times New Roman" w:hAnsi="Times New Roman" w:eastAsia="宋体" w:cs="Times New Roman"/>
                      <w:bCs/>
                      <w:color w:val="auto"/>
                      <w:sz w:val="21"/>
                      <w:szCs w:val="21"/>
                      <w:highlight w:val="none"/>
                      <w:vertAlign w:val="baseline"/>
                      <w:lang w:val="en-US" w:eastAsia="zh-CN"/>
                    </w:rPr>
                    <w:t>4</w:t>
                  </w:r>
                  <w:r>
                    <w:rPr>
                      <w:rFonts w:hint="default" w:ascii="Times New Roman" w:hAnsi="Times New Roman" w:eastAsia="宋体" w:cs="Times New Roman"/>
                      <w:bCs/>
                      <w:color w:val="auto"/>
                      <w:sz w:val="21"/>
                      <w:szCs w:val="21"/>
                      <w:highlight w:val="none"/>
                      <w:vertAlign w:val="baseline"/>
                    </w:rPr>
                    <w:t>.0</w:t>
                  </w:r>
                </w:p>
              </w:tc>
              <w:tc>
                <w:tcPr>
                  <w:tcW w:w="547" w:type="pct"/>
                  <w:vMerge w:val="restart"/>
                  <w:tcBorders>
                    <w:tl2br w:val="nil"/>
                    <w:tr2bl w:val="nil"/>
                  </w:tcBorders>
                  <w:noWrap w:val="0"/>
                  <w:vAlign w:val="center"/>
                </w:tcPr>
                <w:p w14:paraId="401F45F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r>
                    <w:rPr>
                      <w:rFonts w:hint="eastAsia" w:cs="Times New Roman"/>
                      <w:bCs/>
                      <w:color w:val="auto"/>
                      <w:sz w:val="21"/>
                      <w:szCs w:val="21"/>
                      <w:highlight w:val="none"/>
                      <w:vertAlign w:val="baseline"/>
                      <w:lang w:eastAsia="zh-CN"/>
                    </w:rPr>
                    <w:t>&lt;</w:t>
                  </w:r>
                  <w:r>
                    <w:rPr>
                      <w:rFonts w:hint="default" w:ascii="Times New Roman" w:hAnsi="Times New Roman" w:eastAsia="宋体" w:cs="Times New Roman"/>
                      <w:bCs/>
                      <w:color w:val="auto"/>
                      <w:sz w:val="21"/>
                      <w:szCs w:val="21"/>
                      <w:highlight w:val="none"/>
                      <w:vertAlign w:val="baseline"/>
                      <w:lang w:val="en-US" w:eastAsia="zh-CN"/>
                    </w:rPr>
                    <w:t>5</w:t>
                  </w:r>
                  <w:r>
                    <w:rPr>
                      <w:rFonts w:hint="default" w:ascii="Times New Roman" w:hAnsi="Times New Roman" w:eastAsia="宋体" w:cs="Times New Roman"/>
                      <w:bCs/>
                      <w:color w:val="auto"/>
                      <w:sz w:val="21"/>
                      <w:szCs w:val="21"/>
                      <w:highlight w:val="none"/>
                      <w:vertAlign w:val="baseline"/>
                    </w:rPr>
                    <w:t>.0</w:t>
                  </w:r>
                </w:p>
              </w:tc>
              <w:tc>
                <w:tcPr>
                  <w:tcW w:w="930" w:type="pct"/>
                  <w:vMerge w:val="restart"/>
                  <w:tcBorders>
                    <w:tl2br w:val="nil"/>
                    <w:tr2bl w:val="nil"/>
                  </w:tcBorders>
                  <w:noWrap w:val="0"/>
                  <w:vAlign w:val="center"/>
                </w:tcPr>
                <w:p w14:paraId="67D0851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r>
                    <w:rPr>
                      <w:rFonts w:hint="eastAsia" w:cs="Times New Roman"/>
                      <w:bCs/>
                      <w:color w:val="auto"/>
                      <w:sz w:val="21"/>
                      <w:szCs w:val="21"/>
                      <w:highlight w:val="none"/>
                      <w:vertAlign w:val="baseline"/>
                      <w:lang w:eastAsia="zh-CN"/>
                    </w:rPr>
                    <w:t>&lt;</w:t>
                  </w:r>
                  <w:r>
                    <w:rPr>
                      <w:rFonts w:hint="default" w:ascii="Times New Roman" w:hAnsi="Times New Roman" w:eastAsia="宋体" w:cs="Times New Roman"/>
                      <w:bCs/>
                      <w:color w:val="auto"/>
                      <w:sz w:val="21"/>
                      <w:szCs w:val="21"/>
                      <w:highlight w:val="none"/>
                      <w:vertAlign w:val="baseline"/>
                      <w:lang w:val="en-US" w:eastAsia="zh-CN"/>
                    </w:rPr>
                    <w:t>2</w:t>
                  </w:r>
                  <w:r>
                    <w:rPr>
                      <w:rFonts w:hint="default" w:ascii="Times New Roman" w:hAnsi="Times New Roman" w:eastAsia="宋体" w:cs="Times New Roman"/>
                      <w:bCs/>
                      <w:color w:val="auto"/>
                      <w:sz w:val="21"/>
                      <w:szCs w:val="21"/>
                      <w:highlight w:val="none"/>
                      <w:vertAlign w:val="baseline"/>
                    </w:rPr>
                    <w:t>.0</w:t>
                  </w:r>
                </w:p>
              </w:tc>
              <w:tc>
                <w:tcPr>
                  <w:tcW w:w="714" w:type="pct"/>
                  <w:vMerge w:val="restart"/>
                  <w:tcBorders>
                    <w:tl2br w:val="nil"/>
                    <w:tr2bl w:val="nil"/>
                  </w:tcBorders>
                  <w:noWrap w:val="0"/>
                  <w:vAlign w:val="center"/>
                </w:tcPr>
                <w:p w14:paraId="5438429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正常</w:t>
                  </w:r>
                </w:p>
              </w:tc>
            </w:tr>
            <w:tr w14:paraId="4F3D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Borders>
                    <w:tl2br w:val="nil"/>
                    <w:tr2bl w:val="nil"/>
                  </w:tcBorders>
                  <w:noWrap w:val="0"/>
                  <w:vAlign w:val="center"/>
                </w:tcPr>
                <w:p w14:paraId="578ED60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2</w:t>
                  </w:r>
                </w:p>
              </w:tc>
              <w:tc>
                <w:tcPr>
                  <w:tcW w:w="907" w:type="pct"/>
                  <w:tcBorders>
                    <w:tl2br w:val="nil"/>
                    <w:tr2bl w:val="nil"/>
                  </w:tcBorders>
                  <w:noWrap w:val="0"/>
                  <w:vAlign w:val="center"/>
                </w:tcPr>
                <w:p w14:paraId="2EF1ED4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lang w:val="en-US"/>
                    </w:rPr>
                  </w:pPr>
                  <w:r>
                    <w:rPr>
                      <w:rFonts w:hint="eastAsia" w:cs="Times New Roman"/>
                      <w:bCs/>
                      <w:color w:val="auto"/>
                      <w:sz w:val="21"/>
                      <w:szCs w:val="21"/>
                      <w:highlight w:val="none"/>
                      <w:vertAlign w:val="baseline"/>
                      <w:lang w:val="en-US" w:eastAsia="zh-CN"/>
                    </w:rPr>
                    <w:t>&gt;</w:t>
                  </w:r>
                  <w:r>
                    <w:rPr>
                      <w:rFonts w:hint="default" w:ascii="Times New Roman" w:hAnsi="Times New Roman" w:eastAsia="宋体" w:cs="Times New Roman"/>
                      <w:bCs/>
                      <w:color w:val="auto"/>
                      <w:sz w:val="21"/>
                      <w:szCs w:val="21"/>
                      <w:highlight w:val="none"/>
                      <w:vertAlign w:val="baseline"/>
                      <w:lang w:val="en-US" w:eastAsia="zh-CN"/>
                    </w:rPr>
                    <w:t>685</w:t>
                  </w:r>
                </w:p>
              </w:tc>
              <w:tc>
                <w:tcPr>
                  <w:tcW w:w="714" w:type="pct"/>
                  <w:vMerge w:val="continue"/>
                  <w:tcBorders>
                    <w:tl2br w:val="nil"/>
                    <w:tr2bl w:val="nil"/>
                  </w:tcBorders>
                  <w:noWrap w:val="0"/>
                  <w:vAlign w:val="center"/>
                </w:tcPr>
                <w:p w14:paraId="2E84F87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664" w:type="pct"/>
                  <w:vMerge w:val="continue"/>
                  <w:tcBorders>
                    <w:tl2br w:val="nil"/>
                    <w:tr2bl w:val="nil"/>
                  </w:tcBorders>
                  <w:noWrap w:val="0"/>
                  <w:vAlign w:val="center"/>
                </w:tcPr>
                <w:p w14:paraId="3427DD4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547" w:type="pct"/>
                  <w:vMerge w:val="continue"/>
                  <w:tcBorders>
                    <w:tl2br w:val="nil"/>
                    <w:tr2bl w:val="nil"/>
                  </w:tcBorders>
                  <w:noWrap w:val="0"/>
                  <w:vAlign w:val="center"/>
                </w:tcPr>
                <w:p w14:paraId="4431306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930" w:type="pct"/>
                  <w:vMerge w:val="continue"/>
                  <w:tcBorders>
                    <w:tl2br w:val="nil"/>
                    <w:tr2bl w:val="nil"/>
                  </w:tcBorders>
                  <w:noWrap w:val="0"/>
                  <w:vAlign w:val="center"/>
                </w:tcPr>
                <w:p w14:paraId="4D04557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714" w:type="pct"/>
                  <w:vMerge w:val="continue"/>
                  <w:tcBorders>
                    <w:tl2br w:val="nil"/>
                    <w:tr2bl w:val="nil"/>
                  </w:tcBorders>
                  <w:noWrap w:val="0"/>
                  <w:vAlign w:val="center"/>
                </w:tcPr>
                <w:p w14:paraId="1475CA4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r>
            <w:tr w14:paraId="4E9F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Borders>
                    <w:tl2br w:val="nil"/>
                    <w:tr2bl w:val="nil"/>
                  </w:tcBorders>
                  <w:noWrap w:val="0"/>
                  <w:vAlign w:val="center"/>
                </w:tcPr>
                <w:p w14:paraId="0E41F91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vertAlign w:val="baseline"/>
                      <w:lang w:val="en-US" w:eastAsia="zh-CN"/>
                    </w:rPr>
                    <w:t>3</w:t>
                  </w:r>
                </w:p>
              </w:tc>
              <w:tc>
                <w:tcPr>
                  <w:tcW w:w="907" w:type="pct"/>
                  <w:tcBorders>
                    <w:tl2br w:val="nil"/>
                    <w:tr2bl w:val="nil"/>
                  </w:tcBorders>
                  <w:noWrap w:val="0"/>
                  <w:vAlign w:val="center"/>
                </w:tcPr>
                <w:p w14:paraId="4AB88A0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lang w:val="en-US"/>
                    </w:rPr>
                  </w:pPr>
                  <w:r>
                    <w:rPr>
                      <w:rFonts w:hint="eastAsia" w:cs="Times New Roman"/>
                      <w:bCs/>
                      <w:color w:val="auto"/>
                      <w:sz w:val="21"/>
                      <w:szCs w:val="21"/>
                      <w:highlight w:val="none"/>
                      <w:vertAlign w:val="baseline"/>
                      <w:lang w:val="en-US" w:eastAsia="zh-CN"/>
                    </w:rPr>
                    <w:t>&gt;</w:t>
                  </w:r>
                  <w:r>
                    <w:rPr>
                      <w:rFonts w:hint="default" w:ascii="Times New Roman" w:hAnsi="Times New Roman" w:eastAsia="宋体" w:cs="Times New Roman"/>
                      <w:bCs/>
                      <w:color w:val="auto"/>
                      <w:sz w:val="21"/>
                      <w:szCs w:val="21"/>
                      <w:highlight w:val="none"/>
                      <w:vertAlign w:val="baseline"/>
                      <w:lang w:val="en-US" w:eastAsia="zh-CN"/>
                    </w:rPr>
                    <w:t>660</w:t>
                  </w:r>
                </w:p>
              </w:tc>
              <w:tc>
                <w:tcPr>
                  <w:tcW w:w="714" w:type="pct"/>
                  <w:vMerge w:val="continue"/>
                  <w:tcBorders>
                    <w:tl2br w:val="nil"/>
                    <w:tr2bl w:val="nil"/>
                  </w:tcBorders>
                  <w:noWrap w:val="0"/>
                  <w:vAlign w:val="center"/>
                </w:tcPr>
                <w:p w14:paraId="755850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664" w:type="pct"/>
                  <w:vMerge w:val="continue"/>
                  <w:tcBorders>
                    <w:tl2br w:val="nil"/>
                    <w:tr2bl w:val="nil"/>
                  </w:tcBorders>
                  <w:noWrap w:val="0"/>
                  <w:vAlign w:val="center"/>
                </w:tcPr>
                <w:p w14:paraId="0851A5D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547" w:type="pct"/>
                  <w:vMerge w:val="continue"/>
                  <w:tcBorders>
                    <w:tl2br w:val="nil"/>
                    <w:tr2bl w:val="nil"/>
                  </w:tcBorders>
                  <w:noWrap w:val="0"/>
                  <w:vAlign w:val="center"/>
                </w:tcPr>
                <w:p w14:paraId="789C006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930" w:type="pct"/>
                  <w:vMerge w:val="continue"/>
                  <w:tcBorders>
                    <w:tl2br w:val="nil"/>
                    <w:tr2bl w:val="nil"/>
                  </w:tcBorders>
                  <w:noWrap w:val="0"/>
                  <w:vAlign w:val="center"/>
                </w:tcPr>
                <w:p w14:paraId="10A7EFF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c>
                <w:tcPr>
                  <w:tcW w:w="714" w:type="pct"/>
                  <w:vMerge w:val="continue"/>
                  <w:tcBorders>
                    <w:tl2br w:val="nil"/>
                    <w:tr2bl w:val="nil"/>
                  </w:tcBorders>
                  <w:noWrap w:val="0"/>
                  <w:vAlign w:val="center"/>
                </w:tcPr>
                <w:p w14:paraId="22C0F09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vertAlign w:val="baseline"/>
                    </w:rPr>
                  </w:pPr>
                </w:p>
              </w:tc>
            </w:tr>
          </w:tbl>
          <w:p w14:paraId="147639C0">
            <w:pPr>
              <w:pStyle w:val="114"/>
              <w:keepNext w:val="0"/>
              <w:keepLines w:val="0"/>
              <w:numPr>
                <w:ilvl w:val="0"/>
                <w:numId w:val="0"/>
              </w:numPr>
              <w:suppressLineNumbers w:val="0"/>
              <w:spacing w:before="120" w:beforeLines="50" w:beforeAutospacing="0" w:after="0" w:afterAutospacing="0"/>
              <w:ind w:left="0" w:right="0" w:rightChars="0"/>
              <w:rPr>
                <w:rFonts w:hint="default" w:ascii="Times New Roman" w:hAnsi="Times New Roman" w:eastAsia="宋体" w:cs="Times New Roman"/>
                <w:b/>
                <w:bCs/>
                <w:color w:val="auto"/>
                <w:kern w:val="0"/>
                <w:sz w:val="24"/>
                <w:szCs w:val="24"/>
                <w:highlight w:val="none"/>
                <w:lang w:val="en-US" w:eastAsia="zh-CN" w:bidi="ar-SA"/>
              </w:rPr>
            </w:pPr>
            <w:r>
              <w:rPr>
                <w:rFonts w:hint="default" w:ascii="Times New Roman" w:hAnsi="Times New Roman" w:eastAsia="宋体" w:cs="Times New Roman"/>
                <w:b/>
                <w:bCs/>
                <w:color w:val="auto"/>
                <w:kern w:val="0"/>
                <w:sz w:val="24"/>
                <w:szCs w:val="24"/>
                <w:highlight w:val="none"/>
                <w:lang w:val="en-US" w:eastAsia="zh-CN" w:bidi="ar-SA"/>
              </w:rPr>
              <w:t>6、</w:t>
            </w:r>
            <w:r>
              <w:rPr>
                <w:rFonts w:hint="eastAsia" w:cs="Times New Roman"/>
                <w:b/>
                <w:bCs/>
                <w:color w:val="auto"/>
                <w:kern w:val="0"/>
                <w:sz w:val="24"/>
                <w:szCs w:val="24"/>
                <w:highlight w:val="none"/>
                <w:lang w:val="en-US" w:eastAsia="zh-CN" w:bidi="ar-SA"/>
              </w:rPr>
              <w:t>物料平衡</w:t>
            </w:r>
          </w:p>
          <w:p w14:paraId="649004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本项目设计年</w:t>
            </w:r>
            <w:r>
              <w:rPr>
                <w:rFonts w:hint="eastAsia" w:ascii="Times New Roman" w:hAnsi="Times New Roman" w:cs="Times New Roman"/>
                <w:color w:val="auto"/>
                <w:kern w:val="0"/>
                <w:sz w:val="24"/>
                <w:highlight w:val="none"/>
                <w:lang w:val="en-US" w:eastAsia="zh-CN"/>
              </w:rPr>
              <w:t>产</w:t>
            </w:r>
            <w:r>
              <w:rPr>
                <w:rFonts w:hint="default" w:ascii="Times New Roman" w:hAnsi="Times New Roman" w:cs="Times New Roman"/>
                <w:color w:val="auto"/>
                <w:kern w:val="0"/>
                <w:sz w:val="24"/>
                <w:highlight w:val="none"/>
              </w:rPr>
              <w:t>烘干玉米</w:t>
            </w:r>
            <w:r>
              <w:rPr>
                <w:rFonts w:hint="eastAsia" w:ascii="Times New Roman" w:hAnsi="Times New Roman" w:cs="Times New Roman"/>
                <w:color w:val="auto"/>
                <w:kern w:val="0"/>
                <w:sz w:val="24"/>
                <w:highlight w:val="none"/>
                <w:lang w:val="en-US" w:eastAsia="zh-CN"/>
              </w:rPr>
              <w:t>10万</w:t>
            </w:r>
            <w:r>
              <w:rPr>
                <w:rFonts w:hint="default" w:ascii="Times New Roman" w:hAnsi="Times New Roman" w:cs="Times New Roman"/>
                <w:color w:val="auto"/>
                <w:kern w:val="0"/>
                <w:sz w:val="24"/>
                <w:highlight w:val="none"/>
              </w:rPr>
              <w:t>t，</w:t>
            </w:r>
            <w:r>
              <w:rPr>
                <w:rFonts w:hint="eastAsia" w:ascii="Times New Roman" w:hAnsi="Times New Roman" w:cs="Times New Roman"/>
                <w:color w:val="auto"/>
                <w:kern w:val="0"/>
                <w:sz w:val="24"/>
                <w:highlight w:val="none"/>
                <w:lang w:val="en-US" w:eastAsia="zh-CN"/>
              </w:rPr>
              <w:t>进料玉米</w:t>
            </w:r>
            <w:r>
              <w:rPr>
                <w:rFonts w:hint="default" w:ascii="Times New Roman" w:hAnsi="Times New Roman" w:cs="Times New Roman"/>
                <w:color w:val="auto"/>
                <w:kern w:val="0"/>
                <w:sz w:val="24"/>
                <w:highlight w:val="none"/>
                <w:lang w:val="en-US" w:eastAsia="zh-CN"/>
              </w:rPr>
              <w:t>含水按照最大含水量30%计算，成品玉米含水量按照14%计算</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则</w:t>
            </w:r>
            <w:r>
              <w:rPr>
                <w:rFonts w:hint="default" w:ascii="Times New Roman" w:hAnsi="Times New Roman" w:cs="Times New Roman"/>
                <w:color w:val="auto"/>
                <w:kern w:val="0"/>
                <w:sz w:val="24"/>
                <w:highlight w:val="none"/>
              </w:rPr>
              <w:t>项目物料平衡情况见下表2-</w:t>
            </w:r>
            <w:r>
              <w:rPr>
                <w:rFonts w:hint="eastAsia" w:cs="Times New Roman"/>
                <w:color w:val="auto"/>
                <w:kern w:val="0"/>
                <w:sz w:val="24"/>
                <w:highlight w:val="none"/>
                <w:lang w:val="en-US" w:eastAsia="zh-CN"/>
              </w:rPr>
              <w:t>7</w:t>
            </w:r>
            <w:r>
              <w:rPr>
                <w:rFonts w:hint="default" w:ascii="Times New Roman" w:hAnsi="Times New Roman" w:cs="Times New Roman"/>
                <w:color w:val="auto"/>
                <w:kern w:val="0"/>
                <w:sz w:val="24"/>
                <w:highlight w:val="none"/>
              </w:rPr>
              <w:t>。</w:t>
            </w:r>
          </w:p>
          <w:p w14:paraId="06054D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表2-</w:t>
            </w:r>
            <w:r>
              <w:rPr>
                <w:rFonts w:hint="eastAsia" w:cs="Times New Roman"/>
                <w:b/>
                <w:bCs/>
                <w:color w:val="auto"/>
                <w:sz w:val="21"/>
                <w:szCs w:val="21"/>
                <w:highlight w:val="none"/>
                <w:lang w:val="en-US" w:eastAsia="zh-CN"/>
              </w:rPr>
              <w:t>7</w:t>
            </w:r>
            <w:r>
              <w:rPr>
                <w:rFonts w:hint="default" w:ascii="Times New Roman" w:hAnsi="Times New Roman" w:eastAsia="宋体" w:cs="Times New Roman"/>
                <w:b/>
                <w:bCs/>
                <w:color w:val="auto"/>
                <w:sz w:val="21"/>
                <w:szCs w:val="21"/>
                <w:highlight w:val="none"/>
              </w:rPr>
              <w:t xml:space="preserve"> </w:t>
            </w: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rPr>
              <w:t>本项目物料平衡情况一览表</w:t>
            </w:r>
            <w:r>
              <w:rPr>
                <w:rFonts w:hint="default" w:ascii="Times New Roman" w:hAnsi="Times New Roman" w:eastAsia="宋体" w:cs="Times New Roman"/>
                <w:b/>
                <w:bCs/>
                <w:color w:val="auto"/>
                <w:sz w:val="21"/>
                <w:szCs w:val="21"/>
                <w:highlight w:val="none"/>
                <w:lang w:val="en-US" w:eastAsia="zh-CN"/>
              </w:rPr>
              <w:t xml:space="preserve"> 单位：t/a</w:t>
            </w:r>
          </w:p>
          <w:tbl>
            <w:tblPr>
              <w:tblStyle w:val="4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1227"/>
              <w:gridCol w:w="1727"/>
              <w:gridCol w:w="2624"/>
              <w:gridCol w:w="1650"/>
            </w:tblGrid>
            <w:tr w14:paraId="1D3E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tcBorders>
                    <w:tl2br w:val="nil"/>
                    <w:tr2bl w:val="nil"/>
                  </w:tcBorders>
                  <w:noWrap w:val="0"/>
                  <w:vAlign w:val="center"/>
                </w:tcPr>
                <w:p w14:paraId="14B3D4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cs="Times New Roman"/>
                      <w:b/>
                      <w:bCs/>
                      <w:color w:val="auto"/>
                      <w:kern w:val="0"/>
                      <w:sz w:val="21"/>
                      <w:szCs w:val="21"/>
                      <w:highlight w:val="none"/>
                      <w:vertAlign w:val="baseline"/>
                      <w:lang w:val="en-US" w:eastAsia="zh-CN"/>
                    </w:rPr>
                    <w:t>序号</w:t>
                  </w:r>
                </w:p>
              </w:tc>
              <w:tc>
                <w:tcPr>
                  <w:tcW w:w="744" w:type="pct"/>
                  <w:tcBorders>
                    <w:tl2br w:val="nil"/>
                    <w:tr2bl w:val="nil"/>
                  </w:tcBorders>
                  <w:noWrap w:val="0"/>
                  <w:vAlign w:val="center"/>
                </w:tcPr>
                <w:p w14:paraId="22B612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cs="Times New Roman"/>
                      <w:b/>
                      <w:bCs/>
                      <w:color w:val="auto"/>
                      <w:kern w:val="0"/>
                      <w:sz w:val="21"/>
                      <w:szCs w:val="21"/>
                      <w:highlight w:val="none"/>
                      <w:vertAlign w:val="baseline"/>
                      <w:lang w:val="en-US" w:eastAsia="zh-CN"/>
                    </w:rPr>
                    <w:t>入料名称</w:t>
                  </w:r>
                </w:p>
              </w:tc>
              <w:tc>
                <w:tcPr>
                  <w:tcW w:w="1047" w:type="pct"/>
                  <w:tcBorders>
                    <w:tl2br w:val="nil"/>
                    <w:tr2bl w:val="nil"/>
                  </w:tcBorders>
                  <w:noWrap w:val="0"/>
                  <w:vAlign w:val="center"/>
                </w:tcPr>
                <w:p w14:paraId="44312F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cs="Times New Roman"/>
                      <w:b/>
                      <w:bCs/>
                      <w:color w:val="auto"/>
                      <w:kern w:val="0"/>
                      <w:sz w:val="21"/>
                      <w:szCs w:val="21"/>
                      <w:highlight w:val="none"/>
                      <w:vertAlign w:val="baseline"/>
                      <w:lang w:val="en-US" w:eastAsia="zh-CN"/>
                    </w:rPr>
                    <w:t>入料量</w:t>
                  </w:r>
                  <w:r>
                    <w:rPr>
                      <w:rFonts w:hint="eastAsia" w:ascii="Times New Roman" w:hAnsi="Times New Roman" w:cs="Times New Roman"/>
                      <w:b/>
                      <w:bCs/>
                      <w:color w:val="auto"/>
                      <w:kern w:val="0"/>
                      <w:sz w:val="21"/>
                      <w:szCs w:val="21"/>
                      <w:highlight w:val="none"/>
                      <w:vertAlign w:val="baseline"/>
                      <w:lang w:val="en-US" w:eastAsia="zh-CN"/>
                    </w:rPr>
                    <w:t>（t/a）</w:t>
                  </w:r>
                </w:p>
              </w:tc>
              <w:tc>
                <w:tcPr>
                  <w:tcW w:w="1591" w:type="pct"/>
                  <w:tcBorders>
                    <w:tl2br w:val="nil"/>
                    <w:tr2bl w:val="nil"/>
                  </w:tcBorders>
                  <w:noWrap w:val="0"/>
                  <w:vAlign w:val="center"/>
                </w:tcPr>
                <w:p w14:paraId="1254C5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cs="Times New Roman"/>
                      <w:b/>
                      <w:bCs/>
                      <w:color w:val="auto"/>
                      <w:kern w:val="0"/>
                      <w:sz w:val="21"/>
                      <w:szCs w:val="21"/>
                      <w:highlight w:val="none"/>
                      <w:vertAlign w:val="baseline"/>
                      <w:lang w:val="en-US" w:eastAsia="zh-CN"/>
                    </w:rPr>
                    <w:t>出料名称</w:t>
                  </w:r>
                </w:p>
              </w:tc>
              <w:tc>
                <w:tcPr>
                  <w:tcW w:w="1000" w:type="pct"/>
                  <w:tcBorders>
                    <w:tl2br w:val="nil"/>
                    <w:tr2bl w:val="nil"/>
                  </w:tcBorders>
                  <w:noWrap w:val="0"/>
                  <w:vAlign w:val="center"/>
                </w:tcPr>
                <w:p w14:paraId="1ADAC7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cs="Times New Roman"/>
                      <w:b/>
                      <w:bCs/>
                      <w:color w:val="auto"/>
                      <w:kern w:val="0"/>
                      <w:sz w:val="21"/>
                      <w:szCs w:val="21"/>
                      <w:highlight w:val="none"/>
                      <w:vertAlign w:val="baseline"/>
                      <w:lang w:val="en-US" w:eastAsia="zh-CN"/>
                    </w:rPr>
                    <w:t>出料量</w:t>
                  </w:r>
                  <w:r>
                    <w:rPr>
                      <w:rFonts w:hint="eastAsia" w:ascii="Times New Roman" w:hAnsi="Times New Roman" w:cs="Times New Roman"/>
                      <w:b/>
                      <w:bCs/>
                      <w:color w:val="auto"/>
                      <w:kern w:val="0"/>
                      <w:sz w:val="21"/>
                      <w:szCs w:val="21"/>
                      <w:highlight w:val="none"/>
                      <w:vertAlign w:val="baseline"/>
                      <w:lang w:val="en-US" w:eastAsia="zh-CN"/>
                    </w:rPr>
                    <w:t>（t/a）</w:t>
                  </w:r>
                </w:p>
              </w:tc>
            </w:tr>
            <w:tr w14:paraId="2BA3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tcBorders>
                    <w:tl2br w:val="nil"/>
                    <w:tr2bl w:val="nil"/>
                  </w:tcBorders>
                  <w:noWrap w:val="0"/>
                  <w:vAlign w:val="center"/>
                </w:tcPr>
                <w:p w14:paraId="675820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1</w:t>
                  </w:r>
                </w:p>
              </w:tc>
              <w:tc>
                <w:tcPr>
                  <w:tcW w:w="744" w:type="pct"/>
                  <w:tcBorders>
                    <w:tl2br w:val="nil"/>
                    <w:tr2bl w:val="nil"/>
                  </w:tcBorders>
                  <w:noWrap w:val="0"/>
                  <w:vAlign w:val="center"/>
                </w:tcPr>
                <w:p w14:paraId="0F381F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玉米</w:t>
                  </w:r>
                </w:p>
              </w:tc>
              <w:tc>
                <w:tcPr>
                  <w:tcW w:w="1047" w:type="pct"/>
                  <w:tcBorders>
                    <w:tl2br w:val="nil"/>
                    <w:tr2bl w:val="nil"/>
                  </w:tcBorders>
                  <w:noWrap w:val="0"/>
                  <w:vAlign w:val="center"/>
                </w:tcPr>
                <w:p w14:paraId="1681FC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ascii="Times New Roman" w:hAnsi="Times New Roman" w:cs="Times New Roman"/>
                      <w:color w:val="auto"/>
                      <w:kern w:val="0"/>
                      <w:sz w:val="21"/>
                      <w:szCs w:val="21"/>
                      <w:highlight w:val="none"/>
                      <w:vertAlign w:val="baseline"/>
                      <w:lang w:val="en-US" w:eastAsia="zh-CN"/>
                    </w:rPr>
                    <w:t>123000</w:t>
                  </w:r>
                </w:p>
              </w:tc>
              <w:tc>
                <w:tcPr>
                  <w:tcW w:w="1591" w:type="pct"/>
                  <w:tcBorders>
                    <w:tl2br w:val="nil"/>
                    <w:tr2bl w:val="nil"/>
                  </w:tcBorders>
                  <w:noWrap w:val="0"/>
                  <w:vAlign w:val="center"/>
                </w:tcPr>
                <w:p w14:paraId="3A4854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成品玉米</w:t>
                  </w:r>
                </w:p>
              </w:tc>
              <w:tc>
                <w:tcPr>
                  <w:tcW w:w="1000" w:type="pct"/>
                  <w:tcBorders>
                    <w:tl2br w:val="nil"/>
                    <w:tr2bl w:val="nil"/>
                  </w:tcBorders>
                  <w:noWrap w:val="0"/>
                  <w:vAlign w:val="center"/>
                </w:tcPr>
                <w:p w14:paraId="29AE5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ascii="Times New Roman" w:hAnsi="Times New Roman" w:cs="Times New Roman"/>
                      <w:color w:val="auto"/>
                      <w:kern w:val="0"/>
                      <w:sz w:val="21"/>
                      <w:szCs w:val="21"/>
                      <w:highlight w:val="none"/>
                      <w:vertAlign w:val="baseline"/>
                      <w:lang w:val="en-US" w:eastAsia="zh-CN"/>
                    </w:rPr>
                    <w:t>100000</w:t>
                  </w:r>
                </w:p>
              </w:tc>
            </w:tr>
            <w:tr w14:paraId="72EC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tcBorders>
                    <w:tl2br w:val="nil"/>
                    <w:tr2bl w:val="nil"/>
                  </w:tcBorders>
                  <w:noWrap w:val="0"/>
                  <w:vAlign w:val="center"/>
                </w:tcPr>
                <w:p w14:paraId="5FBB25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2</w:t>
                  </w:r>
                </w:p>
              </w:tc>
              <w:tc>
                <w:tcPr>
                  <w:tcW w:w="744" w:type="pct"/>
                  <w:tcBorders>
                    <w:tl2br w:val="nil"/>
                    <w:tr2bl w:val="nil"/>
                  </w:tcBorders>
                  <w:noWrap w:val="0"/>
                  <w:vAlign w:val="center"/>
                </w:tcPr>
                <w:p w14:paraId="04F919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w:t>
                  </w:r>
                </w:p>
              </w:tc>
              <w:tc>
                <w:tcPr>
                  <w:tcW w:w="1047" w:type="pct"/>
                  <w:tcBorders>
                    <w:tl2br w:val="nil"/>
                    <w:tr2bl w:val="nil"/>
                  </w:tcBorders>
                  <w:shd w:val="clear" w:color="auto" w:fill="auto"/>
                  <w:noWrap w:val="0"/>
                  <w:vAlign w:val="center"/>
                </w:tcPr>
                <w:p w14:paraId="03B5DF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cs="Times New Roman"/>
                      <w:color w:val="auto"/>
                      <w:kern w:val="0"/>
                      <w:sz w:val="21"/>
                      <w:szCs w:val="21"/>
                      <w:highlight w:val="none"/>
                      <w:vertAlign w:val="baseline"/>
                      <w:lang w:val="en-US" w:eastAsia="zh-CN"/>
                    </w:rPr>
                    <w:t>/</w:t>
                  </w:r>
                </w:p>
              </w:tc>
              <w:tc>
                <w:tcPr>
                  <w:tcW w:w="1591" w:type="pct"/>
                  <w:tcBorders>
                    <w:tl2br w:val="nil"/>
                    <w:tr2bl w:val="nil"/>
                  </w:tcBorders>
                  <w:noWrap w:val="0"/>
                  <w:vAlign w:val="center"/>
                </w:tcPr>
                <w:p w14:paraId="426E15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水分损失</w:t>
                  </w:r>
                </w:p>
              </w:tc>
              <w:tc>
                <w:tcPr>
                  <w:tcW w:w="1000" w:type="pct"/>
                  <w:tcBorders>
                    <w:tl2br w:val="nil"/>
                    <w:tr2bl w:val="nil"/>
                  </w:tcBorders>
                  <w:noWrap w:val="0"/>
                  <w:vAlign w:val="center"/>
                </w:tcPr>
                <w:p w14:paraId="79779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ascii="Times New Roman" w:hAnsi="Times New Roman" w:cs="Times New Roman"/>
                      <w:color w:val="auto"/>
                      <w:kern w:val="0"/>
                      <w:sz w:val="21"/>
                      <w:szCs w:val="21"/>
                      <w:highlight w:val="none"/>
                      <w:vertAlign w:val="baseline"/>
                      <w:lang w:val="en-US" w:eastAsia="zh-CN"/>
                    </w:rPr>
                    <w:t>2285</w:t>
                  </w:r>
                  <w:r>
                    <w:rPr>
                      <w:rFonts w:hint="eastAsia" w:cs="Times New Roman"/>
                      <w:color w:val="auto"/>
                      <w:kern w:val="0"/>
                      <w:sz w:val="21"/>
                      <w:szCs w:val="21"/>
                      <w:highlight w:val="none"/>
                      <w:vertAlign w:val="baseline"/>
                      <w:lang w:val="en-US" w:eastAsia="zh-CN"/>
                    </w:rPr>
                    <w:t>6.8</w:t>
                  </w:r>
                </w:p>
              </w:tc>
            </w:tr>
            <w:tr w14:paraId="1754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tcBorders>
                    <w:tl2br w:val="nil"/>
                    <w:tr2bl w:val="nil"/>
                  </w:tcBorders>
                  <w:noWrap w:val="0"/>
                  <w:vAlign w:val="center"/>
                </w:tcPr>
                <w:p w14:paraId="674A47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3</w:t>
                  </w:r>
                </w:p>
              </w:tc>
              <w:tc>
                <w:tcPr>
                  <w:tcW w:w="744" w:type="pct"/>
                  <w:tcBorders>
                    <w:tl2br w:val="nil"/>
                    <w:tr2bl w:val="nil"/>
                  </w:tcBorders>
                  <w:noWrap w:val="0"/>
                  <w:vAlign w:val="center"/>
                </w:tcPr>
                <w:p w14:paraId="45E41C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w:t>
                  </w:r>
                </w:p>
              </w:tc>
              <w:tc>
                <w:tcPr>
                  <w:tcW w:w="1047" w:type="pct"/>
                  <w:tcBorders>
                    <w:tl2br w:val="nil"/>
                    <w:tr2bl w:val="nil"/>
                  </w:tcBorders>
                  <w:shd w:val="clear" w:color="auto" w:fill="auto"/>
                  <w:noWrap w:val="0"/>
                  <w:vAlign w:val="center"/>
                </w:tcPr>
                <w:p w14:paraId="06543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cs="Times New Roman"/>
                      <w:color w:val="auto"/>
                      <w:kern w:val="0"/>
                      <w:sz w:val="21"/>
                      <w:szCs w:val="21"/>
                      <w:highlight w:val="none"/>
                      <w:vertAlign w:val="baseline"/>
                      <w:lang w:val="en-US" w:eastAsia="zh-CN"/>
                    </w:rPr>
                    <w:t>/</w:t>
                  </w:r>
                </w:p>
              </w:tc>
              <w:tc>
                <w:tcPr>
                  <w:tcW w:w="1591" w:type="pct"/>
                  <w:tcBorders>
                    <w:tl2br w:val="nil"/>
                    <w:tr2bl w:val="nil"/>
                  </w:tcBorders>
                  <w:noWrap w:val="0"/>
                  <w:vAlign w:val="center"/>
                </w:tcPr>
                <w:p w14:paraId="746779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筛分除杂</w:t>
                  </w:r>
                </w:p>
              </w:tc>
              <w:tc>
                <w:tcPr>
                  <w:tcW w:w="1000" w:type="pct"/>
                  <w:tcBorders>
                    <w:tl2br w:val="nil"/>
                    <w:tr2bl w:val="nil"/>
                  </w:tcBorders>
                  <w:noWrap w:val="0"/>
                  <w:vAlign w:val="center"/>
                </w:tcPr>
                <w:p w14:paraId="5B028E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66.74</w:t>
                  </w:r>
                </w:p>
              </w:tc>
            </w:tr>
            <w:tr w14:paraId="5BFD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tcBorders>
                    <w:tl2br w:val="nil"/>
                    <w:tr2bl w:val="nil"/>
                  </w:tcBorders>
                  <w:noWrap w:val="0"/>
                  <w:vAlign w:val="center"/>
                </w:tcPr>
                <w:p w14:paraId="7307C0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4</w:t>
                  </w:r>
                </w:p>
              </w:tc>
              <w:tc>
                <w:tcPr>
                  <w:tcW w:w="744" w:type="pct"/>
                  <w:tcBorders>
                    <w:tl2br w:val="nil"/>
                    <w:tr2bl w:val="nil"/>
                  </w:tcBorders>
                  <w:noWrap w:val="0"/>
                  <w:vAlign w:val="center"/>
                </w:tcPr>
                <w:p w14:paraId="37763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w:t>
                  </w:r>
                </w:p>
              </w:tc>
              <w:tc>
                <w:tcPr>
                  <w:tcW w:w="1047" w:type="pct"/>
                  <w:tcBorders>
                    <w:tl2br w:val="nil"/>
                    <w:tr2bl w:val="nil"/>
                  </w:tcBorders>
                  <w:shd w:val="clear" w:color="auto" w:fill="auto"/>
                  <w:noWrap w:val="0"/>
                  <w:vAlign w:val="center"/>
                </w:tcPr>
                <w:p w14:paraId="20AB67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cs="Times New Roman"/>
                      <w:color w:val="auto"/>
                      <w:kern w:val="0"/>
                      <w:sz w:val="21"/>
                      <w:szCs w:val="21"/>
                      <w:highlight w:val="none"/>
                      <w:vertAlign w:val="baseline"/>
                      <w:lang w:val="en-US" w:eastAsia="zh-CN"/>
                    </w:rPr>
                    <w:t>/</w:t>
                  </w:r>
                </w:p>
              </w:tc>
              <w:tc>
                <w:tcPr>
                  <w:tcW w:w="1591" w:type="pct"/>
                  <w:tcBorders>
                    <w:tl2br w:val="nil"/>
                    <w:tr2bl w:val="nil"/>
                  </w:tcBorders>
                  <w:noWrap w:val="0"/>
                  <w:vAlign w:val="center"/>
                </w:tcPr>
                <w:p w14:paraId="18D091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无组织排放</w:t>
                  </w:r>
                  <w:r>
                    <w:rPr>
                      <w:rFonts w:hint="default" w:ascii="Times New Roman" w:hAnsi="Times New Roman" w:cs="Times New Roman"/>
                      <w:color w:val="auto"/>
                      <w:kern w:val="0"/>
                      <w:sz w:val="21"/>
                      <w:szCs w:val="21"/>
                      <w:highlight w:val="none"/>
                      <w:vertAlign w:val="baseline"/>
                      <w:lang w:val="en-US" w:eastAsia="zh-CN"/>
                    </w:rPr>
                    <w:t>粉尘</w:t>
                  </w:r>
                </w:p>
              </w:tc>
              <w:tc>
                <w:tcPr>
                  <w:tcW w:w="1000" w:type="pct"/>
                  <w:tcBorders>
                    <w:tl2br w:val="nil"/>
                    <w:tr2bl w:val="nil"/>
                  </w:tcBorders>
                  <w:noWrap w:val="0"/>
                  <w:vAlign w:val="center"/>
                </w:tcPr>
                <w:p w14:paraId="4D47F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9.8154</w:t>
                  </w:r>
                </w:p>
              </w:tc>
            </w:tr>
            <w:tr w14:paraId="0B81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pct"/>
                  <w:tcBorders>
                    <w:tl2br w:val="nil"/>
                    <w:tr2bl w:val="nil"/>
                  </w:tcBorders>
                  <w:noWrap w:val="0"/>
                  <w:vAlign w:val="center"/>
                </w:tcPr>
                <w:p w14:paraId="0965DB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5</w:t>
                  </w:r>
                </w:p>
              </w:tc>
              <w:tc>
                <w:tcPr>
                  <w:tcW w:w="744" w:type="pct"/>
                  <w:tcBorders>
                    <w:tl2br w:val="nil"/>
                    <w:tr2bl w:val="nil"/>
                  </w:tcBorders>
                  <w:noWrap w:val="0"/>
                  <w:vAlign w:val="center"/>
                </w:tcPr>
                <w:p w14:paraId="440F17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w:t>
                  </w:r>
                </w:p>
              </w:tc>
              <w:tc>
                <w:tcPr>
                  <w:tcW w:w="1047" w:type="pct"/>
                  <w:tcBorders>
                    <w:tl2br w:val="nil"/>
                    <w:tr2bl w:val="nil"/>
                  </w:tcBorders>
                  <w:shd w:val="clear" w:color="auto" w:fill="auto"/>
                  <w:noWrap w:val="0"/>
                  <w:vAlign w:val="center"/>
                </w:tcPr>
                <w:p w14:paraId="6B4F6E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cs="Times New Roman"/>
                      <w:color w:val="auto"/>
                      <w:kern w:val="0"/>
                      <w:sz w:val="21"/>
                      <w:szCs w:val="21"/>
                      <w:highlight w:val="none"/>
                      <w:vertAlign w:val="baseline"/>
                      <w:lang w:val="en-US" w:eastAsia="zh-CN"/>
                    </w:rPr>
                    <w:t>/</w:t>
                  </w:r>
                </w:p>
              </w:tc>
              <w:tc>
                <w:tcPr>
                  <w:tcW w:w="1591" w:type="pct"/>
                  <w:tcBorders>
                    <w:tl2br w:val="nil"/>
                    <w:tr2bl w:val="nil"/>
                  </w:tcBorders>
                  <w:noWrap w:val="0"/>
                  <w:vAlign w:val="center"/>
                </w:tcPr>
                <w:p w14:paraId="05799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沉降粉尘及布袋收集尘</w:t>
                  </w:r>
                </w:p>
              </w:tc>
              <w:tc>
                <w:tcPr>
                  <w:tcW w:w="1000" w:type="pct"/>
                  <w:tcBorders>
                    <w:tl2br w:val="nil"/>
                    <w:tr2bl w:val="nil"/>
                  </w:tcBorders>
                  <w:noWrap w:val="0"/>
                  <w:vAlign w:val="center"/>
                </w:tcPr>
                <w:p w14:paraId="197717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66.666</w:t>
                  </w:r>
                </w:p>
              </w:tc>
            </w:tr>
            <w:tr w14:paraId="6EA3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0" w:type="pct"/>
                  <w:gridSpan w:val="2"/>
                  <w:tcBorders>
                    <w:tl2br w:val="nil"/>
                    <w:tr2bl w:val="nil"/>
                  </w:tcBorders>
                  <w:noWrap w:val="0"/>
                  <w:vAlign w:val="center"/>
                </w:tcPr>
                <w:p w14:paraId="3644C4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cs="Times New Roman"/>
                      <w:color w:val="auto"/>
                      <w:kern w:val="0"/>
                      <w:sz w:val="21"/>
                      <w:szCs w:val="21"/>
                      <w:highlight w:val="none"/>
                      <w:vertAlign w:val="baseline"/>
                      <w:lang w:val="en-US" w:eastAsia="zh-CN"/>
                    </w:rPr>
                    <w:t>合计</w:t>
                  </w:r>
                </w:p>
              </w:tc>
              <w:tc>
                <w:tcPr>
                  <w:tcW w:w="1047" w:type="pct"/>
                  <w:tcBorders>
                    <w:tl2br w:val="nil"/>
                    <w:tr2bl w:val="nil"/>
                  </w:tcBorders>
                  <w:noWrap w:val="0"/>
                  <w:vAlign w:val="center"/>
                </w:tcPr>
                <w:p w14:paraId="144E31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vertAlign w:val="baseline"/>
                      <w:lang w:val="en-US"/>
                    </w:rPr>
                  </w:pPr>
                  <w:r>
                    <w:rPr>
                      <w:rFonts w:hint="eastAsia" w:cs="Times New Roman"/>
                      <w:color w:val="auto"/>
                      <w:kern w:val="0"/>
                      <w:sz w:val="21"/>
                      <w:szCs w:val="21"/>
                      <w:highlight w:val="none"/>
                      <w:vertAlign w:val="baseline"/>
                      <w:lang w:val="en-US" w:eastAsia="zh-CN"/>
                    </w:rPr>
                    <w:t>123000</w:t>
                  </w:r>
                </w:p>
              </w:tc>
              <w:tc>
                <w:tcPr>
                  <w:tcW w:w="1591" w:type="pct"/>
                  <w:tcBorders>
                    <w:tl2br w:val="nil"/>
                    <w:tr2bl w:val="nil"/>
                  </w:tcBorders>
                  <w:noWrap w:val="0"/>
                  <w:vAlign w:val="center"/>
                </w:tcPr>
                <w:p w14:paraId="768490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vertAlign w:val="baseline"/>
                    </w:rPr>
                  </w:pPr>
                </w:p>
              </w:tc>
              <w:tc>
                <w:tcPr>
                  <w:tcW w:w="1000" w:type="pct"/>
                  <w:tcBorders>
                    <w:tl2br w:val="nil"/>
                    <w:tr2bl w:val="nil"/>
                  </w:tcBorders>
                  <w:noWrap w:val="0"/>
                  <w:vAlign w:val="center"/>
                </w:tcPr>
                <w:p w14:paraId="2F2DE0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kern w:val="0"/>
                      <w:sz w:val="21"/>
                      <w:szCs w:val="21"/>
                      <w:highlight w:val="none"/>
                      <w:vertAlign w:val="baseline"/>
                      <w:lang w:val="en-US"/>
                    </w:rPr>
                  </w:pPr>
                  <w:r>
                    <w:rPr>
                      <w:rFonts w:hint="eastAsia" w:cs="Times New Roman"/>
                      <w:color w:val="auto"/>
                      <w:kern w:val="0"/>
                      <w:sz w:val="21"/>
                      <w:szCs w:val="21"/>
                      <w:highlight w:val="none"/>
                      <w:vertAlign w:val="baseline"/>
                      <w:lang w:val="en-US" w:eastAsia="zh-CN"/>
                    </w:rPr>
                    <w:t>123000</w:t>
                  </w:r>
                </w:p>
              </w:tc>
            </w:tr>
          </w:tbl>
          <w:p w14:paraId="02756FA2">
            <w:pPr>
              <w:pStyle w:val="114"/>
              <w:keepNext w:val="0"/>
              <w:keepLines w:val="0"/>
              <w:numPr>
                <w:ilvl w:val="0"/>
                <w:numId w:val="0"/>
              </w:numPr>
              <w:suppressLineNumbers w:val="0"/>
              <w:spacing w:before="120" w:beforeLines="50" w:beforeAutospacing="0" w:after="0" w:afterAutospacing="0"/>
              <w:ind w:left="0" w:right="0" w:rightChars="0"/>
              <w:jc w:val="center"/>
              <w:rPr>
                <w:rFonts w:hint="default" w:ascii="Times New Roman" w:hAnsi="Times New Roman" w:eastAsia="宋体" w:cs="Times New Roman"/>
                <w:b/>
                <w:bCs/>
                <w:color w:val="auto"/>
                <w:kern w:val="0"/>
                <w:sz w:val="24"/>
                <w:szCs w:val="24"/>
                <w:highlight w:val="none"/>
                <w:lang w:val="en-US" w:eastAsia="zh-CN" w:bidi="ar-SA"/>
              </w:rPr>
            </w:pPr>
            <w:r>
              <w:rPr>
                <w:rFonts w:hint="default" w:ascii="Times New Roman" w:hAnsi="Times New Roman" w:eastAsia="宋体" w:cs="Times New Roman"/>
                <w:b/>
                <w:bCs/>
                <w:color w:val="auto"/>
                <w:kern w:val="0"/>
                <w:sz w:val="24"/>
                <w:szCs w:val="24"/>
                <w:highlight w:val="none"/>
                <w:lang w:val="en-US" w:eastAsia="zh-CN" w:bidi="ar-SA"/>
              </w:rPr>
              <w:drawing>
                <wp:inline distT="0" distB="0" distL="114300" distR="114300">
                  <wp:extent cx="3084195" cy="1888490"/>
                  <wp:effectExtent l="0" t="0" r="0" b="0"/>
                  <wp:docPr id="7" name="ECB019B1-382A-4266-B25C-5B523AA43C14-1" descr="C:/Users/PC/AppData/Local/Temp/wps.QQnrOS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CB019B1-382A-4266-B25C-5B523AA43C14-1" descr="C:/Users/PC/AppData/Local/Temp/wps.QQnrOSwps"/>
                          <pic:cNvPicPr>
                            <a:picLocks noChangeAspect="1"/>
                          </pic:cNvPicPr>
                        </pic:nvPicPr>
                        <pic:blipFill>
                          <a:blip r:embed="rId23"/>
                          <a:srcRect l="3755" t="6105" r="2355" b="4228"/>
                          <a:stretch>
                            <a:fillRect/>
                          </a:stretch>
                        </pic:blipFill>
                        <pic:spPr>
                          <a:xfrm>
                            <a:off x="0" y="0"/>
                            <a:ext cx="3084195" cy="1888490"/>
                          </a:xfrm>
                          <a:prstGeom prst="rect">
                            <a:avLst/>
                          </a:prstGeom>
                        </pic:spPr>
                      </pic:pic>
                    </a:graphicData>
                  </a:graphic>
                </wp:inline>
              </w:drawing>
            </w:r>
          </w:p>
          <w:p w14:paraId="6630FEFB">
            <w:pPr>
              <w:pStyle w:val="11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bCs/>
                <w:color w:val="auto"/>
                <w:kern w:val="0"/>
                <w:sz w:val="24"/>
                <w:szCs w:val="24"/>
                <w:highlight w:val="none"/>
                <w:lang w:val="en-US" w:eastAsia="zh-CN" w:bidi="ar-SA"/>
              </w:rPr>
            </w:pPr>
            <w:r>
              <w:rPr>
                <w:rFonts w:hint="eastAsia" w:cs="Times New Roman"/>
                <w:b/>
                <w:bCs/>
                <w:color w:val="auto"/>
                <w:kern w:val="0"/>
                <w:sz w:val="24"/>
                <w:szCs w:val="24"/>
                <w:highlight w:val="none"/>
                <w:lang w:val="en-US" w:eastAsia="zh-CN" w:bidi="ar-SA"/>
              </w:rPr>
              <w:t>图2-1  物料平衡一览表</w:t>
            </w:r>
          </w:p>
          <w:p w14:paraId="4B098F11">
            <w:pPr>
              <w:pStyle w:val="11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rightChars="0"/>
              <w:textAlignment w:val="auto"/>
              <w:rPr>
                <w:rFonts w:hint="default" w:ascii="Times New Roman" w:hAnsi="Times New Roman" w:eastAsia="宋体" w:cs="Times New Roman"/>
                <w:b/>
                <w:bCs/>
                <w:color w:val="auto"/>
                <w:sz w:val="24"/>
                <w:szCs w:val="24"/>
                <w:highlight w:val="none"/>
              </w:rPr>
            </w:pPr>
            <w:r>
              <w:rPr>
                <w:rFonts w:hint="eastAsia" w:cs="Times New Roman"/>
                <w:b/>
                <w:bCs/>
                <w:color w:val="auto"/>
                <w:kern w:val="0"/>
                <w:sz w:val="24"/>
                <w:szCs w:val="24"/>
                <w:highlight w:val="none"/>
                <w:lang w:val="en-US" w:eastAsia="zh-CN" w:bidi="ar-SA"/>
              </w:rPr>
              <w:t>7、</w:t>
            </w:r>
            <w:r>
              <w:rPr>
                <w:rFonts w:hint="default" w:ascii="Times New Roman" w:hAnsi="Times New Roman" w:eastAsia="宋体" w:cs="Times New Roman"/>
                <w:b/>
                <w:bCs/>
                <w:color w:val="auto"/>
                <w:sz w:val="24"/>
                <w:szCs w:val="24"/>
                <w:highlight w:val="none"/>
              </w:rPr>
              <w:t>工作制度</w:t>
            </w:r>
          </w:p>
          <w:p w14:paraId="398CD427">
            <w:pPr>
              <w:pStyle w:val="11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rightChars="0" w:firstLine="480" w:firstLineChars="200"/>
              <w:textAlignment w:val="auto"/>
              <w:rPr>
                <w:rFonts w:hint="default" w:cs="Times New Roman"/>
                <w:color w:val="auto"/>
                <w:kern w:val="0"/>
                <w:sz w:val="24"/>
                <w:szCs w:val="24"/>
                <w:lang w:val="en-US" w:eastAsia="zh-CN"/>
              </w:rPr>
            </w:pPr>
            <w:r>
              <w:rPr>
                <w:rFonts w:hint="eastAsia" w:cs="Times New Roman"/>
                <w:color w:val="auto"/>
                <w:kern w:val="0"/>
                <w:sz w:val="24"/>
                <w:szCs w:val="24"/>
                <w:lang w:val="en-US" w:eastAsia="zh-CN"/>
              </w:rPr>
              <w:t>胡杨河华优农业有限公司工作人员30人，本项目仅涉及烘干生产线及生物质热风炉，年生产天数为100d，每天生产12h。</w:t>
            </w:r>
          </w:p>
          <w:p w14:paraId="7EC579D4">
            <w:pPr>
              <w:pStyle w:val="11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rightChars="0"/>
              <w:textAlignment w:val="auto"/>
              <w:rPr>
                <w:rFonts w:hint="default"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8、</w:t>
            </w:r>
            <w:r>
              <w:rPr>
                <w:rFonts w:hint="eastAsia" w:ascii="Times New Roman" w:hAnsi="Times New Roman" w:eastAsia="宋体" w:cs="Times New Roman"/>
                <w:b/>
                <w:bCs/>
                <w:color w:val="auto"/>
                <w:sz w:val="24"/>
                <w:szCs w:val="24"/>
                <w:highlight w:val="none"/>
                <w:lang w:val="en-US" w:eastAsia="zh-CN"/>
              </w:rPr>
              <w:t>给排水</w:t>
            </w:r>
          </w:p>
          <w:p w14:paraId="667B6D40">
            <w:pPr>
              <w:keepNext w:val="0"/>
              <w:keepLines w:val="0"/>
              <w:pageBreakBefore w:val="0"/>
              <w:widowControl w:val="0"/>
              <w:numPr>
                <w:ilvl w:val="0"/>
                <w:numId w:val="0"/>
              </w:numPr>
              <w:suppressLineNumbers w:val="0"/>
              <w:kinsoku/>
              <w:wordWrap/>
              <w:overflowPunct w:val="0"/>
              <w:autoSpaceDE/>
              <w:autoSpaceDN/>
              <w:bidi w:val="0"/>
              <w:spacing w:before="0" w:beforeAutospacing="0" w:after="0" w:afterAutospacing="0" w:line="360" w:lineRule="auto"/>
              <w:ind w:left="0" w:leftChars="0" w:right="0" w:rightChars="0" w:firstLine="482" w:firstLineChars="200"/>
              <w:textAlignment w:val="auto"/>
              <w:rPr>
                <w:rFonts w:hint="eastAsia" w:cs="Times New Roman"/>
                <w:b/>
                <w:bCs/>
                <w:color w:val="auto"/>
                <w:kern w:val="2"/>
                <w:sz w:val="24"/>
                <w:szCs w:val="24"/>
                <w:lang w:val="en-US" w:eastAsia="zh-CN" w:bidi="ar-SA"/>
              </w:rPr>
            </w:pPr>
            <w:r>
              <w:rPr>
                <w:rFonts w:hint="eastAsia" w:cs="Times New Roman"/>
                <w:b/>
                <w:bCs/>
                <w:color w:val="auto"/>
                <w:kern w:val="2"/>
                <w:sz w:val="24"/>
                <w:szCs w:val="24"/>
                <w:lang w:val="en-US" w:eastAsia="zh-CN" w:bidi="ar-SA"/>
              </w:rPr>
              <w:t>8.1 给水</w:t>
            </w:r>
          </w:p>
          <w:p w14:paraId="02BF8E91">
            <w:pPr>
              <w:pStyle w:val="2"/>
              <w:keepNext w:val="0"/>
              <w:keepLines w:val="0"/>
              <w:suppressLineNumbers w:val="0"/>
              <w:adjustRightInd/>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本项目给水</w:t>
            </w:r>
            <w:r>
              <w:rPr>
                <w:rFonts w:hint="eastAsia" w:ascii="Times New Roman" w:hAnsi="Times New Roman" w:eastAsia="宋体" w:cs="Times New Roman"/>
                <w:color w:val="auto"/>
                <w:sz w:val="24"/>
                <w:szCs w:val="24"/>
                <w:highlight w:val="none"/>
                <w:lang w:val="en-US" w:eastAsia="zh-CN"/>
              </w:rPr>
              <w:t>主要为</w:t>
            </w:r>
            <w:r>
              <w:rPr>
                <w:rFonts w:hint="eastAsia" w:ascii="Times New Roman" w:hAnsi="Times New Roman" w:cs="Times New Roman"/>
                <w:color w:val="auto"/>
                <w:sz w:val="24"/>
                <w:szCs w:val="24"/>
                <w:highlight w:val="none"/>
                <w:lang w:val="en-US" w:eastAsia="zh-CN"/>
              </w:rPr>
              <w:t>生活用水及脱硝用水</w:t>
            </w:r>
            <w:r>
              <w:rPr>
                <w:rFonts w:hint="eastAsia" w:ascii="Times New Roman" w:hAnsi="Times New Roman" w:eastAsia="宋体" w:cs="Times New Roman"/>
                <w:color w:val="auto"/>
                <w:sz w:val="24"/>
                <w:szCs w:val="24"/>
                <w:highlight w:val="none"/>
                <w:lang w:eastAsia="zh-CN"/>
              </w:rPr>
              <w:t>，施工期由西侧在建辣椒厂地下水井提供，运营期接入市政供水管网。</w:t>
            </w:r>
          </w:p>
          <w:p w14:paraId="5353EC30">
            <w:pPr>
              <w:keepNext w:val="0"/>
              <w:keepLines w:val="0"/>
              <w:pageBreakBefore w:val="0"/>
              <w:widowControl w:val="0"/>
              <w:numPr>
                <w:ilvl w:val="0"/>
                <w:numId w:val="0"/>
              </w:numPr>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cs="Times New Roman"/>
                <w:color w:val="auto"/>
                <w:sz w:val="24"/>
                <w:szCs w:val="24"/>
                <w:lang w:val="en-US" w:eastAsia="zh-CN"/>
              </w:rPr>
            </w:pPr>
            <w:r>
              <w:rPr>
                <w:rFonts w:hint="eastAsia" w:cs="Times New Roman"/>
                <w:color w:val="auto"/>
                <w:sz w:val="24"/>
                <w:szCs w:val="24"/>
                <w:lang w:val="en-US" w:eastAsia="zh-CN"/>
              </w:rPr>
              <w:t>本项目劳动定员30人，根据《新疆维吾尔自治区生活用水定额》确定本项目职工人均生活用水量为80L/人·d。本项目年运行天数为100d，则项目员工生活用水量约为2.4</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/d（240</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/a）。</w:t>
            </w:r>
          </w:p>
          <w:p w14:paraId="713534D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本项目脱硝系统用水量约为0.</w:t>
            </w:r>
            <w:r>
              <w:rPr>
                <w:rFonts w:hint="eastAsia" w:ascii="Times New Roman" w:hAnsi="Times New Roman" w:cs="Times New Roman"/>
                <w:bCs/>
                <w:color w:val="auto"/>
                <w:sz w:val="24"/>
                <w:highlight w:val="none"/>
                <w:lang w:val="en-US" w:eastAsia="zh-CN"/>
              </w:rPr>
              <w:t>5</w:t>
            </w:r>
            <w:r>
              <w:rPr>
                <w:rFonts w:hint="default" w:ascii="Times New Roman" w:hAnsi="Times New Roman" w:cs="Times New Roman"/>
                <w:bCs/>
                <w:color w:val="auto"/>
                <w:sz w:val="24"/>
                <w:highlight w:val="none"/>
              </w:rPr>
              <w:t>m</w:t>
            </w:r>
            <w:r>
              <w:rPr>
                <w:rFonts w:hint="default" w:ascii="Times New Roman" w:hAnsi="Times New Roman" w:cs="Times New Roman"/>
                <w:bCs/>
                <w:color w:val="auto"/>
                <w:sz w:val="24"/>
                <w:highlight w:val="none"/>
                <w:vertAlign w:val="superscript"/>
              </w:rPr>
              <w:t>3</w:t>
            </w:r>
            <w:r>
              <w:rPr>
                <w:rFonts w:hint="default" w:ascii="Times New Roman" w:hAnsi="Times New Roman" w:cs="Times New Roman"/>
                <w:bCs/>
                <w:color w:val="auto"/>
                <w:sz w:val="24"/>
                <w:highlight w:val="none"/>
              </w:rPr>
              <w:t>/d</w:t>
            </w:r>
            <w:r>
              <w:rPr>
                <w:rFonts w:hint="default" w:ascii="Times New Roman" w:hAnsi="Times New Roman" w:cs="Times New Roman"/>
                <w:bCs/>
                <w:color w:val="auto"/>
                <w:sz w:val="24"/>
                <w:highlight w:val="none"/>
                <w:lang w:eastAsia="zh-CN"/>
              </w:rPr>
              <w:t>（</w:t>
            </w:r>
            <w:r>
              <w:rPr>
                <w:rFonts w:hint="eastAsia" w:ascii="Times New Roman" w:hAnsi="Times New Roman" w:cs="Times New Roman"/>
                <w:bCs/>
                <w:color w:val="auto"/>
                <w:sz w:val="24"/>
                <w:highlight w:val="none"/>
                <w:lang w:val="en-US" w:eastAsia="zh-CN"/>
              </w:rPr>
              <w:t>50</w:t>
            </w:r>
            <w:r>
              <w:rPr>
                <w:rFonts w:hint="default" w:ascii="Times New Roman" w:hAnsi="Times New Roman" w:cs="Times New Roman"/>
                <w:bCs/>
                <w:color w:val="auto"/>
                <w:sz w:val="24"/>
                <w:highlight w:val="none"/>
              </w:rPr>
              <w:t>m</w:t>
            </w:r>
            <w:r>
              <w:rPr>
                <w:rFonts w:hint="default" w:ascii="Times New Roman" w:hAnsi="Times New Roman" w:cs="Times New Roman"/>
                <w:bCs/>
                <w:color w:val="auto"/>
                <w:sz w:val="24"/>
                <w:highlight w:val="none"/>
                <w:vertAlign w:val="superscript"/>
              </w:rPr>
              <w:t>3</w:t>
            </w:r>
            <w:r>
              <w:rPr>
                <w:rFonts w:hint="default" w:ascii="Times New Roman" w:hAnsi="Times New Roman" w:cs="Times New Roman"/>
                <w:bCs/>
                <w:color w:val="auto"/>
                <w:sz w:val="24"/>
                <w:highlight w:val="none"/>
              </w:rPr>
              <w:t>/a</w:t>
            </w:r>
            <w:r>
              <w:rPr>
                <w:rFonts w:hint="default" w:ascii="Times New Roman" w:hAnsi="Times New Roman" w:cs="Times New Roman"/>
                <w:bCs/>
                <w:color w:val="auto"/>
                <w:sz w:val="24"/>
                <w:highlight w:val="none"/>
                <w:lang w:eastAsia="zh-CN"/>
              </w:rPr>
              <w:t>）</w:t>
            </w:r>
            <w:r>
              <w:rPr>
                <w:rFonts w:hint="default" w:ascii="Times New Roman" w:hAnsi="Times New Roman" w:cs="Times New Roman"/>
                <w:bCs/>
                <w:color w:val="auto"/>
                <w:sz w:val="24"/>
                <w:highlight w:val="none"/>
                <w:lang w:val="en-US" w:eastAsia="zh-CN"/>
              </w:rPr>
              <w:t>全部进入烟气</w:t>
            </w:r>
            <w:r>
              <w:rPr>
                <w:rFonts w:hint="default" w:ascii="Times New Roman" w:hAnsi="Times New Roman" w:cs="Times New Roman"/>
                <w:bCs/>
                <w:color w:val="auto"/>
                <w:sz w:val="24"/>
                <w:highlight w:val="none"/>
                <w:lang w:eastAsia="zh-CN"/>
              </w:rPr>
              <w:t>。</w:t>
            </w:r>
          </w:p>
          <w:p w14:paraId="26B43079">
            <w:pPr>
              <w:keepNext w:val="0"/>
              <w:keepLines w:val="0"/>
              <w:pageBreakBefore w:val="0"/>
              <w:widowControl w:val="0"/>
              <w:suppressLineNumbers w:val="0"/>
              <w:kinsoku/>
              <w:wordWrap/>
              <w:overflowPunct/>
              <w:topLinePunct/>
              <w:bidi w:val="0"/>
              <w:snapToGrid w:val="0"/>
              <w:spacing w:before="0" w:beforeAutospacing="0" w:after="0" w:afterAutospacing="0" w:line="360" w:lineRule="auto"/>
              <w:ind w:left="0" w:right="0" w:firstLine="480" w:firstLineChars="200"/>
              <w:jc w:val="left"/>
              <w:textAlignment w:val="auto"/>
              <w:rPr>
                <w:rFonts w:hint="default"/>
                <w:color w:val="auto"/>
                <w:sz w:val="24"/>
                <w:lang w:val="en-US" w:eastAsia="zh-CN"/>
              </w:rPr>
            </w:pPr>
            <w:r>
              <w:rPr>
                <w:rFonts w:hint="eastAsia"/>
                <w:color w:val="auto"/>
                <w:sz w:val="24"/>
                <w:lang w:val="en-US" w:eastAsia="zh-CN"/>
              </w:rPr>
              <w:t>综上，本项目用水总量约为</w:t>
            </w:r>
            <w:r>
              <w:rPr>
                <w:rFonts w:hint="eastAsia" w:cs="Times New Roman"/>
                <w:color w:val="auto"/>
                <w:sz w:val="24"/>
                <w:szCs w:val="24"/>
                <w:lang w:val="en-US" w:eastAsia="zh-CN"/>
              </w:rPr>
              <w:t>2.9</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/d（290</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w:t>
            </w:r>
          </w:p>
          <w:p w14:paraId="4FD31CDC">
            <w:pPr>
              <w:keepNext w:val="0"/>
              <w:keepLines w:val="0"/>
              <w:pageBreakBefore w:val="0"/>
              <w:widowControl w:val="0"/>
              <w:numPr>
                <w:ilvl w:val="0"/>
                <w:numId w:val="0"/>
              </w:numPr>
              <w:suppressLineNumbers w:val="0"/>
              <w:kinsoku/>
              <w:wordWrap/>
              <w:overflowPunct w:val="0"/>
              <w:autoSpaceDE/>
              <w:autoSpaceDN/>
              <w:bidi w:val="0"/>
              <w:spacing w:before="0" w:beforeAutospacing="0" w:after="0" w:afterAutospacing="0" w:line="360" w:lineRule="auto"/>
              <w:ind w:left="0" w:leftChars="0" w:right="0" w:rightChars="0" w:firstLine="482" w:firstLineChars="200"/>
              <w:textAlignment w:val="auto"/>
              <w:rPr>
                <w:rFonts w:hint="eastAsia" w:cs="Times New Roman"/>
                <w:b/>
                <w:bCs/>
                <w:color w:val="auto"/>
                <w:kern w:val="2"/>
                <w:sz w:val="24"/>
                <w:szCs w:val="24"/>
                <w:lang w:val="en-US" w:eastAsia="zh-CN" w:bidi="ar-SA"/>
              </w:rPr>
            </w:pPr>
            <w:r>
              <w:rPr>
                <w:rFonts w:hint="eastAsia" w:cs="Times New Roman"/>
                <w:b/>
                <w:bCs/>
                <w:color w:val="auto"/>
                <w:kern w:val="2"/>
                <w:sz w:val="24"/>
                <w:szCs w:val="24"/>
                <w:lang w:val="en-US" w:eastAsia="zh-CN" w:bidi="ar-SA"/>
              </w:rPr>
              <w:t>8.2 排水</w:t>
            </w:r>
          </w:p>
          <w:p w14:paraId="0ED14897">
            <w:pPr>
              <w:keepNext w:val="0"/>
              <w:keepLines w:val="0"/>
              <w:pageBreakBefore w:val="0"/>
              <w:widowControl w:val="0"/>
              <w:suppressLineNumbers w:val="0"/>
              <w:kinsoku/>
              <w:wordWrap/>
              <w:overflowPunct/>
              <w:topLinePunct/>
              <w:bidi w:val="0"/>
              <w:snapToGrid w:val="0"/>
              <w:spacing w:before="0" w:beforeAutospacing="0" w:after="0" w:afterAutospacing="0" w:line="360" w:lineRule="auto"/>
              <w:ind w:left="0" w:right="0" w:firstLine="480" w:firstLineChars="200"/>
              <w:jc w:val="left"/>
              <w:textAlignment w:val="auto"/>
              <w:rPr>
                <w:rFonts w:hint="eastAsia"/>
                <w:color w:val="auto"/>
                <w:sz w:val="24"/>
                <w:lang w:val="en-US" w:eastAsia="zh-CN"/>
              </w:rPr>
            </w:pPr>
            <w:r>
              <w:rPr>
                <w:rFonts w:hint="eastAsia"/>
                <w:color w:val="auto"/>
                <w:sz w:val="24"/>
                <w:lang w:val="en-US" w:eastAsia="zh-CN"/>
              </w:rPr>
              <w:t>本项目排水主要为生活污水。</w:t>
            </w:r>
          </w:p>
          <w:p w14:paraId="5FD0466B">
            <w:pPr>
              <w:keepNext w:val="0"/>
              <w:keepLines w:val="0"/>
              <w:pageBreakBefore w:val="0"/>
              <w:widowControl w:val="0"/>
              <w:suppressLineNumbers w:val="0"/>
              <w:kinsoku/>
              <w:wordWrap/>
              <w:overflowPunct/>
              <w:topLinePunct/>
              <w:bidi w:val="0"/>
              <w:snapToGrid w:val="0"/>
              <w:spacing w:before="0" w:beforeAutospacing="0" w:after="0" w:afterAutospacing="0" w:line="360" w:lineRule="auto"/>
              <w:ind w:left="0" w:right="0" w:firstLine="480" w:firstLineChars="200"/>
              <w:jc w:val="left"/>
              <w:textAlignment w:val="auto"/>
              <w:rPr>
                <w:rFonts w:hint="default"/>
                <w:color w:val="auto"/>
                <w:sz w:val="24"/>
                <w:lang w:val="en-US" w:eastAsia="zh-CN"/>
              </w:rPr>
            </w:pPr>
            <w:r>
              <w:rPr>
                <w:rFonts w:hint="eastAsia"/>
                <w:color w:val="auto"/>
                <w:sz w:val="24"/>
                <w:lang w:val="en-US" w:eastAsia="zh-CN"/>
              </w:rPr>
              <w:t>本项目生活污水按生活用水量</w:t>
            </w:r>
            <w:r>
              <w:rPr>
                <w:rFonts w:hint="eastAsia" w:cs="Times New Roman"/>
                <w:color w:val="auto"/>
                <w:sz w:val="24"/>
                <w:szCs w:val="24"/>
                <w:lang w:val="en-US" w:eastAsia="zh-CN"/>
              </w:rPr>
              <w:t>2.4</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/d（240</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/a）的80%计，则生活污水量为1.92</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/d（192</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/a），</w:t>
            </w:r>
            <w:r>
              <w:rPr>
                <w:rFonts w:hint="eastAsia"/>
                <w:color w:val="auto"/>
                <w:sz w:val="24"/>
                <w:lang w:val="en-US" w:eastAsia="zh-CN"/>
              </w:rPr>
              <w:t>项目区暂时未接入市政排水管网，新建1处容积为50m</w:t>
            </w:r>
            <w:r>
              <w:rPr>
                <w:rFonts w:hint="eastAsia"/>
                <w:color w:val="auto"/>
                <w:sz w:val="24"/>
                <w:vertAlign w:val="superscript"/>
                <w:lang w:val="en-US" w:eastAsia="zh-CN"/>
              </w:rPr>
              <w:t>3</w:t>
            </w:r>
            <w:r>
              <w:rPr>
                <w:rFonts w:hint="eastAsia"/>
                <w:color w:val="auto"/>
                <w:sz w:val="24"/>
                <w:lang w:val="en-US" w:eastAsia="zh-CN"/>
              </w:rPr>
              <w:t>的化粪池收集污水，定期吸污拉运至天北经济技术开发区污水处理厂处理。</w:t>
            </w:r>
          </w:p>
          <w:p w14:paraId="7E9D53B4">
            <w:pPr>
              <w:keepNext w:val="0"/>
              <w:keepLines w:val="0"/>
              <w:pageBreakBefore w:val="0"/>
              <w:widowControl w:val="0"/>
              <w:suppressLineNumbers w:val="0"/>
              <w:kinsoku/>
              <w:wordWrap/>
              <w:topLinePunct/>
              <w:autoSpaceDE/>
              <w:autoSpaceDN/>
              <w:bidi w:val="0"/>
              <w:spacing w:before="0" w:beforeAutospacing="0" w:after="0" w:afterAutospacing="0" w:line="360" w:lineRule="auto"/>
              <w:ind w:left="0" w:right="0" w:firstLine="480" w:firstLineChars="200"/>
              <w:textAlignment w:val="auto"/>
              <w:rPr>
                <w:rFonts w:hint="eastAsia"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综上，</w:t>
            </w:r>
            <w:r>
              <w:rPr>
                <w:rFonts w:hint="eastAsia"/>
                <w:color w:val="auto"/>
                <w:sz w:val="24"/>
                <w:lang w:val="en-US" w:eastAsia="zh-CN"/>
              </w:rPr>
              <w:t>本项目排水</w:t>
            </w:r>
            <w:r>
              <w:rPr>
                <w:rFonts w:hint="eastAsia"/>
                <w:color w:val="auto"/>
                <w:sz w:val="24"/>
                <w:highlight w:val="none"/>
                <w:lang w:val="en-US" w:eastAsia="zh-CN"/>
              </w:rPr>
              <w:t>总量约为</w:t>
            </w:r>
            <w:r>
              <w:rPr>
                <w:rFonts w:hint="eastAsia" w:cs="Times New Roman"/>
                <w:color w:val="auto"/>
                <w:sz w:val="24"/>
                <w:szCs w:val="24"/>
                <w:lang w:val="en-US" w:eastAsia="zh-CN"/>
              </w:rPr>
              <w:t>1.92</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/d（192</w:t>
            </w:r>
            <w:r>
              <w:rPr>
                <w:rFonts w:hint="default"/>
                <w:color w:val="auto"/>
                <w:sz w:val="24"/>
              </w:rPr>
              <w:t>m</w:t>
            </w:r>
            <w:r>
              <w:rPr>
                <w:rFonts w:hint="default"/>
                <w:color w:val="auto"/>
                <w:sz w:val="24"/>
                <w:vertAlign w:val="superscript"/>
              </w:rPr>
              <w:t>3</w:t>
            </w:r>
            <w:r>
              <w:rPr>
                <w:rFonts w:hint="eastAsia" w:cs="Times New Roman"/>
                <w:color w:val="auto"/>
                <w:sz w:val="24"/>
                <w:szCs w:val="24"/>
                <w:lang w:val="en-US" w:eastAsia="zh-CN"/>
              </w:rPr>
              <w:t>/a）</w:t>
            </w:r>
            <w:r>
              <w:rPr>
                <w:rFonts w:hint="default" w:ascii="Times New Roman" w:hAnsi="Times New Roman" w:eastAsia="宋体" w:cs="Times New Roman"/>
                <w:color w:val="auto"/>
                <w:sz w:val="24"/>
                <w:szCs w:val="24"/>
                <w:highlight w:val="none"/>
                <w:lang w:val="en-US" w:eastAsia="zh-CN"/>
              </w:rPr>
              <w:t>。</w:t>
            </w:r>
          </w:p>
          <w:p w14:paraId="125DDDF5">
            <w:pPr>
              <w:pStyle w:val="10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snapToGrid w:val="0"/>
                <w:color w:val="auto"/>
                <w:sz w:val="24"/>
                <w:highlight w:val="none"/>
              </w:rPr>
            </w:pPr>
            <w:r>
              <w:rPr>
                <w:rFonts w:hint="eastAsia"/>
                <w:bCs/>
                <w:color w:val="auto"/>
                <w:sz w:val="24"/>
                <w:szCs w:val="24"/>
                <w:highlight w:val="none"/>
              </w:rPr>
              <w:t>项目供排水估算详见表2-</w:t>
            </w:r>
            <w:r>
              <w:rPr>
                <w:rFonts w:hint="eastAsia"/>
                <w:bCs/>
                <w:color w:val="auto"/>
                <w:sz w:val="24"/>
                <w:szCs w:val="24"/>
                <w:highlight w:val="none"/>
                <w:lang w:val="en-US" w:eastAsia="zh-CN"/>
              </w:rPr>
              <w:t>8，</w:t>
            </w:r>
            <w:r>
              <w:rPr>
                <w:rFonts w:hint="default" w:eastAsia="宋体"/>
                <w:snapToGrid w:val="0"/>
                <w:color w:val="auto"/>
                <w:sz w:val="24"/>
                <w:highlight w:val="none"/>
              </w:rPr>
              <w:t>给、排水水平衡图见图</w:t>
            </w:r>
            <w:r>
              <w:rPr>
                <w:rFonts w:hint="default" w:eastAsia="宋体"/>
                <w:snapToGrid w:val="0"/>
                <w:color w:val="auto"/>
                <w:sz w:val="24"/>
                <w:highlight w:val="none"/>
                <w:lang w:val="en-US"/>
              </w:rPr>
              <w:t>2-</w:t>
            </w:r>
            <w:r>
              <w:rPr>
                <w:rFonts w:hint="eastAsia"/>
                <w:snapToGrid w:val="0"/>
                <w:color w:val="auto"/>
                <w:sz w:val="24"/>
                <w:highlight w:val="none"/>
                <w:lang w:val="en-US" w:eastAsia="zh-CN"/>
              </w:rPr>
              <w:t>2</w:t>
            </w:r>
            <w:r>
              <w:rPr>
                <w:rFonts w:hint="default" w:eastAsia="宋体"/>
                <w:snapToGrid w:val="0"/>
                <w:color w:val="auto"/>
                <w:sz w:val="24"/>
                <w:highlight w:val="none"/>
              </w:rPr>
              <w:t>。</w:t>
            </w:r>
          </w:p>
          <w:p w14:paraId="38E6CAF7">
            <w:pPr>
              <w:pStyle w:val="147"/>
              <w:keepNext w:val="0"/>
              <w:keepLines w:val="0"/>
              <w:suppressLineNumbers w:val="0"/>
              <w:bidi w:val="0"/>
              <w:spacing w:before="0" w:beforeAutospacing="0" w:after="0" w:afterAutospacing="0"/>
              <w:ind w:left="0" w:right="0"/>
              <w:rPr>
                <w:color w:val="auto"/>
                <w:highlight w:val="none"/>
              </w:rPr>
            </w:pPr>
            <w:r>
              <w:rPr>
                <w:color w:val="auto"/>
                <w:highlight w:val="none"/>
              </w:rPr>
              <w:t>表2-</w:t>
            </w:r>
            <w:r>
              <w:rPr>
                <w:rFonts w:hint="eastAsia"/>
                <w:color w:val="auto"/>
                <w:highlight w:val="none"/>
                <w:lang w:val="en-US" w:eastAsia="zh-CN"/>
              </w:rPr>
              <w:t>8</w:t>
            </w:r>
            <w:r>
              <w:rPr>
                <w:color w:val="auto"/>
                <w:highlight w:val="none"/>
              </w:rPr>
              <w:t xml:space="preserve">  项目给、排水一览表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
              <w:gridCol w:w="950"/>
              <w:gridCol w:w="681"/>
              <w:gridCol w:w="626"/>
              <w:gridCol w:w="1047"/>
              <w:gridCol w:w="681"/>
              <w:gridCol w:w="682"/>
              <w:gridCol w:w="3213"/>
            </w:tblGrid>
            <w:tr w14:paraId="4498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 w:type="pct"/>
                  <w:vMerge w:val="restart"/>
                  <w:tcBorders>
                    <w:tl2br w:val="nil"/>
                    <w:tr2bl w:val="nil"/>
                  </w:tcBorders>
                  <w:tcMar>
                    <w:left w:w="51" w:type="dxa"/>
                    <w:right w:w="51" w:type="dxa"/>
                  </w:tcMar>
                  <w:vAlign w:val="center"/>
                </w:tcPr>
                <w:p w14:paraId="0DB0D4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r>
                    <w:rPr>
                      <w:rFonts w:hint="default"/>
                      <w:b/>
                      <w:bCs/>
                      <w:color w:val="auto"/>
                      <w:highlight w:val="none"/>
                    </w:rPr>
                    <w:t>序号</w:t>
                  </w:r>
                </w:p>
              </w:tc>
              <w:tc>
                <w:tcPr>
                  <w:tcW w:w="575" w:type="pct"/>
                  <w:vMerge w:val="restart"/>
                  <w:tcBorders>
                    <w:tl2br w:val="nil"/>
                    <w:tr2bl w:val="nil"/>
                  </w:tcBorders>
                  <w:tcMar>
                    <w:left w:w="51" w:type="dxa"/>
                    <w:right w:w="51" w:type="dxa"/>
                  </w:tcMar>
                  <w:vAlign w:val="center"/>
                </w:tcPr>
                <w:p w14:paraId="7B12E8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r>
                    <w:rPr>
                      <w:rFonts w:hint="default"/>
                      <w:b/>
                      <w:bCs/>
                      <w:color w:val="auto"/>
                      <w:highlight w:val="none"/>
                    </w:rPr>
                    <w:t>项目名称</w:t>
                  </w:r>
                </w:p>
              </w:tc>
              <w:tc>
                <w:tcPr>
                  <w:tcW w:w="791" w:type="pct"/>
                  <w:gridSpan w:val="2"/>
                  <w:tcBorders>
                    <w:tl2br w:val="nil"/>
                    <w:tr2bl w:val="nil"/>
                  </w:tcBorders>
                  <w:tcMar>
                    <w:left w:w="51" w:type="dxa"/>
                    <w:right w:w="51" w:type="dxa"/>
                  </w:tcMar>
                  <w:vAlign w:val="center"/>
                </w:tcPr>
                <w:p w14:paraId="3B979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r>
                    <w:rPr>
                      <w:rFonts w:hint="default"/>
                      <w:b/>
                      <w:bCs/>
                      <w:color w:val="auto"/>
                      <w:highlight w:val="none"/>
                    </w:rPr>
                    <w:t>用水量</w:t>
                  </w:r>
                </w:p>
              </w:tc>
              <w:tc>
                <w:tcPr>
                  <w:tcW w:w="634" w:type="pct"/>
                  <w:tcBorders>
                    <w:tl2br w:val="nil"/>
                    <w:tr2bl w:val="nil"/>
                  </w:tcBorders>
                  <w:tcMar>
                    <w:left w:w="51" w:type="dxa"/>
                    <w:right w:w="51" w:type="dxa"/>
                  </w:tcMar>
                  <w:vAlign w:val="center"/>
                </w:tcPr>
                <w:p w14:paraId="506295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b/>
                      <w:bCs/>
                      <w:color w:val="auto"/>
                      <w:highlight w:val="none"/>
                      <w:lang w:val="en-US" w:eastAsia="zh-CN"/>
                    </w:rPr>
                  </w:pPr>
                  <w:r>
                    <w:rPr>
                      <w:rFonts w:hint="eastAsia"/>
                      <w:b/>
                      <w:bCs/>
                      <w:color w:val="auto"/>
                      <w:highlight w:val="none"/>
                      <w:lang w:val="en-US" w:eastAsia="zh-CN"/>
                    </w:rPr>
                    <w:t>损耗/产品带走</w:t>
                  </w:r>
                </w:p>
              </w:tc>
              <w:tc>
                <w:tcPr>
                  <w:tcW w:w="825" w:type="pct"/>
                  <w:gridSpan w:val="2"/>
                  <w:tcBorders>
                    <w:tl2br w:val="nil"/>
                    <w:tr2bl w:val="nil"/>
                  </w:tcBorders>
                  <w:tcMar>
                    <w:left w:w="51" w:type="dxa"/>
                    <w:right w:w="51" w:type="dxa"/>
                  </w:tcMar>
                  <w:vAlign w:val="center"/>
                </w:tcPr>
                <w:p w14:paraId="2D50AF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r>
                    <w:rPr>
                      <w:rFonts w:hint="default"/>
                      <w:b/>
                      <w:bCs/>
                      <w:color w:val="auto"/>
                      <w:highlight w:val="none"/>
                    </w:rPr>
                    <w:t>排水量</w:t>
                  </w:r>
                </w:p>
              </w:tc>
              <w:tc>
                <w:tcPr>
                  <w:tcW w:w="1945" w:type="pct"/>
                  <w:vMerge w:val="restart"/>
                  <w:tcBorders>
                    <w:tl2br w:val="nil"/>
                    <w:tr2bl w:val="nil"/>
                  </w:tcBorders>
                  <w:tcMar>
                    <w:left w:w="51" w:type="dxa"/>
                    <w:right w:w="51" w:type="dxa"/>
                  </w:tcMar>
                  <w:vAlign w:val="center"/>
                </w:tcPr>
                <w:p w14:paraId="7EBE0E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eastAsia="宋体"/>
                      <w:b/>
                      <w:bCs/>
                      <w:color w:val="auto"/>
                      <w:highlight w:val="none"/>
                      <w:lang w:val="en-US" w:eastAsia="zh-CN"/>
                    </w:rPr>
                  </w:pPr>
                  <w:r>
                    <w:rPr>
                      <w:rFonts w:hint="eastAsia"/>
                      <w:b/>
                      <w:bCs/>
                      <w:color w:val="auto"/>
                      <w:highlight w:val="none"/>
                      <w:lang w:val="en-US" w:eastAsia="zh-CN"/>
                    </w:rPr>
                    <w:t>备注</w:t>
                  </w:r>
                </w:p>
              </w:tc>
            </w:tr>
            <w:tr w14:paraId="241E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 w:type="pct"/>
                  <w:vMerge w:val="continue"/>
                  <w:tcBorders>
                    <w:tl2br w:val="nil"/>
                    <w:tr2bl w:val="nil"/>
                  </w:tcBorders>
                  <w:tcMar>
                    <w:left w:w="51" w:type="dxa"/>
                    <w:right w:w="51" w:type="dxa"/>
                  </w:tcMar>
                  <w:vAlign w:val="center"/>
                </w:tcPr>
                <w:p w14:paraId="51F954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p>
              </w:tc>
              <w:tc>
                <w:tcPr>
                  <w:tcW w:w="575" w:type="pct"/>
                  <w:vMerge w:val="continue"/>
                  <w:tcBorders>
                    <w:tl2br w:val="nil"/>
                    <w:tr2bl w:val="nil"/>
                  </w:tcBorders>
                  <w:tcMar>
                    <w:left w:w="51" w:type="dxa"/>
                    <w:right w:w="51" w:type="dxa"/>
                  </w:tcMar>
                  <w:vAlign w:val="center"/>
                </w:tcPr>
                <w:p w14:paraId="257DA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p>
              </w:tc>
              <w:tc>
                <w:tcPr>
                  <w:tcW w:w="412" w:type="pct"/>
                  <w:tcBorders>
                    <w:tl2br w:val="nil"/>
                    <w:tr2bl w:val="nil"/>
                  </w:tcBorders>
                  <w:tcMar>
                    <w:left w:w="51" w:type="dxa"/>
                    <w:right w:w="51" w:type="dxa"/>
                  </w:tcMar>
                  <w:vAlign w:val="center"/>
                </w:tcPr>
                <w:p w14:paraId="4D8840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r>
                    <w:rPr>
                      <w:rFonts w:hint="default"/>
                      <w:b/>
                      <w:bCs/>
                      <w:color w:val="auto"/>
                      <w:highlight w:val="none"/>
                    </w:rPr>
                    <w:t>m</w:t>
                  </w:r>
                  <w:r>
                    <w:rPr>
                      <w:rFonts w:hint="default"/>
                      <w:b/>
                      <w:bCs/>
                      <w:color w:val="auto"/>
                      <w:highlight w:val="none"/>
                      <w:vertAlign w:val="superscript"/>
                    </w:rPr>
                    <w:t>3</w:t>
                  </w:r>
                  <w:r>
                    <w:rPr>
                      <w:rFonts w:hint="default"/>
                      <w:b/>
                      <w:bCs/>
                      <w:color w:val="auto"/>
                      <w:highlight w:val="none"/>
                    </w:rPr>
                    <w:t>/d</w:t>
                  </w:r>
                </w:p>
              </w:tc>
              <w:tc>
                <w:tcPr>
                  <w:tcW w:w="379" w:type="pct"/>
                  <w:tcBorders>
                    <w:tl2br w:val="nil"/>
                    <w:tr2bl w:val="nil"/>
                  </w:tcBorders>
                  <w:tcMar>
                    <w:left w:w="51" w:type="dxa"/>
                    <w:right w:w="51" w:type="dxa"/>
                  </w:tcMar>
                  <w:vAlign w:val="center"/>
                </w:tcPr>
                <w:p w14:paraId="71421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r>
                    <w:rPr>
                      <w:rFonts w:hint="default"/>
                      <w:b/>
                      <w:bCs/>
                      <w:color w:val="auto"/>
                      <w:highlight w:val="none"/>
                    </w:rPr>
                    <w:t>m</w:t>
                  </w:r>
                  <w:r>
                    <w:rPr>
                      <w:rFonts w:hint="default"/>
                      <w:b/>
                      <w:bCs/>
                      <w:color w:val="auto"/>
                      <w:highlight w:val="none"/>
                      <w:vertAlign w:val="superscript"/>
                    </w:rPr>
                    <w:t>3</w:t>
                  </w:r>
                  <w:r>
                    <w:rPr>
                      <w:rFonts w:hint="default"/>
                      <w:b/>
                      <w:bCs/>
                      <w:color w:val="auto"/>
                      <w:highlight w:val="none"/>
                    </w:rPr>
                    <w:t>/a</w:t>
                  </w:r>
                </w:p>
              </w:tc>
              <w:tc>
                <w:tcPr>
                  <w:tcW w:w="634" w:type="pct"/>
                  <w:tcBorders>
                    <w:tl2br w:val="nil"/>
                    <w:tr2bl w:val="nil"/>
                  </w:tcBorders>
                  <w:tcMar>
                    <w:left w:w="51" w:type="dxa"/>
                    <w:right w:w="51" w:type="dxa"/>
                  </w:tcMar>
                  <w:vAlign w:val="center"/>
                </w:tcPr>
                <w:p w14:paraId="3CDC1B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kern w:val="2"/>
                      <w:sz w:val="21"/>
                      <w:szCs w:val="24"/>
                      <w:highlight w:val="none"/>
                      <w:lang w:val="en-US" w:eastAsia="zh-CN" w:bidi="ar-SA"/>
                    </w:rPr>
                  </w:pPr>
                  <w:r>
                    <w:rPr>
                      <w:rFonts w:hint="default"/>
                      <w:b/>
                      <w:bCs/>
                      <w:color w:val="auto"/>
                      <w:highlight w:val="none"/>
                    </w:rPr>
                    <w:t>m</w:t>
                  </w:r>
                  <w:r>
                    <w:rPr>
                      <w:rFonts w:hint="default"/>
                      <w:b/>
                      <w:bCs/>
                      <w:color w:val="auto"/>
                      <w:highlight w:val="none"/>
                      <w:vertAlign w:val="superscript"/>
                    </w:rPr>
                    <w:t>3</w:t>
                  </w:r>
                  <w:r>
                    <w:rPr>
                      <w:rFonts w:hint="default"/>
                      <w:b/>
                      <w:bCs/>
                      <w:color w:val="auto"/>
                      <w:highlight w:val="none"/>
                    </w:rPr>
                    <w:t>/a</w:t>
                  </w:r>
                </w:p>
              </w:tc>
              <w:tc>
                <w:tcPr>
                  <w:tcW w:w="412" w:type="pct"/>
                  <w:tcBorders>
                    <w:tl2br w:val="nil"/>
                    <w:tr2bl w:val="nil"/>
                  </w:tcBorders>
                  <w:tcMar>
                    <w:left w:w="51" w:type="dxa"/>
                    <w:right w:w="51" w:type="dxa"/>
                  </w:tcMar>
                  <w:vAlign w:val="center"/>
                </w:tcPr>
                <w:p w14:paraId="00BB94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r>
                    <w:rPr>
                      <w:rFonts w:hint="default"/>
                      <w:b/>
                      <w:bCs/>
                      <w:color w:val="auto"/>
                      <w:highlight w:val="none"/>
                    </w:rPr>
                    <w:t>m</w:t>
                  </w:r>
                  <w:r>
                    <w:rPr>
                      <w:rFonts w:hint="default"/>
                      <w:b/>
                      <w:bCs/>
                      <w:color w:val="auto"/>
                      <w:highlight w:val="none"/>
                      <w:vertAlign w:val="superscript"/>
                    </w:rPr>
                    <w:t>3</w:t>
                  </w:r>
                  <w:r>
                    <w:rPr>
                      <w:rFonts w:hint="default"/>
                      <w:b/>
                      <w:bCs/>
                      <w:color w:val="auto"/>
                      <w:highlight w:val="none"/>
                    </w:rPr>
                    <w:t>/d</w:t>
                  </w:r>
                </w:p>
              </w:tc>
              <w:tc>
                <w:tcPr>
                  <w:tcW w:w="413" w:type="pct"/>
                  <w:tcBorders>
                    <w:tl2br w:val="nil"/>
                    <w:tr2bl w:val="nil"/>
                  </w:tcBorders>
                  <w:tcMar>
                    <w:left w:w="51" w:type="dxa"/>
                    <w:right w:w="51" w:type="dxa"/>
                  </w:tcMar>
                  <w:vAlign w:val="center"/>
                </w:tcPr>
                <w:p w14:paraId="2B41D9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r>
                    <w:rPr>
                      <w:rFonts w:hint="default"/>
                      <w:b/>
                      <w:bCs/>
                      <w:color w:val="auto"/>
                      <w:highlight w:val="none"/>
                    </w:rPr>
                    <w:t>m</w:t>
                  </w:r>
                  <w:r>
                    <w:rPr>
                      <w:rFonts w:hint="default"/>
                      <w:b/>
                      <w:bCs/>
                      <w:color w:val="auto"/>
                      <w:highlight w:val="none"/>
                      <w:vertAlign w:val="superscript"/>
                    </w:rPr>
                    <w:t>3</w:t>
                  </w:r>
                  <w:r>
                    <w:rPr>
                      <w:rFonts w:hint="default"/>
                      <w:b/>
                      <w:bCs/>
                      <w:color w:val="auto"/>
                      <w:highlight w:val="none"/>
                    </w:rPr>
                    <w:t>/a</w:t>
                  </w:r>
                </w:p>
              </w:tc>
              <w:tc>
                <w:tcPr>
                  <w:tcW w:w="1945" w:type="pct"/>
                  <w:vMerge w:val="continue"/>
                  <w:tcBorders>
                    <w:tl2br w:val="nil"/>
                    <w:tr2bl w:val="nil"/>
                  </w:tcBorders>
                  <w:tcMar>
                    <w:left w:w="51" w:type="dxa"/>
                    <w:right w:w="51" w:type="dxa"/>
                  </w:tcMar>
                  <w:vAlign w:val="center"/>
                </w:tcPr>
                <w:p w14:paraId="0C9F21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highlight w:val="none"/>
                    </w:rPr>
                  </w:pPr>
                </w:p>
              </w:tc>
            </w:tr>
            <w:tr w14:paraId="20C7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 w:type="pct"/>
                  <w:tcBorders>
                    <w:tl2br w:val="nil"/>
                    <w:tr2bl w:val="nil"/>
                  </w:tcBorders>
                  <w:tcMar>
                    <w:left w:w="51" w:type="dxa"/>
                    <w:right w:w="51" w:type="dxa"/>
                  </w:tcMar>
                  <w:vAlign w:val="center"/>
                </w:tcPr>
                <w:p w14:paraId="6F2A11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1</w:t>
                  </w:r>
                </w:p>
              </w:tc>
              <w:tc>
                <w:tcPr>
                  <w:tcW w:w="575" w:type="pct"/>
                  <w:tcBorders>
                    <w:tl2br w:val="nil"/>
                    <w:tr2bl w:val="nil"/>
                  </w:tcBorders>
                  <w:tcMar>
                    <w:left w:w="51" w:type="dxa"/>
                    <w:right w:w="51" w:type="dxa"/>
                  </w:tcMar>
                  <w:vAlign w:val="center"/>
                </w:tcPr>
                <w:p w14:paraId="5E1C3C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highlight w:val="none"/>
                      <w:lang w:val="en-US" w:eastAsia="zh-CN"/>
                    </w:rPr>
                  </w:pPr>
                  <w:r>
                    <w:rPr>
                      <w:rFonts w:hint="eastAsia"/>
                      <w:color w:val="auto"/>
                      <w:highlight w:val="none"/>
                      <w:lang w:val="en-US" w:eastAsia="zh-CN"/>
                    </w:rPr>
                    <w:t>生活用水</w:t>
                  </w:r>
                </w:p>
              </w:tc>
              <w:tc>
                <w:tcPr>
                  <w:tcW w:w="412" w:type="pct"/>
                  <w:tcBorders>
                    <w:tl2br w:val="nil"/>
                    <w:tr2bl w:val="nil"/>
                  </w:tcBorders>
                  <w:tcMar>
                    <w:left w:w="51" w:type="dxa"/>
                    <w:right w:w="51" w:type="dxa"/>
                  </w:tcMar>
                  <w:vAlign w:val="center"/>
                </w:tcPr>
                <w:p w14:paraId="19C478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eastAsia="宋体"/>
                      <w:b w:val="0"/>
                      <w:bCs w:val="0"/>
                      <w:color w:val="auto"/>
                      <w:highlight w:val="none"/>
                      <w:lang w:val="en-US" w:eastAsia="zh-CN"/>
                    </w:rPr>
                  </w:pPr>
                  <w:r>
                    <w:rPr>
                      <w:rFonts w:hint="eastAsia"/>
                      <w:b w:val="0"/>
                      <w:bCs w:val="0"/>
                      <w:color w:val="auto"/>
                      <w:highlight w:val="none"/>
                      <w:lang w:val="en-US" w:eastAsia="zh-CN"/>
                    </w:rPr>
                    <w:t>2.4</w:t>
                  </w:r>
                </w:p>
              </w:tc>
              <w:tc>
                <w:tcPr>
                  <w:tcW w:w="379" w:type="pct"/>
                  <w:tcBorders>
                    <w:tl2br w:val="nil"/>
                    <w:tr2bl w:val="nil"/>
                  </w:tcBorders>
                  <w:tcMar>
                    <w:left w:w="51" w:type="dxa"/>
                    <w:right w:w="51" w:type="dxa"/>
                  </w:tcMar>
                  <w:vAlign w:val="center"/>
                </w:tcPr>
                <w:p w14:paraId="24261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eastAsia="宋体"/>
                      <w:b w:val="0"/>
                      <w:bCs w:val="0"/>
                      <w:color w:val="auto"/>
                      <w:highlight w:val="none"/>
                      <w:lang w:val="en-US" w:eastAsia="zh-CN"/>
                    </w:rPr>
                  </w:pPr>
                  <w:r>
                    <w:rPr>
                      <w:rFonts w:hint="eastAsia"/>
                      <w:b w:val="0"/>
                      <w:bCs w:val="0"/>
                      <w:color w:val="auto"/>
                      <w:highlight w:val="none"/>
                      <w:lang w:val="en-US" w:eastAsia="zh-CN"/>
                    </w:rPr>
                    <w:t>240</w:t>
                  </w:r>
                </w:p>
              </w:tc>
              <w:tc>
                <w:tcPr>
                  <w:tcW w:w="634" w:type="pct"/>
                  <w:tcBorders>
                    <w:tl2br w:val="nil"/>
                    <w:tr2bl w:val="nil"/>
                  </w:tcBorders>
                  <w:tcMar>
                    <w:left w:w="51" w:type="dxa"/>
                    <w:right w:w="51" w:type="dxa"/>
                  </w:tcMar>
                  <w:vAlign w:val="center"/>
                </w:tcPr>
                <w:p w14:paraId="6BBA6B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48</w:t>
                  </w:r>
                </w:p>
              </w:tc>
              <w:tc>
                <w:tcPr>
                  <w:tcW w:w="412" w:type="pct"/>
                  <w:tcBorders>
                    <w:tl2br w:val="nil"/>
                    <w:tr2bl w:val="nil"/>
                  </w:tcBorders>
                  <w:tcMar>
                    <w:left w:w="51" w:type="dxa"/>
                    <w:right w:w="51" w:type="dxa"/>
                  </w:tcMar>
                  <w:vAlign w:val="center"/>
                </w:tcPr>
                <w:p w14:paraId="031742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1.92</w:t>
                  </w:r>
                </w:p>
              </w:tc>
              <w:tc>
                <w:tcPr>
                  <w:tcW w:w="413" w:type="pct"/>
                  <w:tcBorders>
                    <w:tl2br w:val="nil"/>
                    <w:tr2bl w:val="nil"/>
                  </w:tcBorders>
                  <w:tcMar>
                    <w:left w:w="51" w:type="dxa"/>
                    <w:right w:w="51" w:type="dxa"/>
                  </w:tcMar>
                  <w:vAlign w:val="center"/>
                </w:tcPr>
                <w:p w14:paraId="005DF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192</w:t>
                  </w:r>
                </w:p>
              </w:tc>
              <w:tc>
                <w:tcPr>
                  <w:tcW w:w="1945" w:type="pct"/>
                  <w:tcBorders>
                    <w:tl2br w:val="nil"/>
                    <w:tr2bl w:val="nil"/>
                  </w:tcBorders>
                  <w:tcMar>
                    <w:left w:w="51" w:type="dxa"/>
                    <w:right w:w="51" w:type="dxa"/>
                  </w:tcMar>
                  <w:vAlign w:val="center"/>
                </w:tcPr>
                <w:p w14:paraId="67EF9F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w:t>
                  </w:r>
                </w:p>
              </w:tc>
            </w:tr>
            <w:tr w14:paraId="5B9B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 w:type="pct"/>
                  <w:tcBorders>
                    <w:tl2br w:val="nil"/>
                    <w:tr2bl w:val="nil"/>
                  </w:tcBorders>
                  <w:tcMar>
                    <w:left w:w="51" w:type="dxa"/>
                    <w:right w:w="51" w:type="dxa"/>
                  </w:tcMar>
                  <w:vAlign w:val="center"/>
                </w:tcPr>
                <w:p w14:paraId="538B38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2</w:t>
                  </w:r>
                </w:p>
              </w:tc>
              <w:tc>
                <w:tcPr>
                  <w:tcW w:w="575" w:type="pct"/>
                  <w:tcBorders>
                    <w:tl2br w:val="nil"/>
                    <w:tr2bl w:val="nil"/>
                  </w:tcBorders>
                  <w:tcMar>
                    <w:left w:w="51" w:type="dxa"/>
                    <w:right w:w="51" w:type="dxa"/>
                  </w:tcMar>
                  <w:vAlign w:val="center"/>
                </w:tcPr>
                <w:p w14:paraId="32ABC3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highlight w:val="none"/>
                      <w:lang w:val="en-US" w:eastAsia="zh-CN"/>
                    </w:rPr>
                  </w:pPr>
                  <w:r>
                    <w:rPr>
                      <w:rFonts w:hint="eastAsia"/>
                      <w:color w:val="auto"/>
                      <w:highlight w:val="none"/>
                      <w:lang w:val="en-US" w:eastAsia="zh-CN"/>
                    </w:rPr>
                    <w:t>脱硝用水</w:t>
                  </w:r>
                </w:p>
              </w:tc>
              <w:tc>
                <w:tcPr>
                  <w:tcW w:w="412" w:type="pct"/>
                  <w:tcBorders>
                    <w:tl2br w:val="nil"/>
                    <w:tr2bl w:val="nil"/>
                  </w:tcBorders>
                  <w:tcMar>
                    <w:left w:w="51" w:type="dxa"/>
                    <w:right w:w="51" w:type="dxa"/>
                  </w:tcMar>
                  <w:vAlign w:val="center"/>
                </w:tcPr>
                <w:p w14:paraId="5FF6AB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0.5</w:t>
                  </w:r>
                </w:p>
              </w:tc>
              <w:tc>
                <w:tcPr>
                  <w:tcW w:w="379" w:type="pct"/>
                  <w:tcBorders>
                    <w:tl2br w:val="nil"/>
                    <w:tr2bl w:val="nil"/>
                  </w:tcBorders>
                  <w:tcMar>
                    <w:left w:w="51" w:type="dxa"/>
                    <w:right w:w="51" w:type="dxa"/>
                  </w:tcMar>
                  <w:vAlign w:val="center"/>
                </w:tcPr>
                <w:p w14:paraId="6140D9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50</w:t>
                  </w:r>
                </w:p>
              </w:tc>
              <w:tc>
                <w:tcPr>
                  <w:tcW w:w="634" w:type="pct"/>
                  <w:tcBorders>
                    <w:tl2br w:val="nil"/>
                    <w:tr2bl w:val="nil"/>
                  </w:tcBorders>
                  <w:tcMar>
                    <w:left w:w="51" w:type="dxa"/>
                    <w:right w:w="51" w:type="dxa"/>
                  </w:tcMar>
                  <w:vAlign w:val="center"/>
                </w:tcPr>
                <w:p w14:paraId="5A7571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50</w:t>
                  </w:r>
                </w:p>
              </w:tc>
              <w:tc>
                <w:tcPr>
                  <w:tcW w:w="412" w:type="pct"/>
                  <w:tcBorders>
                    <w:tl2br w:val="nil"/>
                    <w:tr2bl w:val="nil"/>
                  </w:tcBorders>
                  <w:tcMar>
                    <w:left w:w="51" w:type="dxa"/>
                    <w:right w:w="51" w:type="dxa"/>
                  </w:tcMar>
                  <w:vAlign w:val="center"/>
                </w:tcPr>
                <w:p w14:paraId="70F10D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1.92</w:t>
                  </w:r>
                </w:p>
              </w:tc>
              <w:tc>
                <w:tcPr>
                  <w:tcW w:w="413" w:type="pct"/>
                  <w:tcBorders>
                    <w:tl2br w:val="nil"/>
                    <w:tr2bl w:val="nil"/>
                  </w:tcBorders>
                  <w:tcMar>
                    <w:left w:w="51" w:type="dxa"/>
                    <w:right w:w="51" w:type="dxa"/>
                  </w:tcMar>
                  <w:vAlign w:val="center"/>
                </w:tcPr>
                <w:p w14:paraId="4B8D6C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192</w:t>
                  </w:r>
                </w:p>
              </w:tc>
              <w:tc>
                <w:tcPr>
                  <w:tcW w:w="1945" w:type="pct"/>
                  <w:tcBorders>
                    <w:tl2br w:val="nil"/>
                    <w:tr2bl w:val="nil"/>
                  </w:tcBorders>
                  <w:tcMar>
                    <w:left w:w="51" w:type="dxa"/>
                    <w:right w:w="51" w:type="dxa"/>
                  </w:tcMar>
                  <w:vAlign w:val="center"/>
                </w:tcPr>
                <w:p w14:paraId="3EB7A2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w:t>
                  </w:r>
                </w:p>
              </w:tc>
            </w:tr>
            <w:tr w14:paraId="658E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 w:type="pct"/>
                  <w:tcBorders>
                    <w:tl2br w:val="nil"/>
                    <w:tr2bl w:val="nil"/>
                  </w:tcBorders>
                  <w:tcMar>
                    <w:left w:w="51" w:type="dxa"/>
                    <w:right w:w="51" w:type="dxa"/>
                  </w:tcMar>
                  <w:vAlign w:val="center"/>
                </w:tcPr>
                <w:p w14:paraId="078C1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highlight w:val="none"/>
                    </w:rPr>
                  </w:pPr>
                </w:p>
              </w:tc>
              <w:tc>
                <w:tcPr>
                  <w:tcW w:w="575" w:type="pct"/>
                  <w:tcBorders>
                    <w:tl2br w:val="nil"/>
                    <w:tr2bl w:val="nil"/>
                  </w:tcBorders>
                  <w:tcMar>
                    <w:left w:w="51" w:type="dxa"/>
                    <w:right w:w="51" w:type="dxa"/>
                  </w:tcMar>
                  <w:vAlign w:val="center"/>
                </w:tcPr>
                <w:p w14:paraId="24EDBA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highlight w:val="none"/>
                    </w:rPr>
                  </w:pPr>
                  <w:r>
                    <w:rPr>
                      <w:rFonts w:hint="default"/>
                      <w:color w:val="auto"/>
                      <w:highlight w:val="none"/>
                    </w:rPr>
                    <w:t>总计</w:t>
                  </w:r>
                </w:p>
              </w:tc>
              <w:tc>
                <w:tcPr>
                  <w:tcW w:w="412" w:type="pct"/>
                  <w:tcBorders>
                    <w:tl2br w:val="nil"/>
                    <w:tr2bl w:val="nil"/>
                  </w:tcBorders>
                  <w:tcMar>
                    <w:left w:w="51" w:type="dxa"/>
                    <w:right w:w="51" w:type="dxa"/>
                  </w:tcMar>
                  <w:vAlign w:val="center"/>
                </w:tcPr>
                <w:p w14:paraId="37483F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eastAsia="宋体"/>
                      <w:color w:val="auto"/>
                      <w:highlight w:val="none"/>
                      <w:lang w:val="en-US" w:eastAsia="zh-CN"/>
                    </w:rPr>
                  </w:pPr>
                  <w:r>
                    <w:rPr>
                      <w:rFonts w:hint="eastAsia"/>
                      <w:color w:val="auto"/>
                      <w:highlight w:val="none"/>
                      <w:lang w:val="en-US" w:eastAsia="zh-CN"/>
                    </w:rPr>
                    <w:t>2.9</w:t>
                  </w:r>
                </w:p>
              </w:tc>
              <w:tc>
                <w:tcPr>
                  <w:tcW w:w="379" w:type="pct"/>
                  <w:tcBorders>
                    <w:tl2br w:val="nil"/>
                    <w:tr2bl w:val="nil"/>
                  </w:tcBorders>
                  <w:tcMar>
                    <w:left w:w="51" w:type="dxa"/>
                    <w:right w:w="51" w:type="dxa"/>
                  </w:tcMar>
                  <w:vAlign w:val="center"/>
                </w:tcPr>
                <w:p w14:paraId="6CBD3A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eastAsia="宋体"/>
                      <w:color w:val="auto"/>
                      <w:highlight w:val="none"/>
                      <w:lang w:val="en-US" w:eastAsia="zh-CN"/>
                    </w:rPr>
                  </w:pPr>
                  <w:r>
                    <w:rPr>
                      <w:rFonts w:hint="eastAsia"/>
                      <w:color w:val="auto"/>
                      <w:highlight w:val="none"/>
                      <w:lang w:val="en-US" w:eastAsia="zh-CN"/>
                    </w:rPr>
                    <w:t>290</w:t>
                  </w:r>
                </w:p>
              </w:tc>
              <w:tc>
                <w:tcPr>
                  <w:tcW w:w="634" w:type="pct"/>
                  <w:tcBorders>
                    <w:tl2br w:val="nil"/>
                    <w:tr2bl w:val="nil"/>
                  </w:tcBorders>
                  <w:tcMar>
                    <w:left w:w="51" w:type="dxa"/>
                    <w:right w:w="51" w:type="dxa"/>
                  </w:tcMar>
                  <w:vAlign w:val="center"/>
                </w:tcPr>
                <w:p w14:paraId="73DA32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98</w:t>
                  </w:r>
                </w:p>
              </w:tc>
              <w:tc>
                <w:tcPr>
                  <w:tcW w:w="412" w:type="pct"/>
                  <w:tcBorders>
                    <w:tl2br w:val="nil"/>
                    <w:tr2bl w:val="nil"/>
                  </w:tcBorders>
                  <w:tcMar>
                    <w:left w:w="51" w:type="dxa"/>
                    <w:right w:w="51" w:type="dxa"/>
                  </w:tcMar>
                  <w:vAlign w:val="center"/>
                </w:tcPr>
                <w:p w14:paraId="6ECD42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eastAsia="宋体"/>
                      <w:color w:val="auto"/>
                      <w:highlight w:val="none"/>
                      <w:lang w:val="en-US" w:eastAsia="zh-CN"/>
                    </w:rPr>
                  </w:pPr>
                  <w:r>
                    <w:rPr>
                      <w:rFonts w:hint="eastAsia"/>
                      <w:b w:val="0"/>
                      <w:bCs w:val="0"/>
                      <w:color w:val="auto"/>
                      <w:highlight w:val="none"/>
                      <w:lang w:val="en-US" w:eastAsia="zh-CN"/>
                    </w:rPr>
                    <w:t>1.92</w:t>
                  </w:r>
                </w:p>
              </w:tc>
              <w:tc>
                <w:tcPr>
                  <w:tcW w:w="413" w:type="pct"/>
                  <w:tcBorders>
                    <w:tl2br w:val="nil"/>
                    <w:tr2bl w:val="nil"/>
                  </w:tcBorders>
                  <w:tcMar>
                    <w:left w:w="51" w:type="dxa"/>
                    <w:right w:w="51" w:type="dxa"/>
                  </w:tcMar>
                  <w:vAlign w:val="center"/>
                </w:tcPr>
                <w:p w14:paraId="24A2A6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eastAsia="宋体"/>
                      <w:color w:val="auto"/>
                      <w:highlight w:val="none"/>
                      <w:lang w:val="en-US" w:eastAsia="zh-CN"/>
                    </w:rPr>
                  </w:pPr>
                  <w:r>
                    <w:rPr>
                      <w:rFonts w:hint="eastAsia"/>
                      <w:b w:val="0"/>
                      <w:bCs w:val="0"/>
                      <w:color w:val="auto"/>
                      <w:highlight w:val="none"/>
                      <w:lang w:val="en-US" w:eastAsia="zh-CN"/>
                    </w:rPr>
                    <w:t>192</w:t>
                  </w:r>
                </w:p>
              </w:tc>
              <w:tc>
                <w:tcPr>
                  <w:tcW w:w="1945" w:type="pct"/>
                  <w:tcBorders>
                    <w:tl2br w:val="nil"/>
                    <w:tr2bl w:val="nil"/>
                  </w:tcBorders>
                  <w:tcMar>
                    <w:left w:w="51" w:type="dxa"/>
                    <w:right w:w="51" w:type="dxa"/>
                  </w:tcMar>
                  <w:vAlign w:val="center"/>
                </w:tcPr>
                <w:p w14:paraId="476035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highlight w:val="none"/>
                      <w:lang w:val="en-US" w:eastAsia="zh-CN"/>
                    </w:rPr>
                  </w:pPr>
                  <w:r>
                    <w:rPr>
                      <w:rFonts w:hint="eastAsia"/>
                      <w:color w:val="auto"/>
                      <w:highlight w:val="none"/>
                      <w:lang w:val="en-US" w:eastAsia="zh-CN"/>
                    </w:rPr>
                    <w:t>/</w:t>
                  </w:r>
                </w:p>
              </w:tc>
            </w:tr>
          </w:tbl>
          <w:p w14:paraId="6A82F996">
            <w:pPr>
              <w:pStyle w:val="10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eastAsia="宋体"/>
                <w:snapToGrid w:val="0"/>
                <w:color w:val="auto"/>
                <w:sz w:val="24"/>
                <w:highlight w:val="none"/>
                <w:lang w:eastAsia="zh-CN"/>
              </w:rPr>
            </w:pPr>
            <w:r>
              <w:rPr>
                <w:rFonts w:hint="eastAsia" w:eastAsia="宋体"/>
                <w:snapToGrid w:val="0"/>
                <w:color w:val="auto"/>
                <w:sz w:val="24"/>
                <w:highlight w:val="none"/>
                <w:lang w:eastAsia="zh-CN"/>
              </w:rPr>
              <w:drawing>
                <wp:inline distT="0" distB="0" distL="114300" distR="114300">
                  <wp:extent cx="3778250" cy="1287145"/>
                  <wp:effectExtent l="0" t="0" r="0" b="0"/>
                  <wp:docPr id="4" name="ECB019B1-382A-4266-B25C-5B523AA43C14-2" descr="C:/Users/Administrator/AppData/Local/Temp/wps.smwkKW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2" descr="C:/Users/Administrator/AppData/Local/Temp/wps.smwkKWwps"/>
                          <pic:cNvPicPr>
                            <a:picLocks noChangeAspect="1"/>
                          </pic:cNvPicPr>
                        </pic:nvPicPr>
                        <pic:blipFill>
                          <a:blip r:embed="rId24"/>
                          <a:srcRect t="13424" b="5233"/>
                          <a:stretch>
                            <a:fillRect/>
                          </a:stretch>
                        </pic:blipFill>
                        <pic:spPr>
                          <a:xfrm>
                            <a:off x="0" y="0"/>
                            <a:ext cx="3778250" cy="1287145"/>
                          </a:xfrm>
                          <a:prstGeom prst="rect">
                            <a:avLst/>
                          </a:prstGeom>
                        </pic:spPr>
                      </pic:pic>
                    </a:graphicData>
                  </a:graphic>
                </wp:inline>
              </w:drawing>
            </w:r>
          </w:p>
          <w:p w14:paraId="2C856E61">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olor w:val="auto"/>
                <w:lang w:val="en-US" w:eastAsia="zh-CN"/>
              </w:rPr>
            </w:pPr>
            <w:r>
              <w:rPr>
                <w:rFonts w:hint="eastAsia" w:ascii="Times New Roman" w:hAnsi="Times New Roman" w:eastAsia="宋体"/>
                <w:b/>
                <w:bCs/>
                <w:color w:val="auto"/>
                <w:sz w:val="24"/>
                <w:lang w:val="en-US" w:eastAsia="zh-CN"/>
              </w:rPr>
              <w:t>图2-</w:t>
            </w:r>
            <w:r>
              <w:rPr>
                <w:rFonts w:hint="eastAsia" w:ascii="Times New Roman" w:hAnsi="Times New Roman"/>
                <w:b/>
                <w:bCs/>
                <w:color w:val="auto"/>
                <w:sz w:val="24"/>
                <w:lang w:val="en-US" w:eastAsia="zh-CN"/>
              </w:rPr>
              <w:t>2</w:t>
            </w:r>
            <w:r>
              <w:rPr>
                <w:rFonts w:hint="eastAsia" w:ascii="Times New Roman" w:hAnsi="Times New Roman" w:eastAsia="宋体"/>
                <w:b/>
                <w:bCs/>
                <w:color w:val="auto"/>
                <w:sz w:val="24"/>
                <w:lang w:val="en-US" w:eastAsia="zh-CN"/>
              </w:rPr>
              <w:t xml:space="preserve">  项目水平衡图（m</w:t>
            </w:r>
            <w:r>
              <w:rPr>
                <w:rFonts w:hint="eastAsia" w:ascii="Times New Roman" w:hAnsi="Times New Roman" w:eastAsia="宋体"/>
                <w:b/>
                <w:bCs/>
                <w:color w:val="auto"/>
                <w:sz w:val="24"/>
                <w:vertAlign w:val="superscript"/>
                <w:lang w:val="en-US" w:eastAsia="zh-CN"/>
              </w:rPr>
              <w:t>3</w:t>
            </w:r>
            <w:r>
              <w:rPr>
                <w:rFonts w:hint="eastAsia" w:ascii="Times New Roman" w:hAnsi="Times New Roman" w:eastAsia="宋体"/>
                <w:b/>
                <w:bCs/>
                <w:color w:val="auto"/>
                <w:sz w:val="24"/>
                <w:lang w:val="en-US" w:eastAsia="zh-CN"/>
              </w:rPr>
              <w:t>/a</w:t>
            </w:r>
            <w:r>
              <w:rPr>
                <w:rFonts w:hint="eastAsia" w:ascii="Times New Roman" w:hAnsi="Times New Roman"/>
                <w:b/>
                <w:bCs/>
                <w:color w:val="auto"/>
                <w:sz w:val="24"/>
                <w:lang w:val="en-US" w:eastAsia="zh-CN"/>
              </w:rPr>
              <w:t>）</w:t>
            </w:r>
          </w:p>
          <w:p w14:paraId="2DFAA652">
            <w:pPr>
              <w:pStyle w:val="114"/>
              <w:keepNext w:val="0"/>
              <w:keepLines w:val="0"/>
              <w:numPr>
                <w:ilvl w:val="0"/>
                <w:numId w:val="0"/>
              </w:numPr>
              <w:suppressLineNumbers w:val="0"/>
              <w:spacing w:before="120" w:beforeLines="50" w:beforeAutospacing="0" w:after="0" w:afterAutospacing="0"/>
              <w:ind w:left="0" w:right="0" w:rightChars="0"/>
              <w:rPr>
                <w:rFonts w:hint="eastAsia" w:cs="Times New Roman"/>
                <w:b/>
                <w:bCs/>
                <w:color w:val="auto"/>
                <w:kern w:val="0"/>
                <w:sz w:val="24"/>
                <w:lang w:val="en-US" w:eastAsia="zh-CN"/>
              </w:rPr>
            </w:pPr>
            <w:r>
              <w:rPr>
                <w:rFonts w:hint="eastAsia" w:cs="Times New Roman"/>
                <w:b/>
                <w:bCs/>
                <w:color w:val="auto"/>
                <w:kern w:val="0"/>
                <w:sz w:val="24"/>
                <w:lang w:val="en-US" w:eastAsia="zh-CN"/>
              </w:rPr>
              <w:t>9、供电</w:t>
            </w:r>
          </w:p>
          <w:p w14:paraId="7889A0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eastAsia="宋体" w:cs="Times New Roman"/>
                <w:color w:val="auto"/>
                <w:sz w:val="24"/>
                <w:highlight w:val="none"/>
                <w:lang w:val="en-US" w:eastAsia="zh-CN"/>
              </w:rPr>
            </w:pPr>
            <w:r>
              <w:rPr>
                <w:rFonts w:hint="eastAsia" w:eastAsia="宋体" w:cs="Times New Roman"/>
                <w:color w:val="auto"/>
                <w:sz w:val="24"/>
                <w:highlight w:val="none"/>
                <w:lang w:val="en-US" w:eastAsia="zh-CN"/>
              </w:rPr>
              <w:t>用电由项目区南侧10kV电力线路接入。</w:t>
            </w:r>
          </w:p>
          <w:p w14:paraId="3CAD9472">
            <w:pPr>
              <w:pStyle w:val="114"/>
              <w:keepNext w:val="0"/>
              <w:keepLines w:val="0"/>
              <w:numPr>
                <w:ilvl w:val="0"/>
                <w:numId w:val="0"/>
              </w:numPr>
              <w:suppressLineNumbers w:val="0"/>
              <w:spacing w:before="120" w:beforeLines="50" w:beforeAutospacing="0" w:after="0" w:afterAutospacing="0"/>
              <w:ind w:left="0" w:right="0" w:rightChars="0"/>
              <w:rPr>
                <w:rFonts w:hint="default" w:ascii="Times New Roman" w:hAnsi="Times New Roman" w:eastAsia="宋体" w:cs="Times New Roman"/>
                <w:b/>
                <w:bCs/>
                <w:color w:val="auto"/>
                <w:kern w:val="0"/>
                <w:sz w:val="24"/>
              </w:rPr>
            </w:pPr>
            <w:r>
              <w:rPr>
                <w:rFonts w:hint="eastAsia" w:cs="Times New Roman"/>
                <w:b/>
                <w:bCs/>
                <w:color w:val="auto"/>
                <w:kern w:val="0"/>
                <w:sz w:val="24"/>
                <w:lang w:val="en-US" w:eastAsia="zh-CN"/>
              </w:rPr>
              <w:t>10、</w:t>
            </w:r>
            <w:r>
              <w:rPr>
                <w:rFonts w:hint="default" w:ascii="Times New Roman" w:hAnsi="Times New Roman" w:eastAsia="宋体" w:cs="Times New Roman"/>
                <w:b/>
                <w:bCs/>
                <w:color w:val="auto"/>
                <w:kern w:val="0"/>
                <w:sz w:val="24"/>
              </w:rPr>
              <w:t>平面布置</w:t>
            </w:r>
          </w:p>
          <w:p w14:paraId="4FC5CD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cs="Times New Roman"/>
                <w:color w:val="auto"/>
                <w:sz w:val="24"/>
                <w:highlight w:val="none"/>
                <w:u w:val="none"/>
                <w:lang w:val="en-US" w:eastAsia="zh-CN"/>
              </w:rPr>
            </w:pPr>
            <w:r>
              <w:rPr>
                <w:rFonts w:hint="default" w:ascii="Times New Roman" w:hAnsi="Times New Roman" w:eastAsia="宋体" w:cs="Times New Roman"/>
                <w:color w:val="auto"/>
                <w:sz w:val="24"/>
                <w:highlight w:val="none"/>
              </w:rPr>
              <w:t>项目位于</w:t>
            </w:r>
            <w:r>
              <w:rPr>
                <w:rFonts w:hint="eastAsia" w:ascii="Times New Roman" w:hAnsi="Times New Roman" w:eastAsia="宋体" w:cs="Times New Roman"/>
                <w:color w:val="auto"/>
                <w:sz w:val="24"/>
                <w:highlight w:val="none"/>
                <w:lang w:val="en-US" w:eastAsia="zh-CN"/>
              </w:rPr>
              <w:t>新疆生产建设兵团第七师131团1连漠河大道以东，217国道以西</w:t>
            </w:r>
            <w:r>
              <w:rPr>
                <w:rFonts w:hint="eastAsia" w:cs="Times New Roman"/>
                <w:color w:val="auto"/>
                <w:sz w:val="24"/>
                <w:highlight w:val="none"/>
                <w:lang w:val="en-US" w:eastAsia="zh-CN"/>
              </w:rPr>
              <w:t>。项目区</w:t>
            </w:r>
            <w:r>
              <w:rPr>
                <w:rFonts w:hint="eastAsia" w:cs="Times New Roman"/>
                <w:color w:val="auto"/>
                <w:sz w:val="24"/>
                <w:highlight w:val="none"/>
                <w:u w:val="none"/>
                <w:lang w:val="en-US" w:eastAsia="zh-CN"/>
              </w:rPr>
              <w:t>平面布置呈规则矩形，总用地面积为35835.27m</w:t>
            </w:r>
            <w:r>
              <w:rPr>
                <w:rFonts w:hint="eastAsia" w:cs="Times New Roman"/>
                <w:color w:val="auto"/>
                <w:sz w:val="24"/>
                <w:highlight w:val="none"/>
                <w:u w:val="none"/>
                <w:vertAlign w:val="superscript"/>
                <w:lang w:val="en-US" w:eastAsia="zh-CN"/>
              </w:rPr>
              <w:t>2</w:t>
            </w:r>
            <w:r>
              <w:rPr>
                <w:rFonts w:hint="eastAsia" w:cs="Times New Roman"/>
                <w:color w:val="auto"/>
                <w:sz w:val="24"/>
                <w:highlight w:val="none"/>
                <w:u w:val="none"/>
                <w:lang w:val="en-US" w:eastAsia="zh-CN"/>
              </w:rPr>
              <w:t>，新建办公生活用房、烘干厂房、设备区（内设锅炉房）、粮仓。</w:t>
            </w:r>
          </w:p>
          <w:p w14:paraId="767695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cs="Times New Roman"/>
                <w:color w:val="auto"/>
                <w:sz w:val="24"/>
                <w:highlight w:val="none"/>
                <w:u w:val="none"/>
                <w:lang w:val="en-US" w:eastAsia="zh-CN"/>
              </w:rPr>
            </w:pPr>
            <w:r>
              <w:rPr>
                <w:rFonts w:hint="eastAsia" w:cs="Times New Roman"/>
                <w:color w:val="auto"/>
                <w:sz w:val="24"/>
                <w:highlight w:val="none"/>
                <w:u w:val="none"/>
                <w:lang w:val="en-US" w:eastAsia="zh-CN"/>
              </w:rPr>
              <w:t>项目区南侧为现有公路，大门、值班室及办公生活用房位于项目区南侧，烘干厂房位于项目区西侧，锅炉房位于项目区西北角，为烘干车间提供热能，粮仓（4#）位于项目区北侧，烘干厂房中已烘干玉米通过提升传送带，可直接传送至粮仓中。</w:t>
            </w:r>
          </w:p>
          <w:p w14:paraId="0FC2FF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color w:val="auto"/>
              </w:rPr>
            </w:pPr>
            <w:r>
              <w:rPr>
                <w:rFonts w:hint="eastAsia" w:cs="Times New Roman"/>
                <w:color w:val="auto"/>
                <w:sz w:val="24"/>
                <w:highlight w:val="none"/>
                <w:lang w:val="en-US" w:eastAsia="zh-CN"/>
              </w:rPr>
              <w:t>项目区</w:t>
            </w:r>
            <w:r>
              <w:rPr>
                <w:rFonts w:hint="eastAsia" w:ascii="Times New Roman" w:hAnsi="Times New Roman" w:cs="Times New Roman"/>
                <w:color w:val="auto"/>
                <w:kern w:val="2"/>
                <w:sz w:val="24"/>
                <w:szCs w:val="24"/>
                <w:highlight w:val="none"/>
                <w:lang w:val="en-US" w:eastAsia="zh-CN"/>
              </w:rPr>
              <w:t>道路沿</w:t>
            </w:r>
            <w:r>
              <w:rPr>
                <w:rFonts w:hint="eastAsia" w:cs="Times New Roman"/>
                <w:color w:val="auto"/>
                <w:kern w:val="2"/>
                <w:sz w:val="24"/>
                <w:szCs w:val="24"/>
                <w:highlight w:val="none"/>
                <w:lang w:val="en-US" w:eastAsia="zh-CN"/>
              </w:rPr>
              <w:t>各分区环形布置</w:t>
            </w:r>
            <w:r>
              <w:rPr>
                <w:rFonts w:hint="eastAsia" w:ascii="Times New Roman" w:hAnsi="Times New Roman" w:cs="Times New Roman"/>
                <w:color w:val="auto"/>
                <w:kern w:val="2"/>
                <w:sz w:val="24"/>
                <w:szCs w:val="24"/>
                <w:highlight w:val="none"/>
                <w:lang w:val="en-US" w:eastAsia="zh-CN"/>
              </w:rPr>
              <w:t>，保证物流通畅，功能分区清晰，布局符合工艺流程中的物料走向，减少了物流的运输时间和成本。</w:t>
            </w:r>
            <w:r>
              <w:rPr>
                <w:rFonts w:hint="eastAsia" w:cs="Times New Roman"/>
                <w:color w:val="auto"/>
                <w:kern w:val="2"/>
                <w:sz w:val="24"/>
                <w:szCs w:val="24"/>
                <w:highlight w:val="none"/>
                <w:lang w:val="en-US" w:eastAsia="zh-CN"/>
              </w:rPr>
              <w:t>场内道路均采取硬化，空地均设置有绿化区，达到整洁卫生，环境优雅，交通便利，利于消防的目的</w:t>
            </w:r>
            <w:r>
              <w:rPr>
                <w:rFonts w:hint="eastAsia" w:ascii="Times New Roman" w:hAnsi="Times New Roman" w:cs="Times New Roman"/>
                <w:color w:val="auto"/>
                <w:kern w:val="2"/>
                <w:sz w:val="24"/>
                <w:szCs w:val="24"/>
                <w:highlight w:val="none"/>
                <w:lang w:val="en-US" w:eastAsia="zh-CN"/>
              </w:rPr>
              <w:t>。因此，本项目厂区平面布置合理。</w:t>
            </w:r>
            <w:r>
              <w:rPr>
                <w:rFonts w:hint="eastAsia" w:ascii="Times New Roman" w:hAnsi="Times New Roman" w:eastAsia="宋体" w:cs="Times New Roman"/>
                <w:color w:val="auto"/>
                <w:kern w:val="2"/>
                <w:sz w:val="24"/>
                <w:szCs w:val="24"/>
                <w:highlight w:val="none"/>
                <w:lang w:val="en-US" w:eastAsia="zh-CN"/>
              </w:rPr>
              <w:t>平面布置示意图见</w:t>
            </w:r>
            <w:r>
              <w:rPr>
                <w:rFonts w:hint="eastAsia" w:ascii="Times New Roman" w:hAnsi="Times New Roman" w:eastAsia="宋体" w:cs="Times New Roman"/>
                <w:b/>
                <w:bCs/>
                <w:color w:val="auto"/>
                <w:kern w:val="2"/>
                <w:sz w:val="24"/>
                <w:szCs w:val="24"/>
                <w:highlight w:val="none"/>
                <w:lang w:val="en-US" w:eastAsia="zh-CN"/>
              </w:rPr>
              <w:t>附图</w:t>
            </w:r>
            <w:r>
              <w:rPr>
                <w:rFonts w:hint="eastAsia" w:cs="Times New Roman"/>
                <w:b/>
                <w:bCs/>
                <w:color w:val="auto"/>
                <w:kern w:val="2"/>
                <w:sz w:val="24"/>
                <w:szCs w:val="24"/>
                <w:highlight w:val="none"/>
                <w:lang w:val="en-US" w:eastAsia="zh-CN"/>
              </w:rPr>
              <w:t>7</w:t>
            </w:r>
            <w:r>
              <w:rPr>
                <w:rFonts w:hint="eastAsia" w:ascii="Times New Roman" w:hAnsi="Times New Roman" w:eastAsia="宋体" w:cs="Times New Roman"/>
                <w:color w:val="auto"/>
                <w:kern w:val="2"/>
                <w:sz w:val="24"/>
                <w:szCs w:val="24"/>
                <w:highlight w:val="none"/>
                <w:lang w:val="en-US" w:eastAsia="zh-CN"/>
              </w:rPr>
              <w:t>。</w:t>
            </w:r>
          </w:p>
        </w:tc>
      </w:tr>
      <w:tr w14:paraId="54BF8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6" w:type="dxa"/>
            <w:noWrap w:val="0"/>
            <w:vAlign w:val="center"/>
          </w:tcPr>
          <w:p w14:paraId="0B82FF0F">
            <w:pPr>
              <w:pStyle w:val="34"/>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工艺流程和产排污环节</w:t>
            </w:r>
          </w:p>
        </w:tc>
        <w:tc>
          <w:tcPr>
            <w:tcW w:w="8478" w:type="dxa"/>
            <w:noWrap w:val="0"/>
            <w:vAlign w:val="top"/>
          </w:tcPr>
          <w:p w14:paraId="65F834F8">
            <w:pPr>
              <w:pStyle w:val="2"/>
              <w:keepNext w:val="0"/>
              <w:keepLines w:val="0"/>
              <w:numPr>
                <w:ilvl w:val="0"/>
                <w:numId w:val="0"/>
              </w:numPr>
              <w:suppressLineNumbers w:val="0"/>
              <w:adjustRightInd/>
              <w:spacing w:before="0" w:beforeAutospacing="0" w:after="0" w:afterAutospacing="0" w:line="360" w:lineRule="auto"/>
              <w:ind w:left="0" w:right="0" w:rightChars="0"/>
              <w:jc w:val="left"/>
              <w:rPr>
                <w:rFonts w:hint="eastAsia" w:ascii="Times New Roman" w:hAnsi="Times New Roman"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1</w:t>
            </w:r>
            <w:r>
              <w:rPr>
                <w:rFonts w:hint="eastAsia" w:ascii="Times New Roman" w:hAnsi="Times New Roman" w:cs="Times New Roman"/>
                <w:b/>
                <w:bCs/>
                <w:color w:val="auto"/>
                <w:kern w:val="2"/>
                <w:sz w:val="24"/>
                <w:szCs w:val="24"/>
                <w:lang w:val="en-US" w:eastAsia="zh-CN" w:bidi="ar-SA"/>
              </w:rPr>
              <w:t>、施工期</w:t>
            </w:r>
          </w:p>
          <w:p w14:paraId="2A76BDCB">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2" w:firstLineChars="200"/>
              <w:jc w:val="left"/>
              <w:textAlignment w:val="auto"/>
              <w:rPr>
                <w:rFonts w:hint="eastAsia" w:ascii="Times New Roman" w:hAnsi="Times New Roman" w:cs="Times New Roman"/>
                <w:b/>
                <w:bCs/>
                <w:color w:val="auto"/>
                <w:sz w:val="24"/>
                <w:highlight w:val="none"/>
                <w:lang w:val="en-US" w:eastAsia="zh-CN"/>
              </w:rPr>
            </w:pPr>
            <w:r>
              <w:rPr>
                <w:rFonts w:hint="eastAsia" w:ascii="Times New Roman" w:hAnsi="Times New Roman" w:cs="Times New Roman"/>
                <w:b/>
                <w:bCs/>
                <w:color w:val="auto"/>
                <w:sz w:val="24"/>
                <w:highlight w:val="none"/>
                <w:lang w:val="en-US" w:eastAsia="zh-CN"/>
              </w:rPr>
              <w:t>1.1 工艺流程</w:t>
            </w:r>
          </w:p>
          <w:p w14:paraId="1535B0BE">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项目施工期会产生一定的噪声污染和扬尘，同时会排放一定的废水、废气和建筑垃圾等；同时建筑施工机械和运输车辆会产生较大的噪声。施工期工艺流程及污染环节见图2-</w:t>
            </w:r>
            <w:r>
              <w:rPr>
                <w:rFonts w:hint="eastAsia" w:ascii="Times New Roman" w:hAnsi="Times New Roman" w:cs="Times New Roman"/>
                <w:color w:val="auto"/>
                <w:sz w:val="24"/>
                <w:highlight w:val="none"/>
                <w:lang w:val="en-US" w:eastAsia="zh-CN"/>
              </w:rPr>
              <w:t>3</w:t>
            </w:r>
            <w:r>
              <w:rPr>
                <w:rFonts w:hint="default" w:ascii="Times New Roman" w:hAnsi="Times New Roman" w:eastAsia="宋体" w:cs="Times New Roman"/>
                <w:color w:val="auto"/>
                <w:sz w:val="24"/>
                <w:highlight w:val="none"/>
                <w:lang w:val="en-US" w:eastAsia="zh-CN"/>
              </w:rPr>
              <w:t>。</w:t>
            </w:r>
          </w:p>
          <w:p w14:paraId="2354FA9E">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inline distT="0" distB="0" distL="114300" distR="114300">
                  <wp:extent cx="3710940" cy="2955290"/>
                  <wp:effectExtent l="0" t="0" r="0" b="0"/>
                  <wp:docPr id="6" name="ECB019B1-382A-4266-B25C-5B523AA43C14-3"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B019B1-382A-4266-B25C-5B523AA43C14-3" descr="wps"/>
                          <pic:cNvPicPr>
                            <a:picLocks noChangeAspect="1"/>
                          </pic:cNvPicPr>
                        </pic:nvPicPr>
                        <pic:blipFill>
                          <a:blip r:embed="rId25"/>
                          <a:stretch>
                            <a:fillRect/>
                          </a:stretch>
                        </pic:blipFill>
                        <pic:spPr>
                          <a:xfrm>
                            <a:off x="0" y="0"/>
                            <a:ext cx="3710940" cy="2955290"/>
                          </a:xfrm>
                          <a:prstGeom prst="rect">
                            <a:avLst/>
                          </a:prstGeom>
                        </pic:spPr>
                      </pic:pic>
                    </a:graphicData>
                  </a:graphic>
                </wp:inline>
              </w:drawing>
            </w:r>
          </w:p>
          <w:p w14:paraId="3E151F0B">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b/>
                <w:bCs/>
                <w:color w:val="auto"/>
                <w:lang w:val="en-US" w:eastAsia="zh-CN"/>
              </w:rPr>
            </w:pPr>
            <w:r>
              <w:rPr>
                <w:rFonts w:hint="eastAsia" w:ascii="Times New Roman" w:hAnsi="Times New Roman"/>
                <w:b/>
                <w:bCs/>
                <w:color w:val="auto"/>
                <w:sz w:val="24"/>
                <w:lang w:val="en-US" w:eastAsia="zh-CN"/>
              </w:rPr>
              <w:t xml:space="preserve">图2-3  </w:t>
            </w:r>
            <w:r>
              <w:rPr>
                <w:rFonts w:hint="eastAsia"/>
                <w:b/>
                <w:bCs/>
                <w:color w:val="auto"/>
                <w:lang w:val="en-US" w:eastAsia="zh-CN"/>
              </w:rPr>
              <w:t>施工期工艺流程及产污环节分析图</w:t>
            </w:r>
          </w:p>
          <w:p w14:paraId="000CC672">
            <w:pPr>
              <w:pStyle w:val="2"/>
              <w:keepNext w:val="0"/>
              <w:keepLines w:val="0"/>
              <w:pageBreakBefore w:val="0"/>
              <w:widowControl w:val="0"/>
              <w:suppressLineNumbers w:val="0"/>
              <w:kinsoku/>
              <w:wordWrap/>
              <w:overflowPunct/>
              <w:topLinePunct w:val="0"/>
              <w:autoSpaceDE w:val="0"/>
              <w:autoSpaceDN w:val="0"/>
              <w:bidi w:val="0"/>
              <w:adjustRightInd/>
              <w:snapToGrid/>
              <w:spacing w:before="157" w:beforeLines="5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1</w:t>
            </w:r>
            <w:r>
              <w:rPr>
                <w:rFonts w:hint="eastAsia" w:ascii="Times New Roman" w:hAnsi="Times New Roman"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场地平整和基础工程</w:t>
            </w:r>
          </w:p>
          <w:p w14:paraId="71320A23">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项目在场地平整及基础工程建设期间，将施工过程产生的建筑垃圾、碎石、沙土、黏土共同用作填土材料。利用压路机分片压碾，并浇水湿润填土以利于密实。然后利用起重机械吊起特制的重锤来冲击基土表面，使地基受到压密，一般夯打为8-12遍。</w:t>
            </w:r>
          </w:p>
          <w:p w14:paraId="1485BBAC">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2</w:t>
            </w:r>
            <w:r>
              <w:rPr>
                <w:rFonts w:hint="eastAsia" w:ascii="Times New Roman" w:hAnsi="Times New Roman"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主体工程</w:t>
            </w:r>
          </w:p>
          <w:p w14:paraId="36DF1128">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主体工程主要为钻孔灌注，现浇钢砼柱、梁，砖墙砌筑。利用钻孔设备进行钻孔后，用钢筋混凝土浇灌。浇灌时注入预先拌制均匀的混凝土，随灌随振，振捣均匀，防止混凝土不实和素浆上浮然后根据施工图纸，进行钢筋的配料和加工，安装于架好的模板之处，及时连续灌筑混凝土，并捣实使混凝土成型。</w:t>
            </w:r>
          </w:p>
          <w:p w14:paraId="0A9CDDFF">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建设项目在砖墙砌筑时，首先进行水泥砂浆的调配，然后再挂线砌筑。该工段工期较长。</w:t>
            </w:r>
          </w:p>
          <w:p w14:paraId="1FF2A9B8">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3</w:t>
            </w:r>
            <w:r>
              <w:rPr>
                <w:rFonts w:hint="eastAsia" w:ascii="Times New Roman" w:hAnsi="Times New Roman"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装饰工程</w:t>
            </w:r>
          </w:p>
          <w:p w14:paraId="282C7833">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利用各种加工机械对木材、塑钢等按图进行加工，同时进行屋面制作，然后采用浅色环保型高级涂料和浅灰色仿石涂料喷刷。</w:t>
            </w:r>
          </w:p>
          <w:p w14:paraId="328BF584">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4</w:t>
            </w:r>
            <w:r>
              <w:rPr>
                <w:rFonts w:hint="eastAsia" w:ascii="Times New Roman" w:hAnsi="Times New Roman"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设备安装</w:t>
            </w:r>
          </w:p>
          <w:p w14:paraId="0FF093A7">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主要为生产设备、锅炉等施工。</w:t>
            </w:r>
          </w:p>
          <w:p w14:paraId="7D7325D0">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2" w:firstLineChars="200"/>
              <w:jc w:val="left"/>
              <w:textAlignment w:val="auto"/>
              <w:rPr>
                <w:rFonts w:hint="eastAsia" w:ascii="Times New Roman" w:hAnsi="Times New Roman" w:cs="Times New Roman"/>
                <w:b/>
                <w:bCs/>
                <w:color w:val="auto"/>
                <w:sz w:val="24"/>
                <w:highlight w:val="none"/>
                <w:lang w:val="en-US" w:eastAsia="zh-CN"/>
              </w:rPr>
            </w:pPr>
            <w:r>
              <w:rPr>
                <w:rFonts w:hint="eastAsia" w:ascii="Times New Roman" w:hAnsi="Times New Roman" w:cs="Times New Roman"/>
                <w:b/>
                <w:bCs/>
                <w:color w:val="auto"/>
                <w:sz w:val="24"/>
                <w:highlight w:val="none"/>
                <w:lang w:val="en-US" w:eastAsia="zh-CN"/>
              </w:rPr>
              <w:t>1.2 产污环节分析</w:t>
            </w:r>
          </w:p>
          <w:p w14:paraId="4F947C95">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根据施工期工艺流程及工艺说明，本项目施工期主要产生的污染源情况如下：</w:t>
            </w:r>
          </w:p>
          <w:p w14:paraId="4649C524">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废气：运输车辆引起的道路扬尘；土方填挖、弃土堆放、建筑材料的装卸、运输和使用过程产生的扬尘；施工机械及车辆产生的尾气，主要污染物为</w:t>
            </w:r>
            <w:r>
              <w:rPr>
                <w:rFonts w:hint="eastAsia" w:ascii="Times New Roman" w:hAnsi="Times New Roman" w:cs="Times New Roman"/>
                <w:color w:val="auto"/>
                <w:sz w:val="24"/>
                <w:highlight w:val="none"/>
                <w:lang w:val="en-US" w:eastAsia="zh-CN"/>
              </w:rPr>
              <w:t>HC</w:t>
            </w:r>
            <w:r>
              <w:rPr>
                <w:rFonts w:hint="default" w:ascii="Times New Roman" w:hAnsi="Times New Roman" w:eastAsia="宋体" w:cs="Times New Roman"/>
                <w:color w:val="auto"/>
                <w:sz w:val="24"/>
                <w:highlight w:val="none"/>
                <w:lang w:val="en-US" w:eastAsia="zh-CN"/>
              </w:rPr>
              <w:t>、NOx、CO等。</w:t>
            </w:r>
          </w:p>
          <w:p w14:paraId="5B80F09B">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废水：施工人员生活过程产生的生活污水，主要污染因子为COD、BOD</w:t>
            </w:r>
            <w:r>
              <w:rPr>
                <w:rFonts w:hint="default" w:ascii="Times New Roman" w:hAnsi="Times New Roman" w:eastAsia="宋体" w:cs="Times New Roman"/>
                <w:color w:val="auto"/>
                <w:sz w:val="24"/>
                <w:highlight w:val="none"/>
                <w:vertAlign w:val="subscript"/>
                <w:lang w:val="en-US" w:eastAsia="zh-CN"/>
              </w:rPr>
              <w:t>5</w:t>
            </w:r>
            <w:r>
              <w:rPr>
                <w:rFonts w:hint="default" w:ascii="Times New Roman" w:hAnsi="Times New Roman" w:eastAsia="宋体" w:cs="Times New Roman"/>
                <w:color w:val="auto"/>
                <w:sz w:val="24"/>
                <w:highlight w:val="none"/>
                <w:lang w:val="en-US" w:eastAsia="zh-CN"/>
              </w:rPr>
              <w:t>、SS、氨氮等；施工场地和运输道路洒水、施工设备和车辆冲洗、建</w:t>
            </w:r>
            <w:r>
              <w:rPr>
                <w:rFonts w:hint="eastAsia"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构</w:t>
            </w:r>
            <w:r>
              <w:rPr>
                <w:rFonts w:hint="eastAsia"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筑物浆砌养护等过程产生的施工废水，主要污染因子为SS、石油类等。</w:t>
            </w:r>
            <w:r>
              <w:rPr>
                <w:rFonts w:hint="eastAsia" w:ascii="Times New Roman" w:hAnsi="Times New Roman" w:cs="Times New Roman"/>
                <w:color w:val="auto"/>
                <w:sz w:val="24"/>
                <w:highlight w:val="none"/>
                <w:lang w:val="en-US" w:eastAsia="zh-CN"/>
              </w:rPr>
              <w:t>环评建议先建设化粪池，用于收集施工人员产生的生活污水。</w:t>
            </w:r>
          </w:p>
          <w:p w14:paraId="47E3734B">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噪声：施工机械设备和施工运输车辆产生噪声。</w:t>
            </w:r>
          </w:p>
          <w:p w14:paraId="00D68B94">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color w:val="auto"/>
                <w:szCs w:val="21"/>
                <w:lang w:eastAsia="zh-CN"/>
              </w:rPr>
            </w:pPr>
            <w:r>
              <w:rPr>
                <w:rFonts w:hint="default" w:ascii="Times New Roman" w:hAnsi="Times New Roman" w:eastAsia="宋体" w:cs="Times New Roman"/>
                <w:color w:val="auto"/>
                <w:sz w:val="24"/>
                <w:highlight w:val="none"/>
                <w:lang w:val="en-US" w:eastAsia="zh-CN"/>
              </w:rPr>
              <w:t>固废：施工阶段中会产生建筑垃圾</w:t>
            </w:r>
            <w:r>
              <w:rPr>
                <w:rFonts w:hint="eastAsia"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如铁质弃料、木材弃料等</w:t>
            </w:r>
            <w:r>
              <w:rPr>
                <w:rFonts w:hint="eastAsia"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施工人员产生生活垃圾。</w:t>
            </w:r>
          </w:p>
          <w:p w14:paraId="19647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auto"/>
                <w:szCs w:val="21"/>
                <w:lang w:val="en-US"/>
              </w:rPr>
            </w:pPr>
            <w:r>
              <w:rPr>
                <w:rFonts w:hint="default" w:ascii="Times New Roman" w:hAnsi="Times New Roman" w:eastAsia="宋体" w:cs="Times New Roman"/>
                <w:b/>
                <w:color w:val="auto"/>
                <w:szCs w:val="21"/>
              </w:rPr>
              <w:t>表</w:t>
            </w:r>
            <w:r>
              <w:rPr>
                <w:rFonts w:hint="eastAsia" w:ascii="Times New Roman" w:hAnsi="Times New Roman" w:eastAsia="宋体" w:cs="Times New Roman"/>
                <w:b/>
                <w:color w:val="auto"/>
                <w:szCs w:val="21"/>
                <w:lang w:val="en-US" w:eastAsia="zh-CN"/>
              </w:rPr>
              <w:t>2-</w:t>
            </w:r>
            <w:r>
              <w:rPr>
                <w:rFonts w:hint="eastAsia" w:cs="Times New Roman"/>
                <w:b/>
                <w:color w:val="auto"/>
                <w:szCs w:val="21"/>
                <w:lang w:val="en-US" w:eastAsia="zh-CN"/>
              </w:rPr>
              <w:t>9</w:t>
            </w:r>
            <w:r>
              <w:rPr>
                <w:rFonts w:hint="default" w:ascii="Times New Roman" w:hAnsi="Times New Roman" w:eastAsia="宋体" w:cs="Times New Roman"/>
                <w:b/>
                <w:color w:val="auto"/>
                <w:szCs w:val="21"/>
              </w:rPr>
              <w:t xml:space="preserve">  </w:t>
            </w:r>
            <w:r>
              <w:rPr>
                <w:rFonts w:hint="eastAsia" w:ascii="Times New Roman" w:hAnsi="Times New Roman" w:eastAsia="宋体" w:cs="Times New Roman"/>
                <w:b/>
                <w:color w:val="auto"/>
                <w:szCs w:val="21"/>
                <w:lang w:val="en-US" w:eastAsia="zh-CN"/>
              </w:rPr>
              <w:t>施工期主要环境影响因素</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3472"/>
              <w:gridCol w:w="3178"/>
            </w:tblGrid>
            <w:tr w14:paraId="316B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69" w:type="pct"/>
                  <w:noWrap w:val="0"/>
                  <w:vAlign w:val="center"/>
                </w:tcPr>
                <w:p w14:paraId="2D0E25FF">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lang w:val="en-US" w:eastAsia="zh-CN"/>
                    </w:rPr>
                  </w:pPr>
                  <w:r>
                    <w:rPr>
                      <w:rFonts w:hint="eastAsia" w:ascii="Times New Roman" w:hAnsi="Times New Roman" w:eastAsia="宋体" w:cs="Times New Roman"/>
                      <w:b/>
                      <w:color w:val="auto"/>
                      <w:szCs w:val="21"/>
                      <w:lang w:val="en-US" w:eastAsia="zh-CN"/>
                    </w:rPr>
                    <w:t>环境要素</w:t>
                  </w:r>
                </w:p>
              </w:tc>
              <w:tc>
                <w:tcPr>
                  <w:tcW w:w="2104" w:type="pct"/>
                  <w:noWrap w:val="0"/>
                  <w:vAlign w:val="center"/>
                </w:tcPr>
                <w:p w14:paraId="1287F5BC">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lang w:val="en-US" w:eastAsia="zh-CN"/>
                    </w:rPr>
                  </w:pPr>
                  <w:r>
                    <w:rPr>
                      <w:rFonts w:hint="eastAsia" w:ascii="Times New Roman" w:hAnsi="Times New Roman" w:eastAsia="宋体" w:cs="Times New Roman"/>
                      <w:b/>
                      <w:color w:val="auto"/>
                      <w:szCs w:val="21"/>
                      <w:lang w:val="en-US" w:eastAsia="zh-CN"/>
                    </w:rPr>
                    <w:t>产生影响的主要内容</w:t>
                  </w:r>
                </w:p>
              </w:tc>
              <w:tc>
                <w:tcPr>
                  <w:tcW w:w="1926" w:type="pct"/>
                  <w:noWrap w:val="0"/>
                  <w:vAlign w:val="center"/>
                </w:tcPr>
                <w:p w14:paraId="558DF1BE">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lang w:val="en-US" w:eastAsia="zh-CN"/>
                    </w:rPr>
                  </w:pPr>
                  <w:r>
                    <w:rPr>
                      <w:rFonts w:hint="eastAsia" w:ascii="Times New Roman" w:hAnsi="Times New Roman" w:eastAsia="宋体" w:cs="Times New Roman"/>
                      <w:b/>
                      <w:color w:val="auto"/>
                      <w:szCs w:val="21"/>
                      <w:lang w:val="en-US" w:eastAsia="zh-CN"/>
                    </w:rPr>
                    <w:t>主要影响因素</w:t>
                  </w:r>
                </w:p>
              </w:tc>
            </w:tr>
            <w:tr w14:paraId="0471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69" w:type="pct"/>
                  <w:vMerge w:val="restart"/>
                  <w:noWrap w:val="0"/>
                  <w:vAlign w:val="center"/>
                </w:tcPr>
                <w:p w14:paraId="58A3DB3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环境空气</w:t>
                  </w:r>
                </w:p>
              </w:tc>
              <w:tc>
                <w:tcPr>
                  <w:tcW w:w="2104" w:type="pct"/>
                  <w:noWrap w:val="0"/>
                  <w:vAlign w:val="center"/>
                </w:tcPr>
                <w:p w14:paraId="56C1B54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施工准备、物料运输及使用</w:t>
                  </w:r>
                </w:p>
              </w:tc>
              <w:tc>
                <w:tcPr>
                  <w:tcW w:w="1926" w:type="pct"/>
                  <w:noWrap w:val="0"/>
                  <w:vAlign w:val="center"/>
                </w:tcPr>
                <w:p w14:paraId="369E0A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扬尘</w:t>
                  </w:r>
                </w:p>
              </w:tc>
            </w:tr>
            <w:tr w14:paraId="0C8A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69" w:type="pct"/>
                  <w:vMerge w:val="continue"/>
                  <w:noWrap w:val="0"/>
                  <w:vAlign w:val="center"/>
                </w:tcPr>
                <w:p w14:paraId="6EBFBC3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p>
              </w:tc>
              <w:tc>
                <w:tcPr>
                  <w:tcW w:w="2104" w:type="pct"/>
                  <w:noWrap w:val="0"/>
                  <w:vAlign w:val="center"/>
                </w:tcPr>
                <w:p w14:paraId="402EB3C7">
                  <w:pPr>
                    <w:keepNext w:val="0"/>
                    <w:keepLines w:val="0"/>
                    <w:suppressLineNumbers w:val="0"/>
                    <w:spacing w:before="0" w:beforeAutospacing="0" w:after="0" w:afterAutospacing="0"/>
                    <w:ind w:left="0" w:right="0"/>
                    <w:jc w:val="center"/>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施工机械、车辆尾气</w:t>
                  </w:r>
                </w:p>
              </w:tc>
              <w:tc>
                <w:tcPr>
                  <w:tcW w:w="1926" w:type="pct"/>
                  <w:noWrap w:val="0"/>
                  <w:vAlign w:val="center"/>
                </w:tcPr>
                <w:p w14:paraId="0EEEA71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NO</w:t>
                  </w:r>
                  <w:r>
                    <w:rPr>
                      <w:rFonts w:hint="eastAsia" w:ascii="Times New Roman" w:hAnsi="Times New Roman" w:eastAsia="宋体" w:cs="Times New Roman"/>
                      <w:b w:val="0"/>
                      <w:bCs w:val="0"/>
                      <w:color w:val="auto"/>
                      <w:kern w:val="2"/>
                      <w:sz w:val="21"/>
                      <w:szCs w:val="21"/>
                      <w:vertAlign w:val="subscript"/>
                      <w:lang w:val="en-US" w:eastAsia="zh-CN" w:bidi="ar-SA"/>
                    </w:rPr>
                    <w:t>X</w:t>
                  </w:r>
                  <w:r>
                    <w:rPr>
                      <w:rFonts w:hint="eastAsia" w:ascii="Times New Roman" w:hAnsi="Times New Roman" w:eastAsia="宋体" w:cs="Times New Roman"/>
                      <w:b w:val="0"/>
                      <w:bCs w:val="0"/>
                      <w:color w:val="auto"/>
                      <w:kern w:val="2"/>
                      <w:sz w:val="21"/>
                      <w:szCs w:val="21"/>
                      <w:lang w:val="en-US" w:eastAsia="zh-CN" w:bidi="ar-SA"/>
                    </w:rPr>
                    <w:t>、CO、HC</w:t>
                  </w:r>
                </w:p>
              </w:tc>
            </w:tr>
            <w:tr w14:paraId="16D5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69" w:type="pct"/>
                  <w:noWrap w:val="0"/>
                  <w:vAlign w:val="center"/>
                </w:tcPr>
                <w:p w14:paraId="7289C1CB">
                  <w:pPr>
                    <w:keepNext w:val="0"/>
                    <w:keepLines w:val="0"/>
                    <w:suppressLineNumbers w:val="0"/>
                    <w:spacing w:before="0" w:beforeAutospacing="0" w:after="0" w:afterAutospacing="0"/>
                    <w:ind w:left="0" w:right="0"/>
                    <w:jc w:val="center"/>
                    <w:rPr>
                      <w:rFonts w:hint="default" w:cs="Times New Roman"/>
                      <w:color w:val="auto"/>
                      <w:szCs w:val="21"/>
                      <w:lang w:val="en-US" w:eastAsia="zh-CN"/>
                    </w:rPr>
                  </w:pPr>
                  <w:r>
                    <w:rPr>
                      <w:rFonts w:hint="eastAsia" w:cs="Times New Roman"/>
                      <w:color w:val="auto"/>
                      <w:szCs w:val="21"/>
                      <w:lang w:val="en-US" w:eastAsia="zh-CN"/>
                    </w:rPr>
                    <w:t>水环境</w:t>
                  </w:r>
                </w:p>
              </w:tc>
              <w:tc>
                <w:tcPr>
                  <w:tcW w:w="2104" w:type="pct"/>
                  <w:noWrap w:val="0"/>
                  <w:vAlign w:val="center"/>
                </w:tcPr>
                <w:p w14:paraId="1B0DB6B9">
                  <w:pPr>
                    <w:keepNext w:val="0"/>
                    <w:keepLines w:val="0"/>
                    <w:suppressLineNumbers w:val="0"/>
                    <w:spacing w:before="0" w:beforeAutospacing="0" w:after="0" w:afterAutospacing="0"/>
                    <w:ind w:left="0" w:right="0"/>
                    <w:jc w:val="center"/>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施工废水、施工人员生活污水</w:t>
                  </w:r>
                </w:p>
              </w:tc>
              <w:tc>
                <w:tcPr>
                  <w:tcW w:w="1926" w:type="pct"/>
                  <w:noWrap w:val="0"/>
                  <w:vAlign w:val="center"/>
                </w:tcPr>
                <w:p w14:paraId="141230FB">
                  <w:pPr>
                    <w:keepNext w:val="0"/>
                    <w:keepLines w:val="0"/>
                    <w:suppressLineNumbers w:val="0"/>
                    <w:spacing w:before="0" w:beforeAutospacing="0" w:after="0" w:afterAutospacing="0"/>
                    <w:ind w:left="0" w:right="0"/>
                    <w:jc w:val="center"/>
                    <w:rPr>
                      <w:rFonts w:hint="default"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COD、BOD、SS、氨氮</w:t>
                  </w:r>
                </w:p>
              </w:tc>
            </w:tr>
            <w:tr w14:paraId="2FAD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69" w:type="pct"/>
                  <w:noWrap w:val="0"/>
                  <w:vAlign w:val="center"/>
                </w:tcPr>
                <w:p w14:paraId="426759D9">
                  <w:pPr>
                    <w:keepNext w:val="0"/>
                    <w:keepLines w:val="0"/>
                    <w:suppressLineNumbers w:val="0"/>
                    <w:spacing w:before="0" w:beforeAutospacing="0" w:after="0" w:afterAutospacing="0"/>
                    <w:ind w:left="0" w:right="0"/>
                    <w:jc w:val="center"/>
                    <w:rPr>
                      <w:rFonts w:hint="default" w:cs="Times New Roman"/>
                      <w:color w:val="auto"/>
                      <w:szCs w:val="21"/>
                      <w:lang w:val="en-US" w:eastAsia="zh-CN"/>
                    </w:rPr>
                  </w:pPr>
                  <w:r>
                    <w:rPr>
                      <w:rFonts w:hint="eastAsia" w:cs="Times New Roman"/>
                      <w:color w:val="auto"/>
                      <w:szCs w:val="21"/>
                      <w:lang w:val="en-US" w:eastAsia="zh-CN"/>
                    </w:rPr>
                    <w:t>固体废物</w:t>
                  </w:r>
                </w:p>
              </w:tc>
              <w:tc>
                <w:tcPr>
                  <w:tcW w:w="2104" w:type="pct"/>
                  <w:noWrap w:val="0"/>
                  <w:vAlign w:val="center"/>
                </w:tcPr>
                <w:p w14:paraId="18D6F719">
                  <w:pPr>
                    <w:keepNext w:val="0"/>
                    <w:keepLines w:val="0"/>
                    <w:suppressLineNumbers w:val="0"/>
                    <w:spacing w:before="0" w:beforeAutospacing="0" w:after="0" w:afterAutospacing="0"/>
                    <w:ind w:left="0" w:right="0"/>
                    <w:jc w:val="center"/>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建筑垃圾、材料包装垃圾、生活垃圾</w:t>
                  </w:r>
                </w:p>
              </w:tc>
              <w:tc>
                <w:tcPr>
                  <w:tcW w:w="1926" w:type="pct"/>
                  <w:noWrap w:val="0"/>
                  <w:vAlign w:val="center"/>
                </w:tcPr>
                <w:p w14:paraId="34CF4399">
                  <w:pPr>
                    <w:keepNext w:val="0"/>
                    <w:keepLines w:val="0"/>
                    <w:suppressLineNumbers w:val="0"/>
                    <w:spacing w:before="0" w:beforeAutospacing="0" w:after="0" w:afterAutospacing="0"/>
                    <w:ind w:left="0" w:right="0"/>
                    <w:jc w:val="center"/>
                    <w:rPr>
                      <w:rFonts w:hint="default"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各类固体废物</w:t>
                  </w:r>
                </w:p>
              </w:tc>
            </w:tr>
          </w:tbl>
          <w:p w14:paraId="4F7AE028">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2、运营期</w:t>
            </w:r>
          </w:p>
          <w:p w14:paraId="0A17F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olor w:val="auto"/>
                <w:sz w:val="24"/>
                <w:highlight w:val="none"/>
              </w:rPr>
            </w:pPr>
            <w:r>
              <w:rPr>
                <w:rFonts w:hint="eastAsia" w:cs="宋体"/>
                <w:b/>
                <w:bCs/>
                <w:color w:val="auto"/>
                <w:kern w:val="0"/>
                <w:sz w:val="24"/>
                <w:szCs w:val="24"/>
                <w:highlight w:val="none"/>
                <w:lang w:val="en-US" w:eastAsia="zh-CN" w:bidi="ar"/>
              </w:rPr>
              <w:t>2.1 玉米烘干生产线</w:t>
            </w:r>
            <w:r>
              <w:rPr>
                <w:rFonts w:hint="eastAsia" w:ascii="Times New Roman" w:hAnsi="Times New Roman" w:eastAsia="宋体" w:cs="宋体"/>
                <w:b/>
                <w:bCs/>
                <w:color w:val="auto"/>
                <w:kern w:val="0"/>
                <w:sz w:val="24"/>
                <w:szCs w:val="24"/>
                <w:highlight w:val="none"/>
                <w:lang w:val="en-US" w:eastAsia="zh-CN" w:bidi="ar"/>
              </w:rPr>
              <w:t>工艺流程简述：</w:t>
            </w:r>
          </w:p>
          <w:p w14:paraId="55053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本项目来粮为湿玉米</w:t>
            </w:r>
            <w:r>
              <w:rPr>
                <w:rFonts w:hint="eastAsia" w:cs="宋体"/>
                <w:color w:val="auto"/>
                <w:kern w:val="0"/>
                <w:sz w:val="24"/>
                <w:szCs w:val="24"/>
                <w:highlight w:val="none"/>
                <w:lang w:val="en-US" w:eastAsia="zh-CN" w:bidi="ar"/>
              </w:rPr>
              <w:t>（</w:t>
            </w:r>
            <w:r>
              <w:rPr>
                <w:rFonts w:hint="eastAsia" w:ascii="Times New Roman" w:hAnsi="Times New Roman" w:eastAsia="宋体" w:cs="宋体"/>
                <w:color w:val="auto"/>
                <w:kern w:val="0"/>
                <w:sz w:val="24"/>
                <w:szCs w:val="24"/>
                <w:highlight w:val="none"/>
                <w:lang w:val="en-US" w:eastAsia="zh-CN" w:bidi="ar"/>
              </w:rPr>
              <w:t>通常含水30%</w:t>
            </w:r>
            <w:r>
              <w:rPr>
                <w:rFonts w:hint="eastAsia" w:cs="宋体"/>
                <w:color w:val="auto"/>
                <w:kern w:val="0"/>
                <w:sz w:val="24"/>
                <w:szCs w:val="24"/>
                <w:highlight w:val="none"/>
                <w:lang w:val="en-US" w:eastAsia="zh-CN" w:bidi="ar"/>
              </w:rPr>
              <w:t>），</w:t>
            </w:r>
            <w:r>
              <w:rPr>
                <w:rFonts w:hint="eastAsia" w:ascii="Times New Roman" w:hAnsi="Times New Roman" w:eastAsia="宋体" w:cs="宋体"/>
                <w:color w:val="auto"/>
                <w:kern w:val="0"/>
                <w:sz w:val="24"/>
                <w:szCs w:val="24"/>
                <w:highlight w:val="none"/>
                <w:lang w:val="en-US" w:eastAsia="zh-CN" w:bidi="ar"/>
              </w:rPr>
              <w:t>为净粮，含玉米皮屑很少；来粮暂时储存于地坑。为方便储存，需进行烘干。烘干前将收购来的湿玉米先用输送机提升到滚筒筛中进行初步去除杂质后，再经提升机送入烘干塔中进行烘干，由</w:t>
            </w:r>
            <w:r>
              <w:rPr>
                <w:rFonts w:hint="eastAsia" w:cs="宋体"/>
                <w:color w:val="auto"/>
                <w:kern w:val="0"/>
                <w:sz w:val="24"/>
                <w:szCs w:val="24"/>
                <w:highlight w:val="none"/>
                <w:lang w:val="en-US" w:eastAsia="zh-CN" w:bidi="ar"/>
              </w:rPr>
              <w:t>生物质</w:t>
            </w:r>
            <w:r>
              <w:rPr>
                <w:rFonts w:hint="eastAsia" w:ascii="Times New Roman" w:hAnsi="Times New Roman" w:eastAsia="宋体" w:cs="宋体"/>
                <w:color w:val="auto"/>
                <w:kern w:val="0"/>
                <w:sz w:val="24"/>
                <w:szCs w:val="24"/>
                <w:highlight w:val="none"/>
                <w:lang w:val="en-US" w:eastAsia="zh-CN" w:bidi="ar"/>
              </w:rPr>
              <w:t>热风炉提供热风。达到进一步保存所要求的</w:t>
            </w:r>
            <w:r>
              <w:rPr>
                <w:rFonts w:hint="eastAsia" w:cs="宋体"/>
                <w:color w:val="auto"/>
                <w:kern w:val="0"/>
                <w:sz w:val="24"/>
                <w:szCs w:val="24"/>
                <w:highlight w:val="none"/>
                <w:lang w:val="en-US" w:eastAsia="zh-CN" w:bidi="ar"/>
              </w:rPr>
              <w:t>水分含量（</w:t>
            </w:r>
            <w:r>
              <w:rPr>
                <w:rFonts w:hint="eastAsia" w:ascii="Times New Roman" w:hAnsi="Times New Roman" w:eastAsia="宋体" w:cs="宋体"/>
                <w:color w:val="auto"/>
                <w:kern w:val="0"/>
                <w:sz w:val="24"/>
                <w:szCs w:val="24"/>
                <w:highlight w:val="none"/>
                <w:lang w:val="en-US" w:eastAsia="zh-CN" w:bidi="ar"/>
              </w:rPr>
              <w:t>通常含水14%</w:t>
            </w:r>
            <w:r>
              <w:rPr>
                <w:rFonts w:hint="eastAsia" w:cs="宋体"/>
                <w:color w:val="auto"/>
                <w:kern w:val="0"/>
                <w:sz w:val="24"/>
                <w:szCs w:val="24"/>
                <w:highlight w:val="none"/>
                <w:lang w:val="en-US" w:eastAsia="zh-CN" w:bidi="ar"/>
              </w:rPr>
              <w:t>），</w:t>
            </w:r>
            <w:r>
              <w:rPr>
                <w:rFonts w:hint="eastAsia" w:ascii="Times New Roman" w:hAnsi="Times New Roman" w:eastAsia="宋体" w:cs="宋体"/>
                <w:color w:val="auto"/>
                <w:kern w:val="0"/>
                <w:sz w:val="24"/>
                <w:szCs w:val="24"/>
                <w:highlight w:val="none"/>
                <w:lang w:val="en-US" w:eastAsia="zh-CN" w:bidi="ar"/>
              </w:rPr>
              <w:t>然后对烘干后的玉米</w:t>
            </w:r>
            <w:r>
              <w:rPr>
                <w:rFonts w:hint="eastAsia" w:cs="宋体"/>
                <w:color w:val="auto"/>
                <w:kern w:val="0"/>
                <w:sz w:val="24"/>
                <w:szCs w:val="24"/>
                <w:highlight w:val="none"/>
                <w:lang w:val="en-US" w:eastAsia="zh-CN" w:bidi="ar"/>
              </w:rPr>
              <w:t>储存于粮仓</w:t>
            </w:r>
            <w:r>
              <w:rPr>
                <w:rFonts w:hint="eastAsia" w:ascii="Times New Roman" w:hAnsi="Times New Roman" w:eastAsia="宋体" w:cs="宋体"/>
                <w:color w:val="auto"/>
                <w:kern w:val="0"/>
                <w:sz w:val="24"/>
                <w:szCs w:val="24"/>
                <w:highlight w:val="none"/>
                <w:lang w:val="en-US" w:eastAsia="zh-CN" w:bidi="ar"/>
              </w:rPr>
              <w:t>。</w:t>
            </w:r>
          </w:p>
          <w:p w14:paraId="3157E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drawing>
                <wp:inline distT="0" distB="0" distL="114300" distR="114300">
                  <wp:extent cx="4000500" cy="2125980"/>
                  <wp:effectExtent l="0" t="0" r="0" b="0"/>
                  <wp:docPr id="3" name="ECB019B1-382A-4266-B25C-5B523AA43C14-4" descr="C:/Users/Administrator/AppData/Local/Temp/wps.wtWgh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4" descr="C:/Users/Administrator/AppData/Local/Temp/wps.wtWghhwps"/>
                          <pic:cNvPicPr>
                            <a:picLocks noChangeAspect="1"/>
                          </pic:cNvPicPr>
                        </pic:nvPicPr>
                        <pic:blipFill>
                          <a:blip r:embed="rId26"/>
                          <a:stretch>
                            <a:fillRect/>
                          </a:stretch>
                        </pic:blipFill>
                        <pic:spPr>
                          <a:xfrm>
                            <a:off x="0" y="0"/>
                            <a:ext cx="4000500" cy="2125980"/>
                          </a:xfrm>
                          <a:prstGeom prst="rect">
                            <a:avLst/>
                          </a:prstGeom>
                        </pic:spPr>
                      </pic:pic>
                    </a:graphicData>
                  </a:graphic>
                </wp:inline>
              </w:drawing>
            </w:r>
          </w:p>
          <w:p w14:paraId="5F4D1AC6">
            <w:pPr>
              <w:pStyle w:val="2"/>
              <w:keepNext w:val="0"/>
              <w:keepLines w:val="0"/>
              <w:suppressLineNumbers w:val="0"/>
              <w:adjustRightInd/>
              <w:spacing w:before="0" w:beforeAutospacing="0" w:after="0" w:afterAutospacing="0" w:line="360" w:lineRule="auto"/>
              <w:ind w:left="0" w:right="0" w:firstLine="482" w:firstLineChars="200"/>
              <w:jc w:val="center"/>
              <w:rPr>
                <w:rFonts w:hint="default" w:ascii="Times New Roman" w:hAnsi="Times New Roman"/>
                <w:b/>
                <w:bCs/>
                <w:color w:val="auto"/>
                <w:sz w:val="24"/>
                <w:lang w:val="en-US" w:eastAsia="zh-CN"/>
              </w:rPr>
            </w:pPr>
            <w:r>
              <w:rPr>
                <w:rFonts w:hint="eastAsia" w:ascii="Times New Roman" w:hAnsi="Times New Roman"/>
                <w:b/>
                <w:bCs/>
                <w:color w:val="auto"/>
                <w:sz w:val="24"/>
                <w:lang w:val="en-US" w:eastAsia="zh-CN"/>
              </w:rPr>
              <w:t>图2-4  玉米烘干生产线工艺流程及产污环节分析图</w:t>
            </w:r>
          </w:p>
          <w:p w14:paraId="2CBDF4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工艺说明：</w:t>
            </w:r>
          </w:p>
          <w:p w14:paraId="65B2B1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原料输送储存：项目外购玉米粒，采用车辆运输至厂区内，储存在地坑。</w:t>
            </w:r>
          </w:p>
          <w:p w14:paraId="6B6A5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原料筛分除杂：原料通过提升机提升至筛分除杂工段，经过经由振动筛、去石机、除尘器、磁选机，去除原料中混杂石块、金属等废物。</w:t>
            </w:r>
          </w:p>
          <w:p w14:paraId="3D0E6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烘干：烘干设备由烘干塔和</w:t>
            </w:r>
            <w:r>
              <w:rPr>
                <w:rFonts w:hint="eastAsia" w:cs="宋体"/>
                <w:color w:val="auto"/>
                <w:kern w:val="0"/>
                <w:sz w:val="24"/>
                <w:szCs w:val="24"/>
                <w:highlight w:val="none"/>
                <w:lang w:val="en-US" w:eastAsia="zh-CN" w:bidi="ar"/>
              </w:rPr>
              <w:t>生物质</w:t>
            </w:r>
            <w:r>
              <w:rPr>
                <w:rFonts w:hint="eastAsia" w:ascii="Times New Roman" w:hAnsi="Times New Roman" w:eastAsia="宋体" w:cs="宋体"/>
                <w:color w:val="auto"/>
                <w:kern w:val="0"/>
                <w:sz w:val="24"/>
                <w:szCs w:val="24"/>
                <w:highlight w:val="none"/>
                <w:lang w:val="en-US" w:eastAsia="zh-CN" w:bidi="ar"/>
              </w:rPr>
              <w:t>热风炉组成，湿料倒入进粮坑后，通过提升机提升至圆筒筛中，筛分出其中夹杂的砂石杂质等，然后进入烘干塔中烘干。</w:t>
            </w:r>
          </w:p>
          <w:p w14:paraId="394747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烘干原理为：</w:t>
            </w:r>
            <w:r>
              <w:rPr>
                <w:rFonts w:hint="eastAsia" w:cs="宋体"/>
                <w:color w:val="auto"/>
                <w:kern w:val="0"/>
                <w:sz w:val="24"/>
                <w:szCs w:val="24"/>
                <w:highlight w:val="none"/>
                <w:lang w:val="en-US" w:eastAsia="zh-CN" w:bidi="ar"/>
              </w:rPr>
              <w:t>生物质热风炉</w:t>
            </w:r>
            <w:r>
              <w:rPr>
                <w:rFonts w:hint="eastAsia" w:ascii="Times New Roman" w:hAnsi="Times New Roman" w:eastAsia="宋体" w:cs="宋体"/>
                <w:color w:val="auto"/>
                <w:kern w:val="0"/>
                <w:sz w:val="24"/>
                <w:szCs w:val="24"/>
                <w:highlight w:val="none"/>
                <w:lang w:val="en-US" w:eastAsia="zh-CN" w:bidi="ar"/>
              </w:rPr>
              <w:t>燃烧产生的烟气</w:t>
            </w:r>
            <w:r>
              <w:rPr>
                <w:rFonts w:hint="eastAsia" w:cs="宋体"/>
                <w:color w:val="auto"/>
                <w:kern w:val="0"/>
                <w:sz w:val="24"/>
                <w:szCs w:val="24"/>
                <w:highlight w:val="none"/>
                <w:lang w:val="en-US" w:eastAsia="zh-CN" w:bidi="ar"/>
              </w:rPr>
              <w:t>（</w:t>
            </w:r>
            <w:r>
              <w:rPr>
                <w:rFonts w:hint="eastAsia" w:ascii="Times New Roman" w:hAnsi="Times New Roman" w:eastAsia="宋体" w:cs="宋体"/>
                <w:color w:val="auto"/>
                <w:kern w:val="0"/>
                <w:sz w:val="24"/>
                <w:szCs w:val="24"/>
                <w:highlight w:val="none"/>
                <w:lang w:val="en-US" w:eastAsia="zh-CN" w:bidi="ar"/>
              </w:rPr>
              <w:t>700℃</w:t>
            </w:r>
            <w:r>
              <w:rPr>
                <w:rFonts w:hint="eastAsia" w:cs="宋体"/>
                <w:color w:val="auto"/>
                <w:kern w:val="0"/>
                <w:sz w:val="24"/>
                <w:szCs w:val="24"/>
                <w:highlight w:val="none"/>
                <w:lang w:val="en-US" w:eastAsia="zh-CN" w:bidi="ar"/>
              </w:rPr>
              <w:t>）通过热交换将</w:t>
            </w:r>
            <w:r>
              <w:rPr>
                <w:rFonts w:hint="eastAsia" w:ascii="Times New Roman" w:hAnsi="Times New Roman" w:eastAsia="宋体" w:cs="宋体"/>
                <w:color w:val="auto"/>
                <w:kern w:val="0"/>
                <w:sz w:val="24"/>
                <w:szCs w:val="24"/>
                <w:highlight w:val="none"/>
                <w:lang w:val="en-US" w:eastAsia="zh-CN" w:bidi="ar"/>
              </w:rPr>
              <w:t>空气</w:t>
            </w:r>
            <w:r>
              <w:rPr>
                <w:rFonts w:hint="eastAsia" w:cs="宋体"/>
                <w:color w:val="auto"/>
                <w:kern w:val="0"/>
                <w:sz w:val="24"/>
                <w:szCs w:val="24"/>
                <w:highlight w:val="none"/>
                <w:lang w:val="en-US" w:eastAsia="zh-CN" w:bidi="ar"/>
              </w:rPr>
              <w:t>加热</w:t>
            </w:r>
            <w:r>
              <w:rPr>
                <w:rFonts w:hint="eastAsia" w:ascii="Times New Roman" w:hAnsi="Times New Roman" w:eastAsia="宋体" w:cs="宋体"/>
                <w:color w:val="auto"/>
                <w:kern w:val="0"/>
                <w:sz w:val="24"/>
                <w:szCs w:val="24"/>
                <w:highlight w:val="none"/>
                <w:lang w:val="en-US" w:eastAsia="zh-CN" w:bidi="ar"/>
              </w:rPr>
              <w:t>至200℃</w:t>
            </w:r>
            <w:r>
              <w:rPr>
                <w:rFonts w:hint="eastAsia" w:cs="宋体"/>
                <w:color w:val="auto"/>
                <w:kern w:val="0"/>
                <w:sz w:val="24"/>
                <w:szCs w:val="24"/>
                <w:highlight w:val="none"/>
                <w:lang w:val="en-US" w:eastAsia="zh-CN" w:bidi="ar"/>
              </w:rPr>
              <w:t>，</w:t>
            </w:r>
            <w:r>
              <w:rPr>
                <w:rFonts w:hint="eastAsia" w:ascii="Times New Roman" w:hAnsi="Times New Roman" w:eastAsia="宋体" w:cs="宋体"/>
                <w:color w:val="auto"/>
                <w:kern w:val="0"/>
                <w:sz w:val="24"/>
                <w:szCs w:val="24"/>
                <w:highlight w:val="none"/>
                <w:lang w:val="en-US" w:eastAsia="zh-CN" w:bidi="ar"/>
              </w:rPr>
              <w:t>分别从烘干塔侧面上部、中部、下部进气口送入塔内。玉米原料在塔内倾斜的溜粮板上在重力的作用下交错下落至下一溜粮板，这一过程中与自下而上的</w:t>
            </w:r>
            <w:r>
              <w:rPr>
                <w:rFonts w:hint="eastAsia" w:cs="宋体"/>
                <w:color w:val="auto"/>
                <w:kern w:val="0"/>
                <w:sz w:val="24"/>
                <w:szCs w:val="24"/>
                <w:highlight w:val="none"/>
                <w:lang w:val="en-US" w:eastAsia="zh-CN" w:bidi="ar"/>
              </w:rPr>
              <w:t>热空气</w:t>
            </w:r>
            <w:r>
              <w:rPr>
                <w:rFonts w:hint="eastAsia" w:ascii="Times New Roman" w:hAnsi="Times New Roman" w:eastAsia="宋体" w:cs="宋体"/>
                <w:color w:val="auto"/>
                <w:kern w:val="0"/>
                <w:sz w:val="24"/>
                <w:szCs w:val="24"/>
                <w:highlight w:val="none"/>
                <w:lang w:val="en-US" w:eastAsia="zh-CN" w:bidi="ar"/>
              </w:rPr>
              <w:t>逆流接触，从而实现对玉米的烘干，烟气最终通过</w:t>
            </w:r>
            <w:r>
              <w:rPr>
                <w:rFonts w:hint="eastAsia" w:cs="宋体"/>
                <w:color w:val="auto"/>
                <w:kern w:val="0"/>
                <w:sz w:val="24"/>
                <w:szCs w:val="24"/>
                <w:highlight w:val="none"/>
                <w:lang w:val="en-US" w:eastAsia="zh-CN" w:bidi="ar"/>
              </w:rPr>
              <w:t>生物质热风炉</w:t>
            </w:r>
            <w:r>
              <w:rPr>
                <w:rFonts w:hint="eastAsia" w:ascii="Times New Roman" w:hAnsi="Times New Roman" w:eastAsia="宋体" w:cs="宋体"/>
                <w:color w:val="auto"/>
                <w:kern w:val="0"/>
                <w:sz w:val="24"/>
                <w:szCs w:val="24"/>
                <w:highlight w:val="none"/>
                <w:lang w:val="en-US" w:eastAsia="zh-CN" w:bidi="ar"/>
              </w:rPr>
              <w:t>的排气口排出，烘干后的玉米由烘干塔底部排粮口排出。</w:t>
            </w:r>
          </w:p>
          <w:p w14:paraId="75A473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贮存：将烘干后的玉米临时贮存于</w:t>
            </w:r>
            <w:r>
              <w:rPr>
                <w:rFonts w:hint="eastAsia" w:cs="宋体"/>
                <w:color w:val="auto"/>
                <w:kern w:val="0"/>
                <w:sz w:val="24"/>
                <w:szCs w:val="24"/>
                <w:highlight w:val="none"/>
                <w:lang w:val="en-US" w:eastAsia="zh-CN" w:bidi="ar"/>
              </w:rPr>
              <w:t>粮仓</w:t>
            </w:r>
            <w:r>
              <w:rPr>
                <w:rFonts w:hint="eastAsia" w:ascii="Times New Roman" w:hAnsi="Times New Roman" w:eastAsia="宋体" w:cs="宋体"/>
                <w:color w:val="auto"/>
                <w:kern w:val="0"/>
                <w:sz w:val="24"/>
                <w:szCs w:val="24"/>
                <w:highlight w:val="none"/>
                <w:lang w:val="en-US" w:eastAsia="zh-CN" w:bidi="ar"/>
              </w:rPr>
              <w:t>。</w:t>
            </w:r>
          </w:p>
          <w:p w14:paraId="05744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olor w:val="auto"/>
                <w:sz w:val="24"/>
                <w:highlight w:val="none"/>
              </w:rPr>
            </w:pPr>
            <w:r>
              <w:rPr>
                <w:rFonts w:hint="eastAsia" w:cs="宋体"/>
                <w:b/>
                <w:bCs/>
                <w:color w:val="auto"/>
                <w:kern w:val="0"/>
                <w:sz w:val="24"/>
                <w:szCs w:val="24"/>
                <w:highlight w:val="none"/>
                <w:lang w:val="en-US" w:eastAsia="zh-CN" w:bidi="ar"/>
              </w:rPr>
              <w:t>2.2 生物质热风炉</w:t>
            </w:r>
            <w:r>
              <w:rPr>
                <w:rFonts w:hint="eastAsia" w:ascii="Times New Roman" w:hAnsi="Times New Roman" w:eastAsia="宋体" w:cs="宋体"/>
                <w:b/>
                <w:bCs/>
                <w:color w:val="auto"/>
                <w:kern w:val="0"/>
                <w:sz w:val="24"/>
                <w:szCs w:val="24"/>
                <w:highlight w:val="none"/>
                <w:lang w:val="en-US" w:eastAsia="zh-CN" w:bidi="ar"/>
              </w:rPr>
              <w:t>工艺流程简述：</w:t>
            </w:r>
          </w:p>
          <w:p w14:paraId="5CB8E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olor w:val="auto"/>
                <w:sz w:val="24"/>
              </w:rPr>
            </w:pPr>
            <w:r>
              <w:rPr>
                <w:rFonts w:hint="eastAsia" w:ascii="Times New Roman" w:hAnsi="Times New Roman" w:eastAsia="宋体" w:cs="宋体"/>
                <w:color w:val="auto"/>
                <w:kern w:val="0"/>
                <w:sz w:val="24"/>
                <w:szCs w:val="24"/>
                <w:highlight w:val="none"/>
                <w:lang w:val="en-US" w:eastAsia="zh-CN" w:bidi="ar"/>
              </w:rPr>
              <w:t>生物质燃料由输料机送入炉顶燃料仓，然后由螺旋给料机送入炉膛，均匀散落在炉排上，在此处由于高温烟气和一次风的作用逐步预热，干燥、着火、燃烧。</w:t>
            </w:r>
            <w:r>
              <w:rPr>
                <w:rFonts w:hint="eastAsia" w:cs="宋体"/>
                <w:color w:val="auto"/>
                <w:kern w:val="0"/>
                <w:sz w:val="24"/>
                <w:szCs w:val="24"/>
                <w:highlight w:val="none"/>
                <w:lang w:val="en-US" w:eastAsia="zh-CN" w:bidi="ar"/>
              </w:rPr>
              <w:t>生物质热风炉</w:t>
            </w:r>
            <w:r>
              <w:rPr>
                <w:rFonts w:hint="eastAsia" w:ascii="Times New Roman" w:hAnsi="Times New Roman" w:eastAsia="宋体" w:cs="宋体"/>
                <w:color w:val="auto"/>
                <w:kern w:val="0"/>
                <w:sz w:val="24"/>
                <w:szCs w:val="24"/>
                <w:highlight w:val="none"/>
                <w:lang w:val="en-US" w:eastAsia="zh-CN" w:bidi="ar"/>
              </w:rPr>
              <w:t>燃烧产生的烟气通过</w:t>
            </w:r>
            <w:r>
              <w:rPr>
                <w:rFonts w:hint="eastAsia" w:cs="宋体"/>
                <w:color w:val="auto"/>
                <w:kern w:val="0"/>
                <w:sz w:val="24"/>
                <w:szCs w:val="24"/>
                <w:highlight w:val="none"/>
                <w:lang w:val="en-US" w:eastAsia="zh-CN" w:bidi="ar"/>
              </w:rPr>
              <w:t>其锅炉配套SNCR+旋风除尘+布袋除尘器除尘后，</w:t>
            </w:r>
            <w:r>
              <w:rPr>
                <w:rFonts w:hint="eastAsia" w:ascii="Times New Roman" w:hAnsi="Times New Roman" w:eastAsia="宋体" w:cs="宋体"/>
                <w:color w:val="auto"/>
                <w:kern w:val="0"/>
                <w:sz w:val="24"/>
                <w:szCs w:val="24"/>
                <w:highlight w:val="none"/>
                <w:lang w:val="en-US" w:eastAsia="zh-CN" w:bidi="ar"/>
              </w:rPr>
              <w:t>最后通过</w:t>
            </w:r>
            <w:r>
              <w:rPr>
                <w:rFonts w:hint="eastAsia" w:cs="宋体"/>
                <w:color w:val="auto"/>
                <w:kern w:val="0"/>
                <w:sz w:val="24"/>
                <w:szCs w:val="24"/>
                <w:highlight w:val="none"/>
                <w:lang w:val="en-US" w:eastAsia="zh-CN" w:bidi="ar"/>
              </w:rPr>
              <w:t>17m</w:t>
            </w:r>
            <w:r>
              <w:rPr>
                <w:rFonts w:hint="eastAsia" w:ascii="Times New Roman" w:hAnsi="Times New Roman" w:eastAsia="宋体" w:cs="宋体"/>
                <w:color w:val="auto"/>
                <w:kern w:val="0"/>
                <w:sz w:val="24"/>
                <w:szCs w:val="24"/>
                <w:highlight w:val="none"/>
                <w:lang w:val="en-US" w:eastAsia="zh-CN" w:bidi="ar"/>
              </w:rPr>
              <w:t>排气筒排入大气。未气化的燃料边向炉排后部运动，直至燃尽，然后剩下的少量灰渣落入炉排后面的除渣口。</w:t>
            </w:r>
            <w:r>
              <w:rPr>
                <w:rFonts w:hint="eastAsia" w:ascii="Times New Roman" w:hAnsi="Times New Roman" w:eastAsia="宋体" w:cs="宋体"/>
                <w:color w:val="auto"/>
                <w:kern w:val="0"/>
                <w:sz w:val="24"/>
                <w:szCs w:val="24"/>
                <w:lang w:val="en-US" w:eastAsia="zh-CN" w:bidi="ar"/>
              </w:rPr>
              <w:t>本项目运营期</w:t>
            </w:r>
            <w:r>
              <w:rPr>
                <w:rFonts w:hint="eastAsia" w:cs="宋体"/>
                <w:color w:val="auto"/>
                <w:kern w:val="0"/>
                <w:sz w:val="24"/>
                <w:szCs w:val="24"/>
                <w:lang w:val="en-US" w:eastAsia="zh-CN" w:bidi="ar"/>
              </w:rPr>
              <w:t>生物质热风炉</w:t>
            </w:r>
            <w:r>
              <w:rPr>
                <w:rFonts w:hint="eastAsia" w:ascii="Times New Roman" w:hAnsi="Times New Roman" w:eastAsia="宋体" w:cs="宋体"/>
                <w:color w:val="auto"/>
                <w:kern w:val="0"/>
                <w:sz w:val="24"/>
                <w:szCs w:val="24"/>
                <w:lang w:val="en-US" w:eastAsia="zh-CN" w:bidi="ar"/>
              </w:rPr>
              <w:t>工艺流程及产污环节见图</w:t>
            </w:r>
            <w:r>
              <w:rPr>
                <w:rFonts w:hint="default" w:ascii="Times New Roman" w:hAnsi="Times New Roman" w:eastAsia="宋体" w:cs="Times New Roman"/>
                <w:color w:val="auto"/>
                <w:kern w:val="0"/>
                <w:sz w:val="24"/>
                <w:szCs w:val="24"/>
                <w:lang w:val="en-US" w:eastAsia="zh-CN" w:bidi="ar"/>
              </w:rPr>
              <w:t>2-</w:t>
            </w:r>
            <w:r>
              <w:rPr>
                <w:rFonts w:hint="eastAsia" w:cs="Times New Roman"/>
                <w:color w:val="auto"/>
                <w:kern w:val="0"/>
                <w:sz w:val="24"/>
                <w:szCs w:val="24"/>
                <w:lang w:val="en-US" w:eastAsia="zh-CN" w:bidi="ar"/>
              </w:rPr>
              <w:t>5</w:t>
            </w:r>
            <w:r>
              <w:rPr>
                <w:rFonts w:hint="eastAsia" w:ascii="Times New Roman" w:hAnsi="Times New Roman" w:eastAsia="宋体" w:cs="宋体"/>
                <w:color w:val="auto"/>
                <w:kern w:val="0"/>
                <w:sz w:val="24"/>
                <w:szCs w:val="24"/>
                <w:lang w:val="en-US" w:eastAsia="zh-CN" w:bidi="ar"/>
              </w:rPr>
              <w:t>。</w:t>
            </w:r>
          </w:p>
          <w:p w14:paraId="0AF2F80F">
            <w:pPr>
              <w:keepNext w:val="0"/>
              <w:keepLines w:val="0"/>
              <w:numPr>
                <w:ilvl w:val="0"/>
                <w:numId w:val="0"/>
              </w:numPr>
              <w:suppressLineNumbers w:val="0"/>
              <w:spacing w:before="0" w:beforeAutospacing="0" w:after="0" w:afterAutospacing="0"/>
              <w:ind w:left="0" w:right="0" w:rightChars="0"/>
              <w:jc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drawing>
                <wp:inline distT="0" distB="0" distL="114300" distR="114300">
                  <wp:extent cx="3204210" cy="2890520"/>
                  <wp:effectExtent l="0" t="0" r="0" b="0"/>
                  <wp:docPr id="1" name="ECB019B1-382A-4266-B25C-5B523AA43C14-5" descr="C:/Users/Administrator/AppData/Local/Temp/wps.tLJvb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5" descr="C:/Users/Administrator/AppData/Local/Temp/wps.tLJvbrwps"/>
                          <pic:cNvPicPr>
                            <a:picLocks noChangeAspect="1"/>
                          </pic:cNvPicPr>
                        </pic:nvPicPr>
                        <pic:blipFill>
                          <a:blip r:embed="rId27"/>
                          <a:srcRect l="984" t="4008" r="3575" b="4310"/>
                          <a:stretch>
                            <a:fillRect/>
                          </a:stretch>
                        </pic:blipFill>
                        <pic:spPr>
                          <a:xfrm>
                            <a:off x="0" y="0"/>
                            <a:ext cx="3204210" cy="2890520"/>
                          </a:xfrm>
                          <a:prstGeom prst="rect">
                            <a:avLst/>
                          </a:prstGeom>
                        </pic:spPr>
                      </pic:pic>
                    </a:graphicData>
                  </a:graphic>
                </wp:inline>
              </w:drawing>
            </w:r>
          </w:p>
          <w:p w14:paraId="45431FD2">
            <w:pPr>
              <w:pStyle w:val="2"/>
              <w:keepNext w:val="0"/>
              <w:keepLines w:val="0"/>
              <w:suppressLineNumbers w:val="0"/>
              <w:adjustRightInd/>
              <w:spacing w:before="0" w:beforeAutospacing="0" w:after="0" w:afterAutospacing="0" w:line="360" w:lineRule="auto"/>
              <w:ind w:left="0" w:right="0" w:firstLine="482" w:firstLineChars="200"/>
              <w:jc w:val="center"/>
              <w:rPr>
                <w:rFonts w:hint="default" w:ascii="Times New Roman" w:hAnsi="Times New Roman"/>
                <w:b/>
                <w:bCs/>
                <w:color w:val="auto"/>
                <w:sz w:val="24"/>
                <w:lang w:val="en-US" w:eastAsia="zh-CN"/>
              </w:rPr>
            </w:pPr>
            <w:r>
              <w:rPr>
                <w:rFonts w:hint="eastAsia" w:ascii="Times New Roman" w:hAnsi="Times New Roman"/>
                <w:b/>
                <w:bCs/>
                <w:color w:val="auto"/>
                <w:sz w:val="24"/>
                <w:lang w:val="en-US" w:eastAsia="zh-CN"/>
              </w:rPr>
              <w:t>图2-5  运营期生物质热风炉工艺流程及产污环节分析图</w:t>
            </w:r>
          </w:p>
          <w:p w14:paraId="3F207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宋体"/>
                <w:b w:val="0"/>
                <w:bCs w:val="0"/>
                <w:color w:val="auto"/>
                <w:kern w:val="0"/>
                <w:sz w:val="24"/>
                <w:szCs w:val="24"/>
                <w:lang w:val="en-US" w:eastAsia="zh-CN" w:bidi="ar"/>
              </w:rPr>
            </w:pPr>
            <w:r>
              <w:rPr>
                <w:rFonts w:hint="eastAsia" w:ascii="Times New Roman" w:hAnsi="Times New Roman" w:eastAsia="宋体" w:cs="宋体"/>
                <w:b w:val="0"/>
                <w:bCs w:val="0"/>
                <w:color w:val="auto"/>
                <w:kern w:val="0"/>
                <w:sz w:val="24"/>
                <w:szCs w:val="24"/>
                <w:lang w:val="en-US" w:eastAsia="zh-CN" w:bidi="ar"/>
              </w:rPr>
              <w:t>工作原理：</w:t>
            </w:r>
          </w:p>
          <w:p w14:paraId="683516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szCs w:val="24"/>
              </w:rPr>
            </w:pPr>
            <w:r>
              <w:rPr>
                <w:rFonts w:hint="eastAsia" w:ascii="Times New Roman" w:hAnsi="Times New Roman" w:eastAsia="宋体" w:cs="宋体"/>
                <w:color w:val="auto"/>
                <w:kern w:val="0"/>
                <w:sz w:val="24"/>
                <w:szCs w:val="24"/>
                <w:lang w:val="en-US" w:eastAsia="zh-CN" w:bidi="ar"/>
              </w:rPr>
              <w:t>生物质颗粒燃料锅炉燃烧工作原理：生物质燃料从加料口或上部均匀地铺在上炉排上，点火后，开启引风机，燃料中的挥发分析出，火焰向下燃烧，在未燃带、悬挂炉排所构成的区域迅速形成高温区，为连续稳定着火创造了条件，小于上炉排间隙且挥发分已燃尽的炙热燃料和未燃尽的微粒，在引风机及重力的作用下，一边燃烧一边向下掉落，落在温度很高的悬挂炉排上稍作停留后继续下落，最后落到下炉排上，未完全燃烧的燃料颗粒继续燃烧，燃尽的灰粒从下炉排落入出灰装置的灰斗，当积灰到一定高度时，打开出灰闸板一并排出。在燃料下落的过程中，二次配风口补充一定氧气，供悬浮燃烧，三次配风口提供的</w:t>
            </w:r>
            <w:r>
              <w:rPr>
                <w:rFonts w:hint="eastAsia" w:cs="宋体"/>
                <w:color w:val="auto"/>
                <w:kern w:val="0"/>
                <w:sz w:val="24"/>
                <w:szCs w:val="24"/>
                <w:lang w:val="en-US" w:eastAsia="zh-CN" w:bidi="ar"/>
              </w:rPr>
              <w:t>氧气</w:t>
            </w:r>
            <w:r>
              <w:rPr>
                <w:rFonts w:hint="eastAsia" w:ascii="Times New Roman" w:hAnsi="Times New Roman" w:eastAsia="宋体" w:cs="宋体"/>
                <w:color w:val="auto"/>
                <w:kern w:val="0"/>
                <w:sz w:val="24"/>
                <w:szCs w:val="24"/>
                <w:lang w:val="en-US" w:eastAsia="zh-CN" w:bidi="ar"/>
              </w:rPr>
              <w:t>为下炉排上的燃烧助燃，完全燃烧后的烟气通过烟气出口通往对流受热面。大颗粒烟尘通过隔板向上时由于惯性甩入灰斗，稍小的灰尘通过除尘挡板网阻挡又大部分落入灰斗，仅部分极其细小的微粒进入对流受热面，极大地减少了对流受热面的积灰，提高了传热效果。</w:t>
            </w:r>
          </w:p>
          <w:p w14:paraId="058ED1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bCs/>
                <w:color w:val="auto"/>
                <w:sz w:val="24"/>
              </w:rPr>
            </w:pPr>
            <w:r>
              <w:rPr>
                <w:rFonts w:hint="eastAsia" w:ascii="Times New Roman" w:hAnsi="Times New Roman" w:eastAsia="宋体"/>
                <w:b/>
                <w:bCs/>
                <w:color w:val="auto"/>
                <w:sz w:val="24"/>
              </w:rPr>
              <w:t>2.</w:t>
            </w:r>
            <w:r>
              <w:rPr>
                <w:rFonts w:hint="eastAsia" w:ascii="Times New Roman" w:hAnsi="Times New Roman" w:eastAsia="宋体"/>
                <w:b/>
                <w:bCs/>
                <w:color w:val="auto"/>
                <w:sz w:val="24"/>
                <w:lang w:val="en-US" w:eastAsia="zh-CN"/>
              </w:rPr>
              <w:t>3</w:t>
            </w:r>
            <w:r>
              <w:rPr>
                <w:rFonts w:hint="eastAsia" w:ascii="Times New Roman" w:hAnsi="Times New Roman" w:eastAsia="宋体"/>
                <w:b/>
                <w:bCs/>
                <w:color w:val="auto"/>
                <w:sz w:val="24"/>
              </w:rPr>
              <w:t xml:space="preserve"> 运营期产污环节</w:t>
            </w:r>
          </w:p>
          <w:p w14:paraId="3565E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rPr>
            </w:pPr>
            <w:r>
              <w:rPr>
                <w:rFonts w:hint="eastAsia" w:ascii="Times New Roman" w:hAnsi="Times New Roman"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废气</w:t>
            </w:r>
          </w:p>
          <w:p w14:paraId="12ADA7A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cs="宋体"/>
                <w:color w:val="auto"/>
                <w:kern w:val="0"/>
                <w:sz w:val="24"/>
                <w:szCs w:val="24"/>
                <w:lang w:val="en-US" w:eastAsia="zh-CN" w:bidi="ar"/>
              </w:rPr>
            </w:pPr>
            <w:r>
              <w:rPr>
                <w:rFonts w:hint="eastAsia" w:cs="宋体"/>
                <w:color w:val="auto"/>
                <w:kern w:val="0"/>
                <w:sz w:val="24"/>
                <w:szCs w:val="24"/>
                <w:lang w:val="en-US" w:eastAsia="zh-CN" w:bidi="ar"/>
              </w:rPr>
              <w:t>原料玉米卸料、烘干及传送过程中产生的粉尘。</w:t>
            </w:r>
          </w:p>
          <w:p w14:paraId="0A11C6F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eastAsia" w:ascii="Times New Roman" w:hAnsi="Times New Roman" w:eastAsia="宋体" w:cs="宋体"/>
                <w:color w:val="auto"/>
                <w:kern w:val="0"/>
                <w:sz w:val="24"/>
                <w:szCs w:val="24"/>
                <w:lang w:val="en-US" w:eastAsia="zh-CN" w:bidi="ar"/>
              </w:rPr>
              <w:t>生物质颗粒采用包装袋贮存，装卸及贮存过程粉尘产生量极少。运营期产生的废气污染物主要为</w:t>
            </w:r>
            <w:r>
              <w:rPr>
                <w:rFonts w:hint="eastAsia" w:cs="宋体"/>
                <w:color w:val="auto"/>
                <w:kern w:val="0"/>
                <w:sz w:val="24"/>
                <w:szCs w:val="24"/>
                <w:lang w:val="en-US" w:eastAsia="zh-CN" w:bidi="ar"/>
              </w:rPr>
              <w:t>生物质热风炉</w:t>
            </w:r>
            <w:r>
              <w:rPr>
                <w:rFonts w:hint="eastAsia" w:ascii="Times New Roman" w:hAnsi="Times New Roman" w:eastAsia="宋体" w:cs="宋体"/>
                <w:color w:val="auto"/>
                <w:kern w:val="0"/>
                <w:sz w:val="24"/>
                <w:szCs w:val="24"/>
                <w:lang w:val="en-US" w:eastAsia="zh-CN" w:bidi="ar"/>
              </w:rPr>
              <w:t>燃烧时产生的颗粒物、</w:t>
            </w:r>
            <w:r>
              <w:rPr>
                <w:rFonts w:hint="default" w:ascii="Times New Roman" w:hAnsi="Times New Roman" w:eastAsia="宋体" w:cs="宋体"/>
                <w:color w:val="auto"/>
                <w:kern w:val="0"/>
                <w:sz w:val="24"/>
                <w:szCs w:val="24"/>
                <w:lang w:val="en-US" w:eastAsia="zh-CN" w:bidi="ar"/>
              </w:rPr>
              <w:t>SO</w:t>
            </w:r>
            <w:r>
              <w:rPr>
                <w:rFonts w:hint="default" w:ascii="Times New Roman" w:hAnsi="Times New Roman" w:eastAsia="宋体" w:cs="宋体"/>
                <w:color w:val="auto"/>
                <w:kern w:val="0"/>
                <w:sz w:val="24"/>
                <w:szCs w:val="24"/>
                <w:vertAlign w:val="subscript"/>
                <w:lang w:val="en-US" w:eastAsia="zh-CN" w:bidi="ar"/>
              </w:rPr>
              <w:t>2</w:t>
            </w:r>
            <w:r>
              <w:rPr>
                <w:rFonts w:hint="eastAsia" w:ascii="Times New Roman" w:hAnsi="Times New Roman" w:eastAsia="宋体" w:cs="宋体"/>
                <w:color w:val="auto"/>
                <w:kern w:val="0"/>
                <w:sz w:val="24"/>
                <w:szCs w:val="24"/>
                <w:lang w:val="en-US" w:eastAsia="zh-CN" w:bidi="ar"/>
              </w:rPr>
              <w:t>、</w:t>
            </w:r>
            <w:r>
              <w:rPr>
                <w:rFonts w:hint="default" w:ascii="Times New Roman" w:hAnsi="Times New Roman" w:eastAsia="宋体" w:cs="宋体"/>
                <w:color w:val="auto"/>
                <w:kern w:val="0"/>
                <w:sz w:val="24"/>
                <w:szCs w:val="24"/>
                <w:lang w:val="en-US" w:eastAsia="zh-CN" w:bidi="ar"/>
              </w:rPr>
              <w:t>NO</w:t>
            </w:r>
            <w:r>
              <w:rPr>
                <w:rFonts w:hint="default" w:ascii="Times New Roman" w:hAnsi="Times New Roman" w:eastAsia="宋体" w:cs="宋体"/>
                <w:color w:val="auto"/>
                <w:kern w:val="0"/>
                <w:sz w:val="24"/>
                <w:szCs w:val="24"/>
                <w:vertAlign w:val="subscript"/>
                <w:lang w:val="en-US" w:eastAsia="zh-CN" w:bidi="ar"/>
              </w:rPr>
              <w:t>X</w:t>
            </w:r>
            <w:r>
              <w:rPr>
                <w:rFonts w:hint="eastAsia" w:ascii="Times New Roman" w:hAnsi="Times New Roman" w:eastAsia="宋体" w:cs="宋体"/>
                <w:color w:val="auto"/>
                <w:kern w:val="0"/>
                <w:sz w:val="24"/>
                <w:szCs w:val="24"/>
                <w:lang w:val="en-US" w:eastAsia="zh-CN" w:bidi="ar"/>
              </w:rPr>
              <w:t>和林格曼黑度</w:t>
            </w:r>
            <w:r>
              <w:rPr>
                <w:rFonts w:hint="eastAsia" w:cs="宋体"/>
                <w:color w:val="auto"/>
                <w:kern w:val="0"/>
                <w:sz w:val="24"/>
                <w:szCs w:val="24"/>
                <w:lang w:val="en-US" w:eastAsia="zh-CN" w:bidi="ar"/>
              </w:rPr>
              <w:t>及生物质颗粒产生的无组织颗粒物</w:t>
            </w:r>
            <w:r>
              <w:rPr>
                <w:rFonts w:hint="eastAsia" w:ascii="Times New Roman" w:hAnsi="Times New Roman" w:eastAsia="宋体" w:cs="宋体"/>
                <w:color w:val="auto"/>
                <w:kern w:val="0"/>
                <w:sz w:val="24"/>
                <w:szCs w:val="24"/>
                <w:lang w:val="en-US" w:eastAsia="zh-CN" w:bidi="ar"/>
              </w:rPr>
              <w:t>。</w:t>
            </w:r>
            <w:r>
              <w:rPr>
                <w:rFonts w:hint="eastAsia" w:cs="宋体"/>
                <w:color w:val="auto"/>
                <w:kern w:val="0"/>
                <w:sz w:val="24"/>
                <w:szCs w:val="24"/>
                <w:highlight w:val="none"/>
                <w:lang w:val="en-US" w:eastAsia="zh-CN" w:bidi="ar"/>
              </w:rPr>
              <w:t>单台生物质热风炉</w:t>
            </w:r>
            <w:r>
              <w:rPr>
                <w:rFonts w:hint="eastAsia" w:ascii="Times New Roman" w:hAnsi="Times New Roman" w:eastAsia="宋体" w:cs="宋体"/>
                <w:color w:val="auto"/>
                <w:kern w:val="0"/>
                <w:sz w:val="24"/>
                <w:szCs w:val="24"/>
                <w:highlight w:val="none"/>
                <w:lang w:val="en-US" w:eastAsia="zh-CN" w:bidi="ar"/>
              </w:rPr>
              <w:t>燃烧产生的烟气通过</w:t>
            </w:r>
            <w:r>
              <w:rPr>
                <w:rFonts w:hint="eastAsia" w:cs="宋体"/>
                <w:color w:val="auto"/>
                <w:kern w:val="0"/>
                <w:sz w:val="24"/>
                <w:szCs w:val="24"/>
                <w:highlight w:val="none"/>
                <w:lang w:val="en-US" w:eastAsia="zh-CN" w:bidi="ar"/>
              </w:rPr>
              <w:t>配套SNCR+旋风除尘+布袋除尘器除尘达标后</w:t>
            </w:r>
            <w:r>
              <w:rPr>
                <w:rFonts w:hint="eastAsia" w:ascii="Times New Roman" w:hAnsi="Times New Roman" w:cs="宋体"/>
                <w:color w:val="auto"/>
                <w:kern w:val="0"/>
                <w:sz w:val="24"/>
                <w:szCs w:val="24"/>
                <w:lang w:val="en-US" w:eastAsia="zh-CN" w:bidi="ar"/>
              </w:rPr>
              <w:t>，锅炉房燃烧废气经1根</w:t>
            </w:r>
            <w:r>
              <w:rPr>
                <w:rFonts w:hint="eastAsia" w:cs="宋体"/>
                <w:color w:val="auto"/>
                <w:kern w:val="0"/>
                <w:sz w:val="24"/>
                <w:szCs w:val="24"/>
                <w:lang w:val="en-US" w:eastAsia="zh-CN" w:bidi="ar"/>
              </w:rPr>
              <w:t>不低于17m</w:t>
            </w:r>
            <w:r>
              <w:rPr>
                <w:rFonts w:hint="eastAsia" w:ascii="Times New Roman" w:hAnsi="Times New Roman" w:cs="宋体"/>
                <w:color w:val="auto"/>
                <w:kern w:val="0"/>
                <w:sz w:val="24"/>
                <w:szCs w:val="24"/>
                <w:lang w:val="en-US" w:eastAsia="zh-CN" w:bidi="ar"/>
              </w:rPr>
              <w:t>高</w:t>
            </w:r>
            <w:r>
              <w:rPr>
                <w:rFonts w:hint="eastAsia" w:ascii="Times New Roman" w:hAnsi="Times New Roman" w:eastAsia="宋体" w:cs="宋体"/>
                <w:color w:val="auto"/>
                <w:kern w:val="0"/>
                <w:sz w:val="24"/>
                <w:szCs w:val="24"/>
                <w:lang w:val="en-US" w:eastAsia="zh-CN" w:bidi="ar"/>
              </w:rPr>
              <w:t>排气筒</w:t>
            </w:r>
            <w:r>
              <w:rPr>
                <w:rFonts w:hint="eastAsia" w:cs="宋体"/>
                <w:color w:val="auto"/>
                <w:kern w:val="0"/>
                <w:sz w:val="24"/>
                <w:szCs w:val="24"/>
                <w:lang w:val="en-US" w:eastAsia="zh-CN" w:bidi="ar"/>
              </w:rPr>
              <w:t>（DA001）</w:t>
            </w:r>
            <w:r>
              <w:rPr>
                <w:rFonts w:hint="eastAsia" w:ascii="Times New Roman" w:hAnsi="Times New Roman" w:eastAsia="宋体" w:cs="宋体"/>
                <w:color w:val="auto"/>
                <w:kern w:val="0"/>
                <w:sz w:val="24"/>
                <w:szCs w:val="24"/>
                <w:lang w:val="en-US" w:eastAsia="zh-CN" w:bidi="ar"/>
              </w:rPr>
              <w:t>排放</w:t>
            </w:r>
            <w:r>
              <w:rPr>
                <w:rFonts w:hint="eastAsia" w:cs="宋体"/>
                <w:color w:val="auto"/>
                <w:kern w:val="0"/>
                <w:sz w:val="24"/>
                <w:szCs w:val="24"/>
                <w:lang w:val="en-US" w:eastAsia="zh-CN" w:bidi="ar"/>
              </w:rPr>
              <w:t>。</w:t>
            </w:r>
          </w:p>
          <w:p w14:paraId="15CA5DA7">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color w:val="auto"/>
                <w:lang w:val="en-US" w:eastAsia="zh-CN"/>
              </w:rPr>
            </w:pPr>
            <w:r>
              <w:rPr>
                <w:rFonts w:hint="eastAsia"/>
                <w:color w:val="auto"/>
                <w:sz w:val="24"/>
                <w:lang w:val="en-US" w:eastAsia="zh-CN"/>
              </w:rPr>
              <w:t>生物质热风炉燃烧后灰渣直接由锅炉储灰器排口接至编织袋，接口尽量扎紧，收集后暂存至一般固废暂存间，减少灰渣无组织排放。布袋除尘器收尘斗下方接编织袋，接口尽量扎紧后下放收集尘，不采用敞开式收集工具在厂区内转移布袋除尘器收集灰，收集后暂存至一般固废暂存间，减少无组织排放。</w:t>
            </w:r>
          </w:p>
          <w:p w14:paraId="6AA786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rPr>
            </w:pPr>
            <w:r>
              <w:rPr>
                <w:rFonts w:hint="eastAsia" w:ascii="Times New Roman" w:hAnsi="Times New Roman"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废水</w:t>
            </w:r>
          </w:p>
          <w:p w14:paraId="20AFD3FD">
            <w:pPr>
              <w:keepNext w:val="0"/>
              <w:keepLines w:val="0"/>
              <w:pageBreakBefore w:val="0"/>
              <w:widowControl w:val="0"/>
              <w:suppressLineNumbers w:val="0"/>
              <w:kinsoku/>
              <w:wordWrap/>
              <w:overflowPunct/>
              <w:topLinePunct/>
              <w:bidi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lang w:val="en-US"/>
              </w:rPr>
            </w:pPr>
            <w:r>
              <w:rPr>
                <w:rFonts w:hint="eastAsia" w:ascii="Times New Roman" w:hAnsi="Times New Roman" w:eastAsia="宋体" w:cs="宋体"/>
                <w:color w:val="auto"/>
                <w:kern w:val="0"/>
                <w:sz w:val="24"/>
                <w:szCs w:val="24"/>
                <w:lang w:val="en-US" w:eastAsia="zh-CN" w:bidi="ar"/>
              </w:rPr>
              <w:t>运营期废水污染物主要为</w:t>
            </w:r>
            <w:r>
              <w:rPr>
                <w:rFonts w:hint="eastAsia"/>
                <w:color w:val="auto"/>
                <w:sz w:val="24"/>
                <w:lang w:val="en-US" w:eastAsia="zh-CN"/>
              </w:rPr>
              <w:t>生活污水</w:t>
            </w:r>
            <w:r>
              <w:rPr>
                <w:rFonts w:hint="eastAsia" w:cs="Times New Roman"/>
                <w:color w:val="auto"/>
                <w:sz w:val="24"/>
                <w:szCs w:val="24"/>
                <w:lang w:val="en-US" w:eastAsia="zh-CN"/>
              </w:rPr>
              <w:t>，</w:t>
            </w:r>
            <w:r>
              <w:rPr>
                <w:rFonts w:hint="eastAsia"/>
                <w:color w:val="auto"/>
                <w:sz w:val="24"/>
                <w:lang w:val="en-US" w:eastAsia="zh-CN"/>
              </w:rPr>
              <w:t>项目区暂时未接入市政排水管网，新建1处容积为50m</w:t>
            </w:r>
            <w:r>
              <w:rPr>
                <w:rFonts w:hint="eastAsia"/>
                <w:color w:val="auto"/>
                <w:sz w:val="24"/>
                <w:vertAlign w:val="superscript"/>
                <w:lang w:val="en-US" w:eastAsia="zh-CN"/>
              </w:rPr>
              <w:t>3</w:t>
            </w:r>
            <w:r>
              <w:rPr>
                <w:rFonts w:hint="eastAsia"/>
                <w:color w:val="auto"/>
                <w:sz w:val="24"/>
                <w:lang w:val="en-US" w:eastAsia="zh-CN"/>
              </w:rPr>
              <w:t>的化粪池收集污水，定期吸污拉运至天北经济技术开发区污水处理厂处理。</w:t>
            </w:r>
          </w:p>
          <w:p w14:paraId="736CC3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rPr>
            </w:pPr>
            <w:r>
              <w:rPr>
                <w:rFonts w:hint="eastAsia" w:ascii="Times New Roman" w:hAnsi="Times New Roman"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噪声</w:t>
            </w:r>
          </w:p>
          <w:p w14:paraId="141016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lang w:val="en-US"/>
              </w:rPr>
            </w:pPr>
            <w:r>
              <w:rPr>
                <w:rFonts w:hint="eastAsia" w:ascii="Times New Roman" w:hAnsi="Times New Roman" w:eastAsia="宋体" w:cs="宋体"/>
                <w:color w:val="auto"/>
                <w:kern w:val="0"/>
                <w:sz w:val="24"/>
                <w:szCs w:val="24"/>
                <w:lang w:val="en-US" w:eastAsia="zh-CN" w:bidi="ar"/>
              </w:rPr>
              <w:t>项目营运期间产生的噪声主要为燃烧器、鼓风机、引风机工作运行时产生的噪声。采取隔离降噪的方式降低噪声影响。</w:t>
            </w:r>
          </w:p>
          <w:p w14:paraId="0E872A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rPr>
            </w:pPr>
            <w:r>
              <w:rPr>
                <w:rFonts w:hint="eastAsia" w:ascii="Times New Roman" w:hAnsi="Times New Roman"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固废</w:t>
            </w:r>
          </w:p>
          <w:p w14:paraId="3D566FE2">
            <w:pPr>
              <w:pStyle w:val="108"/>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olor w:val="auto"/>
                <w:sz w:val="24"/>
                <w:lang w:val="en-US"/>
              </w:rPr>
            </w:pPr>
            <w:r>
              <w:rPr>
                <w:rFonts w:hint="eastAsia" w:ascii="Times New Roman" w:hAnsi="Times New Roman" w:eastAsia="宋体" w:cs="宋体"/>
                <w:color w:val="auto"/>
                <w:kern w:val="0"/>
                <w:sz w:val="24"/>
                <w:szCs w:val="24"/>
                <w:lang w:val="en-US" w:eastAsia="zh-CN" w:bidi="ar"/>
              </w:rPr>
              <w:t>项目营运期产生的固废污染物主要为</w:t>
            </w:r>
            <w:r>
              <w:rPr>
                <w:rFonts w:hint="eastAsia" w:cs="宋体"/>
                <w:color w:val="auto"/>
                <w:kern w:val="0"/>
                <w:sz w:val="24"/>
                <w:szCs w:val="24"/>
                <w:lang w:val="en-US" w:eastAsia="zh-CN" w:bidi="ar"/>
              </w:rPr>
              <w:t>生活垃圾、过筛废渣、除尘器废布袋</w:t>
            </w:r>
            <w:r>
              <w:rPr>
                <w:rFonts w:hint="eastAsia" w:ascii="Times New Roman" w:hAnsi="Times New Roman" w:eastAsia="宋体" w:cs="宋体"/>
                <w:color w:val="auto"/>
                <w:kern w:val="0"/>
                <w:sz w:val="24"/>
                <w:szCs w:val="24"/>
                <w:lang w:val="en-US" w:eastAsia="zh-CN" w:bidi="ar"/>
              </w:rPr>
              <w:t>、生物质颗粒燃烧后产生的灰渣</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除尘器收集的灰尘</w:t>
            </w:r>
            <w:r>
              <w:rPr>
                <w:rFonts w:hint="eastAsia" w:cs="宋体"/>
                <w:color w:val="auto"/>
                <w:kern w:val="0"/>
                <w:sz w:val="24"/>
                <w:szCs w:val="24"/>
                <w:lang w:val="en-US" w:eastAsia="zh-CN" w:bidi="ar"/>
              </w:rPr>
              <w:t>、废机油、废机油桶、含油废抹布和含油废手套</w:t>
            </w:r>
            <w:r>
              <w:rPr>
                <w:rFonts w:hint="eastAsia" w:ascii="Times New Roman" w:hAnsi="Times New Roman" w:eastAsia="宋体" w:cs="宋体"/>
                <w:color w:val="auto"/>
                <w:kern w:val="0"/>
                <w:sz w:val="24"/>
                <w:szCs w:val="24"/>
                <w:lang w:val="en-US" w:eastAsia="zh-CN" w:bidi="ar"/>
              </w:rPr>
              <w:t>。</w:t>
            </w:r>
            <w:r>
              <w:rPr>
                <w:rFonts w:hint="eastAsia" w:cs="宋体"/>
                <w:color w:val="auto"/>
                <w:kern w:val="0"/>
                <w:sz w:val="24"/>
                <w:szCs w:val="24"/>
                <w:lang w:val="en-US" w:eastAsia="zh-CN" w:bidi="ar"/>
              </w:rPr>
              <w:t>除尘器废布袋</w:t>
            </w:r>
            <w:r>
              <w:rPr>
                <w:rFonts w:hint="eastAsia" w:ascii="Times New Roman" w:hAnsi="Times New Roman" w:eastAsia="宋体" w:cs="宋体"/>
                <w:color w:val="auto"/>
                <w:kern w:val="0"/>
                <w:sz w:val="24"/>
                <w:szCs w:val="24"/>
                <w:lang w:val="en-US" w:eastAsia="zh-CN" w:bidi="ar"/>
              </w:rPr>
              <w:t>属于一般固废，更换后立即外售处置，不在项目区内储存</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燃烧后产生的灰渣和除尘器收集粉尘，</w:t>
            </w:r>
            <w:r>
              <w:rPr>
                <w:rFonts w:hint="eastAsia" w:cs="宋体"/>
                <w:color w:val="auto"/>
                <w:kern w:val="0"/>
                <w:sz w:val="24"/>
                <w:szCs w:val="24"/>
                <w:lang w:val="en-US" w:eastAsia="zh-CN" w:bidi="ar"/>
              </w:rPr>
              <w:t>集中收集暂存后作为建筑原料或生产建筑原料的材料外售</w:t>
            </w:r>
            <w:r>
              <w:rPr>
                <w:rFonts w:hint="eastAsia" w:cs="Times New Roman"/>
                <w:color w:val="auto"/>
                <w:kern w:val="2"/>
                <w:sz w:val="24"/>
                <w:szCs w:val="24"/>
                <w:highlight w:val="none"/>
                <w:lang w:val="en-US" w:eastAsia="zh-CN" w:bidi="ar-SA"/>
              </w:rPr>
              <w:t>；</w:t>
            </w:r>
            <w:r>
              <w:rPr>
                <w:rFonts w:hint="eastAsia" w:cs="宋体"/>
                <w:color w:val="auto"/>
                <w:kern w:val="0"/>
                <w:sz w:val="24"/>
                <w:szCs w:val="24"/>
                <w:lang w:val="en-US" w:eastAsia="zh-CN" w:bidi="ar"/>
              </w:rPr>
              <w:t>废机油、废机油桶、含油废抹布和含油废手套分类收集，暂存于危废库，定期交由有资质的单位处理</w:t>
            </w:r>
            <w:r>
              <w:rPr>
                <w:rFonts w:hint="eastAsia" w:ascii="Times New Roman" w:hAnsi="Times New Roman" w:eastAsia="宋体" w:cs="宋体"/>
                <w:color w:val="auto"/>
                <w:kern w:val="0"/>
                <w:sz w:val="24"/>
                <w:szCs w:val="24"/>
                <w:lang w:val="en-US" w:eastAsia="zh-CN" w:bidi="ar"/>
              </w:rPr>
              <w:t>。</w:t>
            </w:r>
          </w:p>
          <w:p w14:paraId="2465F610">
            <w:pPr>
              <w:pStyle w:val="108"/>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cs="宋体"/>
                <w:b/>
                <w:bCs/>
                <w:color w:val="auto"/>
                <w:szCs w:val="21"/>
              </w:rPr>
            </w:pPr>
            <w:r>
              <w:rPr>
                <w:rFonts w:hint="eastAsia" w:ascii="Times New Roman" w:hAnsi="Times New Roman" w:eastAsia="宋体"/>
                <w:color w:val="auto"/>
                <w:sz w:val="24"/>
              </w:rPr>
              <w:t>综上所述，本项目产污环节见表</w:t>
            </w:r>
            <w:r>
              <w:rPr>
                <w:rFonts w:hint="default" w:ascii="Times New Roman" w:hAnsi="Times New Roman" w:eastAsia="宋体"/>
                <w:color w:val="auto"/>
                <w:sz w:val="24"/>
                <w:lang w:val="en-US"/>
              </w:rPr>
              <w:t>2-</w:t>
            </w:r>
            <w:r>
              <w:rPr>
                <w:rFonts w:hint="eastAsia"/>
                <w:color w:val="auto"/>
                <w:sz w:val="24"/>
                <w:lang w:val="en-US" w:eastAsia="zh-CN"/>
              </w:rPr>
              <w:t>10</w:t>
            </w:r>
            <w:r>
              <w:rPr>
                <w:rFonts w:hint="eastAsia" w:ascii="Times New Roman" w:hAnsi="Times New Roman" w:eastAsia="宋体"/>
                <w:color w:val="auto"/>
                <w:sz w:val="24"/>
              </w:rPr>
              <w:t>。</w:t>
            </w:r>
          </w:p>
          <w:p w14:paraId="6F9A9F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22" w:firstLineChars="200"/>
              <w:jc w:val="center"/>
              <w:textAlignment w:val="auto"/>
              <w:rPr>
                <w:rFonts w:hint="default" w:eastAsiaTheme="minorEastAsia"/>
                <w:color w:val="auto"/>
                <w:sz w:val="24"/>
              </w:rPr>
            </w:pPr>
            <w:r>
              <w:rPr>
                <w:rFonts w:hint="eastAsia" w:ascii="宋体" w:hAnsi="宋体" w:cs="宋体"/>
                <w:b/>
                <w:bCs/>
                <w:color w:val="auto"/>
                <w:szCs w:val="21"/>
              </w:rPr>
              <w:t>表</w:t>
            </w:r>
            <w:r>
              <w:rPr>
                <w:rFonts w:hint="eastAsia" w:eastAsiaTheme="minorEastAsia"/>
                <w:b/>
                <w:bCs/>
                <w:color w:val="auto"/>
                <w:szCs w:val="21"/>
              </w:rPr>
              <w:t>2-</w:t>
            </w:r>
            <w:r>
              <w:rPr>
                <w:rFonts w:hint="eastAsia" w:eastAsiaTheme="minorEastAsia"/>
                <w:b/>
                <w:bCs/>
                <w:color w:val="auto"/>
                <w:szCs w:val="21"/>
                <w:lang w:val="en-US" w:eastAsia="zh-CN"/>
              </w:rPr>
              <w:t>10</w:t>
            </w:r>
            <w:r>
              <w:rPr>
                <w:rFonts w:hint="eastAsia" w:eastAsiaTheme="minorEastAsia"/>
                <w:b/>
                <w:bCs/>
                <w:color w:val="auto"/>
                <w:szCs w:val="21"/>
              </w:rPr>
              <w:t xml:space="preserve">  运营期主要产污环节一览表</w:t>
            </w:r>
          </w:p>
          <w:tbl>
            <w:tblPr>
              <w:tblStyle w:val="39"/>
              <w:tblW w:w="82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519"/>
              <w:gridCol w:w="1289"/>
              <w:gridCol w:w="1570"/>
              <w:gridCol w:w="2439"/>
              <w:gridCol w:w="2439"/>
            </w:tblGrid>
            <w:tr w14:paraId="6D0B1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tcBorders>
                    <w:tl2br w:val="nil"/>
                    <w:tr2bl w:val="nil"/>
                  </w:tcBorders>
                  <w:vAlign w:val="center"/>
                </w:tcPr>
                <w:p w14:paraId="7A817EE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b/>
                      <w:bCs/>
                      <w:color w:val="auto"/>
                      <w:sz w:val="21"/>
                      <w:szCs w:val="21"/>
                    </w:rPr>
                  </w:pPr>
                  <w:r>
                    <w:rPr>
                      <w:rFonts w:hint="eastAsia" w:ascii="Times New Roman" w:hAnsi="Times New Roman" w:eastAsiaTheme="minorEastAsia"/>
                      <w:b/>
                      <w:bCs/>
                      <w:color w:val="auto"/>
                      <w:sz w:val="21"/>
                      <w:szCs w:val="21"/>
                    </w:rPr>
                    <w:t>排放类别</w:t>
                  </w:r>
                </w:p>
              </w:tc>
              <w:tc>
                <w:tcPr>
                  <w:tcW w:w="1289" w:type="dxa"/>
                  <w:tcBorders>
                    <w:tl2br w:val="nil"/>
                    <w:tr2bl w:val="nil"/>
                  </w:tcBorders>
                  <w:vAlign w:val="center"/>
                </w:tcPr>
                <w:p w14:paraId="17391B5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b/>
                      <w:bCs/>
                      <w:color w:val="auto"/>
                      <w:sz w:val="21"/>
                      <w:szCs w:val="21"/>
                    </w:rPr>
                  </w:pPr>
                  <w:r>
                    <w:rPr>
                      <w:rFonts w:hint="eastAsia" w:ascii="Times New Roman" w:hAnsi="Times New Roman" w:eastAsiaTheme="minorEastAsia"/>
                      <w:b/>
                      <w:bCs/>
                      <w:color w:val="auto"/>
                      <w:sz w:val="21"/>
                      <w:szCs w:val="21"/>
                    </w:rPr>
                    <w:t>污染物</w:t>
                  </w:r>
                </w:p>
              </w:tc>
              <w:tc>
                <w:tcPr>
                  <w:tcW w:w="1570" w:type="dxa"/>
                  <w:tcBorders>
                    <w:tl2br w:val="nil"/>
                    <w:tr2bl w:val="nil"/>
                  </w:tcBorders>
                  <w:vAlign w:val="center"/>
                </w:tcPr>
                <w:p w14:paraId="79B604A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b/>
                      <w:bCs/>
                      <w:color w:val="auto"/>
                      <w:sz w:val="21"/>
                      <w:szCs w:val="21"/>
                    </w:rPr>
                  </w:pPr>
                  <w:r>
                    <w:rPr>
                      <w:rFonts w:hint="eastAsia" w:ascii="Times New Roman" w:hAnsi="Times New Roman" w:eastAsiaTheme="minorEastAsia"/>
                      <w:b/>
                      <w:bCs/>
                      <w:color w:val="auto"/>
                      <w:sz w:val="21"/>
                      <w:szCs w:val="21"/>
                    </w:rPr>
                    <w:t>污染工序</w:t>
                  </w:r>
                </w:p>
              </w:tc>
              <w:tc>
                <w:tcPr>
                  <w:tcW w:w="2439" w:type="dxa"/>
                  <w:tcBorders>
                    <w:tl2br w:val="nil"/>
                    <w:tr2bl w:val="nil"/>
                  </w:tcBorders>
                  <w:vAlign w:val="center"/>
                </w:tcPr>
                <w:p w14:paraId="3BD2782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b/>
                      <w:bCs/>
                      <w:color w:val="auto"/>
                      <w:sz w:val="21"/>
                      <w:szCs w:val="21"/>
                    </w:rPr>
                  </w:pPr>
                  <w:r>
                    <w:rPr>
                      <w:rFonts w:hint="eastAsia" w:ascii="Times New Roman" w:hAnsi="Times New Roman" w:eastAsiaTheme="minorEastAsia"/>
                      <w:b/>
                      <w:bCs/>
                      <w:color w:val="auto"/>
                      <w:sz w:val="21"/>
                      <w:szCs w:val="21"/>
                    </w:rPr>
                    <w:t>污染因子</w:t>
                  </w:r>
                </w:p>
              </w:tc>
              <w:tc>
                <w:tcPr>
                  <w:tcW w:w="2439" w:type="dxa"/>
                  <w:tcBorders>
                    <w:tl2br w:val="nil"/>
                    <w:tr2bl w:val="nil"/>
                  </w:tcBorders>
                  <w:vAlign w:val="center"/>
                </w:tcPr>
                <w:p w14:paraId="1F7D425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b/>
                      <w:bCs/>
                      <w:color w:val="auto"/>
                      <w:sz w:val="21"/>
                      <w:szCs w:val="21"/>
                      <w:lang w:val="en-US" w:eastAsia="zh-CN"/>
                    </w:rPr>
                  </w:pPr>
                  <w:r>
                    <w:rPr>
                      <w:rFonts w:hint="eastAsia" w:eastAsiaTheme="minorEastAsia"/>
                      <w:b/>
                      <w:bCs/>
                      <w:color w:val="auto"/>
                      <w:sz w:val="21"/>
                      <w:szCs w:val="21"/>
                      <w:lang w:val="en-US" w:eastAsia="zh-CN"/>
                    </w:rPr>
                    <w:t>治理措施</w:t>
                  </w:r>
                </w:p>
              </w:tc>
            </w:tr>
            <w:tr w14:paraId="1BC2B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restart"/>
                  <w:tcBorders>
                    <w:tl2br w:val="nil"/>
                    <w:tr2bl w:val="nil"/>
                  </w:tcBorders>
                  <w:vAlign w:val="center"/>
                </w:tcPr>
                <w:p w14:paraId="3E9075B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ascii="Times New Roman" w:hAnsi="Times New Roman" w:eastAsiaTheme="minorEastAsia"/>
                      <w:color w:val="auto"/>
                      <w:sz w:val="21"/>
                      <w:szCs w:val="21"/>
                    </w:rPr>
                    <w:t>废气</w:t>
                  </w:r>
                </w:p>
              </w:tc>
              <w:tc>
                <w:tcPr>
                  <w:tcW w:w="1289" w:type="dxa"/>
                  <w:tcBorders>
                    <w:tl2br w:val="nil"/>
                    <w:tr2bl w:val="nil"/>
                  </w:tcBorders>
                  <w:vAlign w:val="center"/>
                </w:tcPr>
                <w:p w14:paraId="52B1792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eastAsiaTheme="minorEastAsia"/>
                      <w:color w:val="auto"/>
                      <w:sz w:val="21"/>
                      <w:szCs w:val="21"/>
                      <w:lang w:val="en-US" w:eastAsia="zh-CN"/>
                    </w:rPr>
                    <w:t>生物质热风炉</w:t>
                  </w:r>
                  <w:r>
                    <w:rPr>
                      <w:rFonts w:hint="eastAsia" w:ascii="Times New Roman" w:hAnsi="Times New Roman" w:eastAsiaTheme="minorEastAsia"/>
                      <w:color w:val="auto"/>
                      <w:sz w:val="21"/>
                      <w:szCs w:val="21"/>
                    </w:rPr>
                    <w:t>废气</w:t>
                  </w:r>
                </w:p>
              </w:tc>
              <w:tc>
                <w:tcPr>
                  <w:tcW w:w="1570" w:type="dxa"/>
                  <w:tcBorders>
                    <w:tl2br w:val="nil"/>
                    <w:tr2bl w:val="nil"/>
                  </w:tcBorders>
                  <w:vAlign w:val="center"/>
                </w:tcPr>
                <w:p w14:paraId="2FD1C4B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eastAsiaTheme="minorEastAsia"/>
                      <w:color w:val="auto"/>
                      <w:sz w:val="21"/>
                      <w:szCs w:val="21"/>
                      <w:lang w:val="en-US" w:eastAsia="zh-CN"/>
                    </w:rPr>
                    <w:t>生物质热风炉</w:t>
                  </w:r>
                  <w:r>
                    <w:rPr>
                      <w:rFonts w:hint="eastAsia" w:ascii="Times New Roman" w:hAnsi="Times New Roman" w:eastAsiaTheme="minorEastAsia"/>
                      <w:color w:val="auto"/>
                      <w:sz w:val="21"/>
                      <w:szCs w:val="21"/>
                    </w:rPr>
                    <w:t>运行过程</w:t>
                  </w:r>
                </w:p>
              </w:tc>
              <w:tc>
                <w:tcPr>
                  <w:tcW w:w="2439" w:type="dxa"/>
                  <w:tcBorders>
                    <w:tl2br w:val="nil"/>
                    <w:tr2bl w:val="nil"/>
                  </w:tcBorders>
                  <w:vAlign w:val="center"/>
                </w:tcPr>
                <w:p w14:paraId="519F5B8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lang w:val="en-US" w:eastAsia="zh-CN"/>
                    </w:rPr>
                  </w:pPr>
                  <w:r>
                    <w:rPr>
                      <w:rFonts w:hint="eastAsia" w:ascii="Times New Roman" w:hAnsi="Times New Roman" w:eastAsiaTheme="minorEastAsia"/>
                      <w:color w:val="auto"/>
                      <w:sz w:val="21"/>
                      <w:szCs w:val="21"/>
                    </w:rPr>
                    <w:t>SO</w:t>
                  </w:r>
                  <w:r>
                    <w:rPr>
                      <w:rFonts w:hint="eastAsia" w:ascii="Times New Roman" w:hAnsi="Times New Roman" w:eastAsiaTheme="minorEastAsia"/>
                      <w:color w:val="auto"/>
                      <w:sz w:val="21"/>
                      <w:szCs w:val="21"/>
                      <w:vertAlign w:val="subscript"/>
                    </w:rPr>
                    <w:t>2</w:t>
                  </w:r>
                  <w:r>
                    <w:rPr>
                      <w:rFonts w:hint="eastAsia" w:ascii="Times New Roman" w:hAnsi="Times New Roman" w:eastAsiaTheme="minorEastAsia"/>
                      <w:color w:val="auto"/>
                      <w:sz w:val="21"/>
                      <w:szCs w:val="21"/>
                    </w:rPr>
                    <w:t>、NO</w:t>
                  </w:r>
                  <w:r>
                    <w:rPr>
                      <w:rFonts w:hint="eastAsia" w:ascii="Times New Roman" w:hAnsi="Times New Roman" w:eastAsiaTheme="minorEastAsia"/>
                      <w:color w:val="auto"/>
                      <w:sz w:val="21"/>
                      <w:szCs w:val="21"/>
                      <w:vertAlign w:val="subscript"/>
                    </w:rPr>
                    <w:t>x</w:t>
                  </w:r>
                  <w:r>
                    <w:rPr>
                      <w:rFonts w:hint="eastAsia" w:ascii="Times New Roman" w:hAnsi="Times New Roman" w:eastAsiaTheme="minorEastAsia"/>
                      <w:color w:val="auto"/>
                      <w:sz w:val="21"/>
                      <w:szCs w:val="21"/>
                    </w:rPr>
                    <w:t>、</w:t>
                  </w:r>
                  <w:r>
                    <w:rPr>
                      <w:rFonts w:hint="eastAsia" w:eastAsiaTheme="minorEastAsia"/>
                      <w:color w:val="auto"/>
                      <w:sz w:val="21"/>
                      <w:szCs w:val="21"/>
                      <w:lang w:val="en-US" w:eastAsia="zh-CN"/>
                    </w:rPr>
                    <w:t>颗粒物</w:t>
                  </w:r>
                  <w:r>
                    <w:rPr>
                      <w:rFonts w:hint="eastAsia" w:ascii="Times New Roman" w:hAnsi="Times New Roman" w:eastAsiaTheme="minorEastAsia"/>
                      <w:color w:val="auto"/>
                      <w:sz w:val="21"/>
                      <w:szCs w:val="21"/>
                      <w:lang w:val="en-US" w:eastAsia="zh-CN"/>
                    </w:rPr>
                    <w:t>、</w:t>
                  </w:r>
                  <w:r>
                    <w:rPr>
                      <w:rFonts w:hint="eastAsia" w:eastAsiaTheme="minorEastAsia"/>
                      <w:color w:val="auto"/>
                      <w:sz w:val="21"/>
                      <w:szCs w:val="21"/>
                      <w:lang w:val="en-US" w:eastAsia="zh-CN"/>
                    </w:rPr>
                    <w:t>林格曼黑度</w:t>
                  </w:r>
                </w:p>
              </w:tc>
              <w:tc>
                <w:tcPr>
                  <w:tcW w:w="2439" w:type="dxa"/>
                  <w:tcBorders>
                    <w:tl2br w:val="nil"/>
                    <w:tr2bl w:val="nil"/>
                  </w:tcBorders>
                  <w:vAlign w:val="center"/>
                </w:tcPr>
                <w:p w14:paraId="1A150FB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SNCR+旋风除尘+布袋除尘器+17m排气筒</w:t>
                  </w:r>
                </w:p>
              </w:tc>
            </w:tr>
            <w:tr w14:paraId="292E7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6FF834A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289" w:type="dxa"/>
                  <w:vMerge w:val="restart"/>
                  <w:tcBorders>
                    <w:tl2br w:val="nil"/>
                    <w:tr2bl w:val="nil"/>
                  </w:tcBorders>
                  <w:vAlign w:val="center"/>
                </w:tcPr>
                <w:p w14:paraId="388573B8">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工艺粉尘</w:t>
                  </w:r>
                </w:p>
              </w:tc>
              <w:tc>
                <w:tcPr>
                  <w:tcW w:w="1570" w:type="dxa"/>
                  <w:tcBorders>
                    <w:tl2br w:val="nil"/>
                    <w:tr2bl w:val="nil"/>
                  </w:tcBorders>
                  <w:vAlign w:val="center"/>
                </w:tcPr>
                <w:p w14:paraId="527FB808">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烘干</w:t>
                  </w:r>
                </w:p>
              </w:tc>
              <w:tc>
                <w:tcPr>
                  <w:tcW w:w="2439" w:type="dxa"/>
                  <w:tcBorders>
                    <w:tl2br w:val="nil"/>
                    <w:tr2bl w:val="nil"/>
                  </w:tcBorders>
                  <w:vAlign w:val="center"/>
                </w:tcPr>
                <w:p w14:paraId="2424012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颗粒物</w:t>
                  </w:r>
                </w:p>
              </w:tc>
              <w:tc>
                <w:tcPr>
                  <w:tcW w:w="2439" w:type="dxa"/>
                  <w:tcBorders>
                    <w:tl2br w:val="nil"/>
                    <w:tr2bl w:val="nil"/>
                  </w:tcBorders>
                  <w:vAlign w:val="center"/>
                </w:tcPr>
                <w:p w14:paraId="4C1C35D5">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抑尘罩</w:t>
                  </w:r>
                </w:p>
              </w:tc>
            </w:tr>
            <w:tr w14:paraId="75DB1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6A0C8DAE">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289" w:type="dxa"/>
                  <w:vMerge w:val="continue"/>
                  <w:tcBorders>
                    <w:tl2br w:val="nil"/>
                    <w:tr2bl w:val="nil"/>
                  </w:tcBorders>
                  <w:vAlign w:val="center"/>
                </w:tcPr>
                <w:p w14:paraId="5E30C40D">
                  <w:pPr>
                    <w:keepNext w:val="0"/>
                    <w:keepLines w:val="0"/>
                    <w:suppressLineNumbers w:val="0"/>
                    <w:adjustRightInd w:val="0"/>
                    <w:snapToGrid w:val="0"/>
                    <w:spacing w:before="0" w:beforeAutospacing="0" w:after="0" w:afterAutospacing="0"/>
                    <w:ind w:left="0" w:right="0"/>
                    <w:jc w:val="center"/>
                    <w:rPr>
                      <w:rFonts w:hint="eastAsia" w:eastAsiaTheme="minorEastAsia"/>
                      <w:color w:val="auto"/>
                      <w:sz w:val="21"/>
                      <w:szCs w:val="21"/>
                      <w:lang w:val="en-US" w:eastAsia="zh-CN"/>
                    </w:rPr>
                  </w:pPr>
                </w:p>
              </w:tc>
              <w:tc>
                <w:tcPr>
                  <w:tcW w:w="1570" w:type="dxa"/>
                  <w:tcBorders>
                    <w:tl2br w:val="nil"/>
                    <w:tr2bl w:val="nil"/>
                  </w:tcBorders>
                  <w:vAlign w:val="center"/>
                </w:tcPr>
                <w:p w14:paraId="63D4A8F5">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筛分、输送</w:t>
                  </w:r>
                </w:p>
              </w:tc>
              <w:tc>
                <w:tcPr>
                  <w:tcW w:w="2439" w:type="dxa"/>
                  <w:tcBorders>
                    <w:tl2br w:val="nil"/>
                    <w:tr2bl w:val="nil"/>
                  </w:tcBorders>
                  <w:vAlign w:val="center"/>
                </w:tcPr>
                <w:p w14:paraId="20DE7715">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颗粒物</w:t>
                  </w:r>
                </w:p>
              </w:tc>
              <w:tc>
                <w:tcPr>
                  <w:tcW w:w="2439" w:type="dxa"/>
                  <w:tcBorders>
                    <w:tl2br w:val="nil"/>
                    <w:tr2bl w:val="nil"/>
                  </w:tcBorders>
                  <w:vAlign w:val="center"/>
                </w:tcPr>
                <w:p w14:paraId="71644721">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密闭收集</w:t>
                  </w:r>
                </w:p>
              </w:tc>
            </w:tr>
            <w:tr w14:paraId="4CB7B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tcBorders>
                    <w:tl2br w:val="nil"/>
                    <w:tr2bl w:val="nil"/>
                  </w:tcBorders>
                  <w:vAlign w:val="center"/>
                </w:tcPr>
                <w:p w14:paraId="1A9CD3B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ascii="Times New Roman" w:hAnsi="Times New Roman" w:eastAsiaTheme="minorEastAsia"/>
                      <w:color w:val="auto"/>
                      <w:sz w:val="21"/>
                      <w:szCs w:val="21"/>
                    </w:rPr>
                    <w:t>废水</w:t>
                  </w:r>
                </w:p>
              </w:tc>
              <w:tc>
                <w:tcPr>
                  <w:tcW w:w="1289" w:type="dxa"/>
                  <w:tcBorders>
                    <w:tl2br w:val="nil"/>
                    <w:tr2bl w:val="nil"/>
                  </w:tcBorders>
                  <w:vAlign w:val="center"/>
                </w:tcPr>
                <w:p w14:paraId="061944F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生活污水</w:t>
                  </w:r>
                </w:p>
              </w:tc>
              <w:tc>
                <w:tcPr>
                  <w:tcW w:w="1570" w:type="dxa"/>
                  <w:tcBorders>
                    <w:tl2br w:val="nil"/>
                    <w:tr2bl w:val="nil"/>
                  </w:tcBorders>
                  <w:vAlign w:val="center"/>
                </w:tcPr>
                <w:p w14:paraId="5B1A4418">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heme="minorEastAsia"/>
                      <w:color w:val="auto"/>
                      <w:sz w:val="21"/>
                      <w:szCs w:val="21"/>
                      <w:lang w:eastAsia="zh-CN"/>
                    </w:rPr>
                  </w:pPr>
                  <w:r>
                    <w:rPr>
                      <w:rFonts w:hint="eastAsia" w:eastAsiaTheme="minorEastAsia"/>
                      <w:color w:val="auto"/>
                      <w:sz w:val="21"/>
                      <w:szCs w:val="21"/>
                      <w:lang w:val="en-US" w:eastAsia="zh-CN"/>
                    </w:rPr>
                    <w:t>员工生活</w:t>
                  </w:r>
                </w:p>
              </w:tc>
              <w:tc>
                <w:tcPr>
                  <w:tcW w:w="2439" w:type="dxa"/>
                  <w:tcBorders>
                    <w:tl2br w:val="nil"/>
                    <w:tr2bl w:val="nil"/>
                  </w:tcBorders>
                  <w:vAlign w:val="center"/>
                </w:tcPr>
                <w:p w14:paraId="6E67B8F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COD、BOD</w:t>
                  </w:r>
                  <w:r>
                    <w:rPr>
                      <w:rFonts w:hint="eastAsia" w:eastAsiaTheme="minorEastAsia"/>
                      <w:color w:val="auto"/>
                      <w:sz w:val="21"/>
                      <w:szCs w:val="21"/>
                      <w:vertAlign w:val="subscript"/>
                      <w:lang w:val="en-US" w:eastAsia="zh-CN"/>
                    </w:rPr>
                    <w:t>5</w:t>
                  </w:r>
                  <w:r>
                    <w:rPr>
                      <w:rFonts w:hint="eastAsia" w:eastAsiaTheme="minorEastAsia"/>
                      <w:color w:val="auto"/>
                      <w:sz w:val="21"/>
                      <w:szCs w:val="21"/>
                      <w:lang w:val="en-US" w:eastAsia="zh-CN"/>
                    </w:rPr>
                    <w:t>、氨氮、</w:t>
                  </w:r>
                  <w:r>
                    <w:rPr>
                      <w:rFonts w:hint="eastAsia" w:ascii="Times New Roman" w:hAnsi="Times New Roman" w:eastAsiaTheme="minorEastAsia"/>
                      <w:color w:val="auto"/>
                      <w:sz w:val="21"/>
                      <w:szCs w:val="21"/>
                    </w:rPr>
                    <w:t>SS</w:t>
                  </w:r>
                </w:p>
              </w:tc>
              <w:tc>
                <w:tcPr>
                  <w:tcW w:w="2439" w:type="dxa"/>
                  <w:tcBorders>
                    <w:tl2br w:val="nil"/>
                    <w:tr2bl w:val="nil"/>
                  </w:tcBorders>
                  <w:vAlign w:val="center"/>
                </w:tcPr>
                <w:p w14:paraId="7C884400">
                  <w:pPr>
                    <w:keepNext w:val="0"/>
                    <w:keepLines w:val="0"/>
                    <w:suppressLineNumbers w:val="0"/>
                    <w:adjustRightInd w:val="0"/>
                    <w:snapToGrid w:val="0"/>
                    <w:spacing w:before="0" w:beforeAutospacing="0" w:after="0" w:afterAutospacing="0"/>
                    <w:ind w:left="0" w:leftChars="0" w:right="0" w:rightChars="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化粪池收集，定期吸污拉运至天北经济技术开发区污水处理厂处理</w:t>
                  </w:r>
                </w:p>
              </w:tc>
            </w:tr>
            <w:tr w14:paraId="50D9B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tcBorders>
                    <w:tl2br w:val="nil"/>
                    <w:tr2bl w:val="nil"/>
                  </w:tcBorders>
                  <w:vAlign w:val="center"/>
                </w:tcPr>
                <w:p w14:paraId="31A865A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ascii="Times New Roman" w:hAnsi="Times New Roman" w:eastAsiaTheme="minorEastAsia"/>
                      <w:color w:val="auto"/>
                      <w:sz w:val="21"/>
                      <w:szCs w:val="21"/>
                    </w:rPr>
                    <w:t>噪声</w:t>
                  </w:r>
                </w:p>
              </w:tc>
              <w:tc>
                <w:tcPr>
                  <w:tcW w:w="1289" w:type="dxa"/>
                  <w:tcBorders>
                    <w:tl2br w:val="nil"/>
                    <w:tr2bl w:val="nil"/>
                  </w:tcBorders>
                  <w:vAlign w:val="center"/>
                </w:tcPr>
                <w:p w14:paraId="27CA50A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ascii="Times New Roman" w:hAnsi="Times New Roman" w:eastAsiaTheme="minorEastAsia"/>
                      <w:color w:val="auto"/>
                      <w:sz w:val="21"/>
                      <w:szCs w:val="21"/>
                    </w:rPr>
                    <w:t>机械噪声</w:t>
                  </w:r>
                </w:p>
              </w:tc>
              <w:tc>
                <w:tcPr>
                  <w:tcW w:w="1570" w:type="dxa"/>
                  <w:tcBorders>
                    <w:tl2br w:val="nil"/>
                    <w:tr2bl w:val="nil"/>
                  </w:tcBorders>
                  <w:vAlign w:val="center"/>
                </w:tcPr>
                <w:p w14:paraId="6E355E8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ascii="Times New Roman" w:hAnsi="Times New Roman" w:eastAsiaTheme="minorEastAsia"/>
                      <w:color w:val="auto"/>
                      <w:sz w:val="21"/>
                      <w:szCs w:val="21"/>
                    </w:rPr>
                    <w:t>各类设备运转过程</w:t>
                  </w:r>
                </w:p>
              </w:tc>
              <w:tc>
                <w:tcPr>
                  <w:tcW w:w="2439" w:type="dxa"/>
                  <w:tcBorders>
                    <w:tl2br w:val="nil"/>
                    <w:tr2bl w:val="nil"/>
                  </w:tcBorders>
                  <w:vAlign w:val="center"/>
                </w:tcPr>
                <w:p w14:paraId="45614ED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lang w:eastAsia="zh-CN"/>
                    </w:rPr>
                  </w:pPr>
                  <w:r>
                    <w:rPr>
                      <w:rFonts w:hint="eastAsia" w:ascii="Times New Roman" w:hAnsi="Times New Roman" w:eastAsiaTheme="minorEastAsia"/>
                      <w:color w:val="auto"/>
                      <w:sz w:val="21"/>
                      <w:szCs w:val="21"/>
                    </w:rPr>
                    <w:t>Leq</w:t>
                  </w:r>
                  <w:r>
                    <w:rPr>
                      <w:rFonts w:hint="eastAsia" w:eastAsiaTheme="minorEastAsia"/>
                      <w:color w:val="auto"/>
                      <w:sz w:val="21"/>
                      <w:szCs w:val="21"/>
                      <w:lang w:eastAsia="zh-CN"/>
                    </w:rPr>
                    <w:t>(</w:t>
                  </w:r>
                  <w:r>
                    <w:rPr>
                      <w:rFonts w:hint="eastAsia" w:ascii="Times New Roman" w:hAnsi="Times New Roman" w:eastAsiaTheme="minorEastAsia"/>
                      <w:color w:val="auto"/>
                      <w:sz w:val="21"/>
                      <w:szCs w:val="21"/>
                    </w:rPr>
                    <w:t>A</w:t>
                  </w:r>
                  <w:r>
                    <w:rPr>
                      <w:rFonts w:hint="eastAsia" w:eastAsiaTheme="minorEastAsia"/>
                      <w:color w:val="auto"/>
                      <w:sz w:val="21"/>
                      <w:szCs w:val="21"/>
                      <w:lang w:eastAsia="zh-CN"/>
                    </w:rPr>
                    <w:t>)</w:t>
                  </w:r>
                </w:p>
              </w:tc>
              <w:tc>
                <w:tcPr>
                  <w:tcW w:w="2439" w:type="dxa"/>
                  <w:tcBorders>
                    <w:tl2br w:val="nil"/>
                    <w:tr2bl w:val="nil"/>
                  </w:tcBorders>
                  <w:vAlign w:val="center"/>
                </w:tcPr>
                <w:p w14:paraId="3445587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r>
                    <w:rPr>
                      <w:rFonts w:hint="default" w:ascii="Times New Roman" w:hAnsi="Times New Roman" w:cs="Times New Roman"/>
                      <w:snapToGrid w:val="0"/>
                      <w:color w:val="auto"/>
                      <w:kern w:val="0"/>
                      <w:szCs w:val="21"/>
                      <w:highlight w:val="none"/>
                    </w:rPr>
                    <w:t>选用低噪设备、基础减振</w:t>
                  </w:r>
                </w:p>
              </w:tc>
            </w:tr>
            <w:tr w14:paraId="6D97F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restart"/>
                  <w:tcBorders>
                    <w:tl2br w:val="nil"/>
                    <w:tr2bl w:val="nil"/>
                  </w:tcBorders>
                  <w:vAlign w:val="center"/>
                </w:tcPr>
                <w:p w14:paraId="23158A7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ascii="Times New Roman" w:hAnsi="Times New Roman" w:eastAsiaTheme="minorEastAsia"/>
                      <w:color w:val="auto"/>
                      <w:sz w:val="21"/>
                      <w:szCs w:val="21"/>
                    </w:rPr>
                    <w:t>固废</w:t>
                  </w:r>
                </w:p>
              </w:tc>
              <w:tc>
                <w:tcPr>
                  <w:tcW w:w="1289" w:type="dxa"/>
                  <w:vMerge w:val="restart"/>
                  <w:tcBorders>
                    <w:tl2br w:val="nil"/>
                    <w:tr2bl w:val="nil"/>
                  </w:tcBorders>
                  <w:vAlign w:val="center"/>
                </w:tcPr>
                <w:p w14:paraId="0168E7B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r>
                    <w:rPr>
                      <w:rFonts w:hint="eastAsia" w:ascii="Times New Roman" w:hAnsi="Times New Roman" w:eastAsiaTheme="minorEastAsia"/>
                      <w:color w:val="auto"/>
                      <w:sz w:val="21"/>
                      <w:szCs w:val="21"/>
                    </w:rPr>
                    <w:t>一般固废</w:t>
                  </w:r>
                </w:p>
              </w:tc>
              <w:tc>
                <w:tcPr>
                  <w:tcW w:w="1570" w:type="dxa"/>
                  <w:tcBorders>
                    <w:tl2br w:val="nil"/>
                    <w:tr2bl w:val="nil"/>
                  </w:tcBorders>
                  <w:vAlign w:val="center"/>
                </w:tcPr>
                <w:p w14:paraId="1B7B576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滚筒筛筛分</w:t>
                  </w:r>
                </w:p>
              </w:tc>
              <w:tc>
                <w:tcPr>
                  <w:tcW w:w="2439" w:type="dxa"/>
                  <w:tcBorders>
                    <w:tl2br w:val="nil"/>
                    <w:tr2bl w:val="nil"/>
                  </w:tcBorders>
                  <w:vAlign w:val="center"/>
                </w:tcPr>
                <w:p w14:paraId="7F3C277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玉米糠麸、土砂石</w:t>
                  </w:r>
                </w:p>
              </w:tc>
              <w:tc>
                <w:tcPr>
                  <w:tcW w:w="2439" w:type="dxa"/>
                  <w:vMerge w:val="restart"/>
                  <w:tcBorders>
                    <w:tl2br w:val="nil"/>
                    <w:tr2bl w:val="nil"/>
                  </w:tcBorders>
                  <w:vAlign w:val="center"/>
                </w:tcPr>
                <w:p w14:paraId="53729411">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集中收集，交由环卫部门处理</w:t>
                  </w:r>
                </w:p>
              </w:tc>
            </w:tr>
            <w:tr w14:paraId="08190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0393E2C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289" w:type="dxa"/>
                  <w:vMerge w:val="continue"/>
                  <w:tcBorders>
                    <w:tl2br w:val="nil"/>
                    <w:tr2bl w:val="nil"/>
                  </w:tcBorders>
                  <w:vAlign w:val="center"/>
                </w:tcPr>
                <w:p w14:paraId="0B8FB054">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570" w:type="dxa"/>
                  <w:tcBorders>
                    <w:tl2br w:val="nil"/>
                    <w:tr2bl w:val="nil"/>
                  </w:tcBorders>
                  <w:vAlign w:val="center"/>
                </w:tcPr>
                <w:p w14:paraId="59CA1A8F">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生活垃圾</w:t>
                  </w:r>
                </w:p>
              </w:tc>
              <w:tc>
                <w:tcPr>
                  <w:tcW w:w="2439" w:type="dxa"/>
                  <w:tcBorders>
                    <w:tl2br w:val="nil"/>
                    <w:tr2bl w:val="nil"/>
                  </w:tcBorders>
                  <w:vAlign w:val="center"/>
                </w:tcPr>
                <w:p w14:paraId="56ED0969">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生活垃圾</w:t>
                  </w:r>
                </w:p>
              </w:tc>
              <w:tc>
                <w:tcPr>
                  <w:tcW w:w="2439" w:type="dxa"/>
                  <w:vMerge w:val="continue"/>
                  <w:tcBorders>
                    <w:tl2br w:val="nil"/>
                    <w:tr2bl w:val="nil"/>
                  </w:tcBorders>
                  <w:vAlign w:val="center"/>
                </w:tcPr>
                <w:p w14:paraId="1833A286">
                  <w:pPr>
                    <w:keepNext w:val="0"/>
                    <w:keepLines w:val="0"/>
                    <w:suppressLineNumbers w:val="0"/>
                    <w:adjustRightInd w:val="0"/>
                    <w:snapToGrid w:val="0"/>
                    <w:spacing w:before="0" w:beforeAutospacing="0" w:after="0" w:afterAutospacing="0"/>
                    <w:ind w:left="0" w:right="0"/>
                    <w:jc w:val="center"/>
                    <w:rPr>
                      <w:rFonts w:hint="eastAsia" w:eastAsiaTheme="minorEastAsia"/>
                      <w:color w:val="auto"/>
                      <w:sz w:val="21"/>
                      <w:szCs w:val="21"/>
                      <w:lang w:val="en-US" w:eastAsia="zh-CN"/>
                    </w:rPr>
                  </w:pPr>
                </w:p>
              </w:tc>
            </w:tr>
            <w:tr w14:paraId="1885B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50D6912D">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289" w:type="dxa"/>
                  <w:vMerge w:val="continue"/>
                  <w:tcBorders>
                    <w:tl2br w:val="nil"/>
                    <w:tr2bl w:val="nil"/>
                  </w:tcBorders>
                  <w:vAlign w:val="center"/>
                </w:tcPr>
                <w:p w14:paraId="66CA1572">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570" w:type="dxa"/>
                  <w:tcBorders>
                    <w:tl2br w:val="nil"/>
                    <w:tr2bl w:val="nil"/>
                  </w:tcBorders>
                  <w:shd w:val="clear" w:color="auto" w:fill="auto"/>
                  <w:vAlign w:val="center"/>
                </w:tcPr>
                <w:p w14:paraId="397DC21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eastAsiaTheme="minorEastAsia"/>
                      <w:color w:val="auto"/>
                      <w:kern w:val="2"/>
                      <w:sz w:val="21"/>
                      <w:szCs w:val="21"/>
                      <w:lang w:val="en-US" w:eastAsia="zh-CN" w:bidi="ar-SA"/>
                    </w:rPr>
                  </w:pPr>
                  <w:r>
                    <w:rPr>
                      <w:rFonts w:hint="eastAsia" w:eastAsiaTheme="minorEastAsia"/>
                      <w:color w:val="auto"/>
                      <w:sz w:val="21"/>
                      <w:szCs w:val="21"/>
                      <w:lang w:val="en-US" w:eastAsia="zh-CN"/>
                    </w:rPr>
                    <w:t>烘干塔</w:t>
                  </w:r>
                </w:p>
              </w:tc>
              <w:tc>
                <w:tcPr>
                  <w:tcW w:w="2439" w:type="dxa"/>
                  <w:tcBorders>
                    <w:tl2br w:val="nil"/>
                    <w:tr2bl w:val="nil"/>
                  </w:tcBorders>
                  <w:shd w:val="clear" w:color="auto" w:fill="auto"/>
                  <w:vAlign w:val="center"/>
                </w:tcPr>
                <w:p w14:paraId="6F36D48B">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eastAsiaTheme="minorEastAsia"/>
                      <w:color w:val="auto"/>
                      <w:kern w:val="2"/>
                      <w:sz w:val="21"/>
                      <w:szCs w:val="21"/>
                      <w:lang w:val="en-US" w:eastAsia="zh-CN" w:bidi="ar-SA"/>
                    </w:rPr>
                  </w:pPr>
                  <w:r>
                    <w:rPr>
                      <w:rFonts w:hint="eastAsia" w:eastAsiaTheme="minorEastAsia"/>
                      <w:color w:val="auto"/>
                      <w:sz w:val="21"/>
                      <w:szCs w:val="21"/>
                      <w:lang w:val="en-US" w:eastAsia="zh-CN"/>
                    </w:rPr>
                    <w:t>颗粒物</w:t>
                  </w:r>
                </w:p>
              </w:tc>
              <w:tc>
                <w:tcPr>
                  <w:tcW w:w="2439" w:type="dxa"/>
                  <w:vMerge w:val="continue"/>
                  <w:tcBorders>
                    <w:tl2br w:val="nil"/>
                    <w:tr2bl w:val="nil"/>
                  </w:tcBorders>
                  <w:vAlign w:val="center"/>
                </w:tcPr>
                <w:p w14:paraId="278F4305">
                  <w:pPr>
                    <w:keepNext w:val="0"/>
                    <w:keepLines w:val="0"/>
                    <w:suppressLineNumbers w:val="0"/>
                    <w:adjustRightInd w:val="0"/>
                    <w:snapToGrid w:val="0"/>
                    <w:spacing w:before="0" w:beforeAutospacing="0" w:after="0" w:afterAutospacing="0"/>
                    <w:ind w:left="0" w:right="0"/>
                    <w:jc w:val="center"/>
                    <w:rPr>
                      <w:rFonts w:hint="eastAsia" w:eastAsiaTheme="minorEastAsia"/>
                      <w:color w:val="auto"/>
                      <w:sz w:val="21"/>
                      <w:szCs w:val="21"/>
                      <w:lang w:val="en-US" w:eastAsia="zh-CN"/>
                    </w:rPr>
                  </w:pPr>
                </w:p>
              </w:tc>
            </w:tr>
            <w:tr w14:paraId="36B27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0BA8B46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p>
              </w:tc>
              <w:tc>
                <w:tcPr>
                  <w:tcW w:w="1289" w:type="dxa"/>
                  <w:vMerge w:val="continue"/>
                  <w:tcBorders>
                    <w:tl2br w:val="nil"/>
                    <w:tr2bl w:val="nil"/>
                  </w:tcBorders>
                  <w:vAlign w:val="center"/>
                </w:tcPr>
                <w:p w14:paraId="5FDA422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p>
              </w:tc>
              <w:tc>
                <w:tcPr>
                  <w:tcW w:w="1570" w:type="dxa"/>
                  <w:tcBorders>
                    <w:tl2br w:val="nil"/>
                    <w:tr2bl w:val="nil"/>
                  </w:tcBorders>
                  <w:shd w:val="clear" w:color="auto" w:fill="auto"/>
                  <w:vAlign w:val="center"/>
                </w:tcPr>
                <w:p w14:paraId="71AEC0E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eastAsia" w:ascii="Times New Roman" w:hAnsi="Times New Roman" w:eastAsiaTheme="minorEastAsia"/>
                      <w:color w:val="auto"/>
                      <w:sz w:val="21"/>
                      <w:szCs w:val="21"/>
                      <w:lang w:val="en-US" w:eastAsia="zh-CN"/>
                    </w:rPr>
                    <w:t>生物质燃烧后</w:t>
                  </w:r>
                </w:p>
              </w:tc>
              <w:tc>
                <w:tcPr>
                  <w:tcW w:w="2439" w:type="dxa"/>
                  <w:tcBorders>
                    <w:tl2br w:val="nil"/>
                    <w:tr2bl w:val="nil"/>
                  </w:tcBorders>
                  <w:shd w:val="clear" w:color="auto" w:fill="auto"/>
                  <w:vAlign w:val="center"/>
                </w:tcPr>
                <w:p w14:paraId="5199D11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eastAsia" w:ascii="Times New Roman" w:hAnsi="Times New Roman" w:eastAsiaTheme="minorEastAsia"/>
                      <w:color w:val="auto"/>
                      <w:sz w:val="21"/>
                      <w:szCs w:val="21"/>
                      <w:lang w:val="en-US" w:eastAsia="zh-CN"/>
                    </w:rPr>
                    <w:t>灰渣</w:t>
                  </w:r>
                </w:p>
              </w:tc>
              <w:tc>
                <w:tcPr>
                  <w:tcW w:w="2439" w:type="dxa"/>
                  <w:vMerge w:val="restart"/>
                  <w:tcBorders>
                    <w:tl2br w:val="nil"/>
                    <w:tr2bl w:val="nil"/>
                  </w:tcBorders>
                  <w:shd w:val="clear" w:color="auto" w:fill="auto"/>
                  <w:vAlign w:val="center"/>
                </w:tcPr>
                <w:p w14:paraId="1BC72D6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作为可利用建筑原料外售</w:t>
                  </w:r>
                </w:p>
              </w:tc>
            </w:tr>
            <w:tr w14:paraId="49BC4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752A4E7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p>
              </w:tc>
              <w:tc>
                <w:tcPr>
                  <w:tcW w:w="1289" w:type="dxa"/>
                  <w:vMerge w:val="continue"/>
                  <w:tcBorders>
                    <w:tl2br w:val="nil"/>
                    <w:tr2bl w:val="nil"/>
                  </w:tcBorders>
                  <w:vAlign w:val="center"/>
                </w:tcPr>
                <w:p w14:paraId="1A8C443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570" w:type="dxa"/>
                  <w:vMerge w:val="restart"/>
                  <w:tcBorders>
                    <w:tl2br w:val="nil"/>
                    <w:tr2bl w:val="nil"/>
                  </w:tcBorders>
                  <w:shd w:val="clear" w:color="auto" w:fill="auto"/>
                  <w:vAlign w:val="center"/>
                </w:tcPr>
                <w:p w14:paraId="4FAB875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eastAsia" w:ascii="Times New Roman" w:hAnsi="Times New Roman" w:eastAsiaTheme="minorEastAsia"/>
                      <w:color w:val="auto"/>
                      <w:sz w:val="21"/>
                      <w:szCs w:val="21"/>
                      <w:lang w:val="en-US" w:eastAsia="zh-CN"/>
                    </w:rPr>
                    <w:t>除尘器收集</w:t>
                  </w:r>
                </w:p>
              </w:tc>
              <w:tc>
                <w:tcPr>
                  <w:tcW w:w="2439" w:type="dxa"/>
                  <w:tcBorders>
                    <w:tl2br w:val="nil"/>
                    <w:tr2bl w:val="nil"/>
                  </w:tcBorders>
                  <w:shd w:val="clear" w:color="auto" w:fill="auto"/>
                  <w:vAlign w:val="center"/>
                </w:tcPr>
                <w:p w14:paraId="1CC7C76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lang w:val="en-US" w:eastAsia="zh-CN" w:bidi="ar-SA"/>
                    </w:rPr>
                  </w:pPr>
                  <w:r>
                    <w:rPr>
                      <w:rFonts w:hint="eastAsia" w:ascii="Times New Roman" w:hAnsi="Times New Roman" w:eastAsiaTheme="minorEastAsia"/>
                      <w:color w:val="auto"/>
                      <w:sz w:val="21"/>
                      <w:szCs w:val="21"/>
                      <w:lang w:val="en-US" w:eastAsia="zh-CN"/>
                    </w:rPr>
                    <w:t>灰尘</w:t>
                  </w:r>
                </w:p>
              </w:tc>
              <w:tc>
                <w:tcPr>
                  <w:tcW w:w="2439" w:type="dxa"/>
                  <w:vMerge w:val="continue"/>
                  <w:tcBorders>
                    <w:tl2br w:val="nil"/>
                    <w:tr2bl w:val="nil"/>
                  </w:tcBorders>
                  <w:shd w:val="clear" w:color="auto" w:fill="auto"/>
                  <w:vAlign w:val="center"/>
                </w:tcPr>
                <w:p w14:paraId="65A6AE76">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heme="minorEastAsia"/>
                      <w:color w:val="auto"/>
                      <w:sz w:val="21"/>
                      <w:szCs w:val="21"/>
                      <w:lang w:val="en-US" w:eastAsia="zh-CN"/>
                    </w:rPr>
                  </w:pPr>
                </w:p>
              </w:tc>
            </w:tr>
            <w:tr w14:paraId="30E76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2FDA771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p>
              </w:tc>
              <w:tc>
                <w:tcPr>
                  <w:tcW w:w="1289" w:type="dxa"/>
                  <w:vMerge w:val="continue"/>
                  <w:tcBorders>
                    <w:tl2br w:val="nil"/>
                    <w:tr2bl w:val="nil"/>
                  </w:tcBorders>
                  <w:vAlign w:val="center"/>
                </w:tcPr>
                <w:p w14:paraId="5F4608D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570" w:type="dxa"/>
                  <w:vMerge w:val="continue"/>
                  <w:tcBorders>
                    <w:tl2br w:val="nil"/>
                    <w:tr2bl w:val="nil"/>
                  </w:tcBorders>
                  <w:shd w:val="clear" w:color="auto" w:fill="auto"/>
                  <w:vAlign w:val="center"/>
                </w:tcPr>
                <w:p w14:paraId="69F32408">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heme="minorEastAsia"/>
                      <w:color w:val="auto"/>
                      <w:sz w:val="21"/>
                      <w:szCs w:val="21"/>
                      <w:lang w:val="en-US" w:eastAsia="zh-CN"/>
                    </w:rPr>
                  </w:pPr>
                </w:p>
              </w:tc>
              <w:tc>
                <w:tcPr>
                  <w:tcW w:w="2439" w:type="dxa"/>
                  <w:tcBorders>
                    <w:tl2br w:val="nil"/>
                    <w:tr2bl w:val="nil"/>
                  </w:tcBorders>
                  <w:shd w:val="clear" w:color="auto" w:fill="auto"/>
                  <w:vAlign w:val="center"/>
                </w:tcPr>
                <w:p w14:paraId="2112DF4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除尘器废布袋</w:t>
                  </w:r>
                </w:p>
              </w:tc>
              <w:tc>
                <w:tcPr>
                  <w:tcW w:w="2439" w:type="dxa"/>
                  <w:tcBorders>
                    <w:tl2br w:val="nil"/>
                    <w:tr2bl w:val="nil"/>
                  </w:tcBorders>
                  <w:shd w:val="clear" w:color="auto" w:fill="auto"/>
                  <w:vAlign w:val="center"/>
                </w:tcPr>
                <w:p w14:paraId="7C902A57">
                  <w:pPr>
                    <w:keepNext w:val="0"/>
                    <w:keepLines w:val="0"/>
                    <w:suppressLineNumbers w:val="0"/>
                    <w:adjustRightInd w:val="0"/>
                    <w:snapToGrid w:val="0"/>
                    <w:spacing w:before="0" w:beforeAutospacing="0" w:after="0" w:afterAutospacing="0"/>
                    <w:ind w:left="0" w:leftChars="0" w:right="0" w:rightChars="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外售</w:t>
                  </w:r>
                </w:p>
              </w:tc>
            </w:tr>
            <w:tr w14:paraId="0303F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3AA7EE2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p>
              </w:tc>
              <w:tc>
                <w:tcPr>
                  <w:tcW w:w="1289" w:type="dxa"/>
                  <w:vMerge w:val="restart"/>
                  <w:tcBorders>
                    <w:tl2br w:val="nil"/>
                    <w:tr2bl w:val="nil"/>
                  </w:tcBorders>
                  <w:vAlign w:val="center"/>
                </w:tcPr>
                <w:p w14:paraId="4891473B">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lang w:val="en-US" w:eastAsia="zh-CN"/>
                    </w:rPr>
                  </w:pPr>
                  <w:r>
                    <w:rPr>
                      <w:rFonts w:hint="eastAsia" w:eastAsiaTheme="minorEastAsia"/>
                      <w:color w:val="auto"/>
                      <w:sz w:val="21"/>
                      <w:szCs w:val="21"/>
                      <w:lang w:val="en-US" w:eastAsia="zh-CN"/>
                    </w:rPr>
                    <w:t>危险废物</w:t>
                  </w:r>
                </w:p>
              </w:tc>
              <w:tc>
                <w:tcPr>
                  <w:tcW w:w="1570" w:type="dxa"/>
                  <w:vMerge w:val="restart"/>
                  <w:tcBorders>
                    <w:tl2br w:val="nil"/>
                    <w:tr2bl w:val="nil"/>
                  </w:tcBorders>
                  <w:vAlign w:val="center"/>
                </w:tcPr>
                <w:p w14:paraId="31C99625">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生物质热风炉维修及日常维护</w:t>
                  </w:r>
                </w:p>
              </w:tc>
              <w:tc>
                <w:tcPr>
                  <w:tcW w:w="2439" w:type="dxa"/>
                  <w:tcBorders>
                    <w:tl2br w:val="nil"/>
                    <w:tr2bl w:val="nil"/>
                  </w:tcBorders>
                  <w:vAlign w:val="center"/>
                </w:tcPr>
                <w:p w14:paraId="290CE21A">
                  <w:pPr>
                    <w:keepNext w:val="0"/>
                    <w:keepLines w:val="0"/>
                    <w:suppressLineNumbers w:val="0"/>
                    <w:adjustRightInd w:val="0"/>
                    <w:snapToGrid w:val="0"/>
                    <w:spacing w:before="0" w:beforeAutospacing="0" w:after="0" w:afterAutospacing="0"/>
                    <w:ind w:left="0" w:leftChars="0" w:right="0" w:rightChars="0"/>
                    <w:jc w:val="center"/>
                    <w:rPr>
                      <w:rFonts w:hint="eastAsia" w:eastAsiaTheme="minorEastAsia"/>
                      <w:color w:val="auto"/>
                      <w:sz w:val="21"/>
                      <w:szCs w:val="21"/>
                      <w:lang w:val="en-US" w:eastAsia="zh-CN"/>
                    </w:rPr>
                  </w:pPr>
                  <w:r>
                    <w:rPr>
                      <w:rFonts w:hint="eastAsia" w:eastAsiaTheme="minorEastAsia"/>
                      <w:color w:val="auto"/>
                      <w:sz w:val="21"/>
                      <w:szCs w:val="21"/>
                      <w:lang w:val="en-US" w:eastAsia="zh-CN"/>
                    </w:rPr>
                    <w:t>废机油、废机油桶</w:t>
                  </w:r>
                </w:p>
              </w:tc>
              <w:tc>
                <w:tcPr>
                  <w:tcW w:w="2439" w:type="dxa"/>
                  <w:vMerge w:val="restart"/>
                  <w:tcBorders>
                    <w:tl2br w:val="nil"/>
                    <w:tr2bl w:val="nil"/>
                  </w:tcBorders>
                  <w:vAlign w:val="center"/>
                </w:tcPr>
                <w:p w14:paraId="0D14B414">
                  <w:pPr>
                    <w:keepNext w:val="0"/>
                    <w:keepLines w:val="0"/>
                    <w:suppressLineNumbers w:val="0"/>
                    <w:adjustRightInd w:val="0"/>
                    <w:snapToGrid w:val="0"/>
                    <w:spacing w:before="0" w:beforeAutospacing="0" w:after="0" w:afterAutospacing="0"/>
                    <w:ind w:left="0" w:leftChars="0" w:right="0" w:rightChars="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收集至危废库，定期交由有资质的单位处理</w:t>
                  </w:r>
                </w:p>
              </w:tc>
            </w:tr>
            <w:tr w14:paraId="61985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19" w:type="dxa"/>
                  <w:vMerge w:val="continue"/>
                  <w:tcBorders>
                    <w:tl2br w:val="nil"/>
                    <w:tr2bl w:val="nil"/>
                  </w:tcBorders>
                  <w:vAlign w:val="center"/>
                </w:tcPr>
                <w:p w14:paraId="07A41C2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Theme="minorEastAsia"/>
                      <w:color w:val="auto"/>
                      <w:sz w:val="21"/>
                      <w:szCs w:val="21"/>
                    </w:rPr>
                  </w:pPr>
                </w:p>
              </w:tc>
              <w:tc>
                <w:tcPr>
                  <w:tcW w:w="1289" w:type="dxa"/>
                  <w:vMerge w:val="continue"/>
                  <w:tcBorders>
                    <w:tl2br w:val="nil"/>
                    <w:tr2bl w:val="nil"/>
                  </w:tcBorders>
                  <w:vAlign w:val="center"/>
                </w:tcPr>
                <w:p w14:paraId="13B6C6B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Theme="minorEastAsia"/>
                      <w:color w:val="auto"/>
                      <w:sz w:val="21"/>
                      <w:szCs w:val="21"/>
                    </w:rPr>
                  </w:pPr>
                </w:p>
              </w:tc>
              <w:tc>
                <w:tcPr>
                  <w:tcW w:w="1570" w:type="dxa"/>
                  <w:vMerge w:val="continue"/>
                  <w:tcBorders>
                    <w:tl2br w:val="nil"/>
                    <w:tr2bl w:val="nil"/>
                  </w:tcBorders>
                  <w:vAlign w:val="center"/>
                </w:tcPr>
                <w:p w14:paraId="71F3A60E">
                  <w:pPr>
                    <w:keepNext w:val="0"/>
                    <w:keepLines w:val="0"/>
                    <w:suppressLineNumbers w:val="0"/>
                    <w:adjustRightInd w:val="0"/>
                    <w:snapToGrid w:val="0"/>
                    <w:spacing w:before="0" w:beforeAutospacing="0" w:after="0" w:afterAutospacing="0"/>
                    <w:ind w:left="0" w:right="0"/>
                    <w:jc w:val="center"/>
                    <w:rPr>
                      <w:rFonts w:hint="default" w:eastAsiaTheme="minorEastAsia"/>
                      <w:color w:val="auto"/>
                      <w:sz w:val="21"/>
                      <w:szCs w:val="21"/>
                      <w:lang w:val="en-US" w:eastAsia="zh-CN"/>
                    </w:rPr>
                  </w:pPr>
                </w:p>
              </w:tc>
              <w:tc>
                <w:tcPr>
                  <w:tcW w:w="2439" w:type="dxa"/>
                  <w:tcBorders>
                    <w:tl2br w:val="nil"/>
                    <w:tr2bl w:val="nil"/>
                  </w:tcBorders>
                  <w:vAlign w:val="center"/>
                </w:tcPr>
                <w:p w14:paraId="3BDD0BDD">
                  <w:pPr>
                    <w:keepNext w:val="0"/>
                    <w:keepLines w:val="0"/>
                    <w:suppressLineNumbers w:val="0"/>
                    <w:adjustRightInd w:val="0"/>
                    <w:snapToGrid w:val="0"/>
                    <w:spacing w:before="0" w:beforeAutospacing="0" w:after="0" w:afterAutospacing="0"/>
                    <w:ind w:left="0" w:leftChars="0" w:right="0" w:rightChars="0"/>
                    <w:jc w:val="center"/>
                    <w:rPr>
                      <w:rFonts w:hint="eastAsia" w:eastAsiaTheme="minorEastAsia"/>
                      <w:color w:val="auto"/>
                      <w:sz w:val="21"/>
                      <w:szCs w:val="21"/>
                      <w:lang w:val="en-US" w:eastAsia="zh-CN"/>
                    </w:rPr>
                  </w:pPr>
                  <w:r>
                    <w:rPr>
                      <w:rFonts w:hint="eastAsia" w:eastAsiaTheme="minorEastAsia"/>
                      <w:color w:val="auto"/>
                      <w:sz w:val="21"/>
                      <w:szCs w:val="21"/>
                      <w:lang w:val="en-US" w:eastAsia="zh-CN"/>
                    </w:rPr>
                    <w:t>含油废抹布和含油废手套</w:t>
                  </w:r>
                </w:p>
              </w:tc>
              <w:tc>
                <w:tcPr>
                  <w:tcW w:w="2439" w:type="dxa"/>
                  <w:vMerge w:val="continue"/>
                  <w:tcBorders>
                    <w:tl2br w:val="nil"/>
                    <w:tr2bl w:val="nil"/>
                  </w:tcBorders>
                  <w:vAlign w:val="center"/>
                </w:tcPr>
                <w:p w14:paraId="217D4858">
                  <w:pPr>
                    <w:keepNext w:val="0"/>
                    <w:keepLines w:val="0"/>
                    <w:suppressLineNumbers w:val="0"/>
                    <w:adjustRightInd w:val="0"/>
                    <w:snapToGrid w:val="0"/>
                    <w:spacing w:before="0" w:beforeAutospacing="0" w:after="0" w:afterAutospacing="0"/>
                    <w:ind w:left="0" w:leftChars="0" w:right="0" w:rightChars="0"/>
                    <w:jc w:val="center"/>
                    <w:rPr>
                      <w:rFonts w:hint="eastAsia" w:eastAsiaTheme="minorEastAsia"/>
                      <w:color w:val="auto"/>
                      <w:sz w:val="21"/>
                      <w:szCs w:val="21"/>
                      <w:lang w:val="en-US" w:eastAsia="zh-CN"/>
                    </w:rPr>
                  </w:pPr>
                </w:p>
              </w:tc>
            </w:tr>
          </w:tbl>
          <w:p w14:paraId="19BA5773">
            <w:pPr>
              <w:pStyle w:val="69"/>
              <w:keepNext w:val="0"/>
              <w:keepLines w:val="0"/>
              <w:suppressLineNumbers w:val="0"/>
              <w:spacing w:before="0" w:beforeAutospacing="0" w:after="0" w:afterAutospacing="0"/>
              <w:ind w:left="0" w:leftChars="0" w:right="0" w:firstLine="0" w:firstLineChars="0"/>
              <w:jc w:val="right"/>
              <w:rPr>
                <w:rFonts w:hint="eastAsia" w:eastAsia="宋体" w:cs="Times New Roman"/>
                <w:color w:val="auto"/>
                <w:lang w:eastAsia="zh-CN"/>
              </w:rPr>
            </w:pPr>
          </w:p>
        </w:tc>
      </w:tr>
      <w:tr w14:paraId="69703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6" w:type="dxa"/>
            <w:noWrap w:val="0"/>
            <w:vAlign w:val="center"/>
          </w:tcPr>
          <w:p w14:paraId="3912B9C4">
            <w:pPr>
              <w:pStyle w:val="34"/>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4"/>
              </w:rPr>
            </w:pPr>
            <w:r>
              <w:rPr>
                <w:rFonts w:hint="default" w:ascii="Times New Roman" w:hAnsi="Times New Roman" w:eastAsia="宋体" w:cs="Times New Roman"/>
                <w:bCs/>
                <w:color w:val="auto"/>
                <w:kern w:val="2"/>
                <w:szCs w:val="24"/>
              </w:rPr>
              <w:t>与项目有关的原有环境污染问题</w:t>
            </w:r>
          </w:p>
        </w:tc>
        <w:tc>
          <w:tcPr>
            <w:tcW w:w="8478" w:type="dxa"/>
            <w:noWrap w:val="0"/>
            <w:vAlign w:val="top"/>
          </w:tcPr>
          <w:p w14:paraId="5E908B4C">
            <w:pPr>
              <w:keepNext w:val="0"/>
              <w:keepLines w:val="0"/>
              <w:suppressLineNumbers w:val="0"/>
              <w:spacing w:before="0" w:beforeAutospacing="0" w:after="0" w:afterAutospacing="0" w:line="480" w:lineRule="exact"/>
              <w:ind w:left="0" w:right="0" w:firstLine="480" w:firstLineChars="200"/>
              <w:jc w:val="right"/>
              <w:rPr>
                <w:rFonts w:hint="default"/>
                <w:bCs/>
                <w:color w:val="auto"/>
                <w:sz w:val="24"/>
              </w:rPr>
            </w:pPr>
          </w:p>
          <w:p w14:paraId="13473246">
            <w:pPr>
              <w:keepNext w:val="0"/>
              <w:keepLines w:val="0"/>
              <w:suppressLineNumbers w:val="0"/>
              <w:spacing w:before="0" w:beforeAutospacing="0" w:after="0" w:afterAutospacing="0" w:line="480" w:lineRule="exact"/>
              <w:ind w:left="0" w:right="0" w:firstLine="480" w:firstLineChars="200"/>
              <w:jc w:val="right"/>
              <w:rPr>
                <w:rFonts w:hint="default"/>
                <w:bCs/>
                <w:color w:val="auto"/>
                <w:sz w:val="24"/>
              </w:rPr>
            </w:pPr>
          </w:p>
          <w:p w14:paraId="65DAFE5D">
            <w:pPr>
              <w:pStyle w:val="50"/>
              <w:keepNext w:val="0"/>
              <w:keepLines w:val="0"/>
              <w:suppressLineNumbers w:val="0"/>
              <w:spacing w:before="0" w:beforeAutospacing="0" w:after="0" w:afterAutospacing="0"/>
              <w:ind w:left="0" w:right="0"/>
              <w:jc w:val="right"/>
              <w:rPr>
                <w:rFonts w:hint="default"/>
                <w:bCs/>
                <w:color w:val="auto"/>
                <w:sz w:val="24"/>
              </w:rPr>
            </w:pPr>
          </w:p>
          <w:p w14:paraId="5DCA39CE">
            <w:pPr>
              <w:keepNext w:val="0"/>
              <w:keepLines w:val="0"/>
              <w:suppressLineNumbers w:val="0"/>
              <w:spacing w:before="0" w:beforeAutospacing="0" w:after="0" w:afterAutospacing="0"/>
              <w:ind w:left="0" w:right="0"/>
              <w:jc w:val="right"/>
              <w:rPr>
                <w:rFonts w:hint="default"/>
                <w:bCs/>
                <w:color w:val="auto"/>
                <w:sz w:val="24"/>
              </w:rPr>
            </w:pPr>
          </w:p>
          <w:p w14:paraId="0D02F42C">
            <w:pPr>
              <w:pStyle w:val="2"/>
              <w:keepNext w:val="0"/>
              <w:keepLines w:val="0"/>
              <w:suppressLineNumbers w:val="0"/>
              <w:spacing w:before="0" w:beforeAutospacing="0" w:after="0" w:afterAutospacing="0"/>
              <w:ind w:left="0" w:right="0"/>
              <w:jc w:val="right"/>
              <w:rPr>
                <w:rFonts w:hint="default"/>
                <w:bCs/>
                <w:color w:val="auto"/>
                <w:sz w:val="24"/>
              </w:rPr>
            </w:pPr>
          </w:p>
          <w:p w14:paraId="3846B4A6">
            <w:pPr>
              <w:keepNext w:val="0"/>
              <w:keepLines w:val="0"/>
              <w:suppressLineNumbers w:val="0"/>
              <w:spacing w:before="0" w:beforeAutospacing="0" w:after="0" w:afterAutospacing="0"/>
              <w:ind w:left="0" w:right="0"/>
              <w:jc w:val="right"/>
              <w:rPr>
                <w:rFonts w:hint="default"/>
                <w:bCs/>
                <w:color w:val="auto"/>
                <w:sz w:val="24"/>
              </w:rPr>
            </w:pPr>
          </w:p>
          <w:p w14:paraId="1A7B97F5">
            <w:pPr>
              <w:pStyle w:val="2"/>
              <w:keepNext w:val="0"/>
              <w:keepLines w:val="0"/>
              <w:suppressLineNumbers w:val="0"/>
              <w:spacing w:before="0" w:beforeAutospacing="0" w:after="0" w:afterAutospacing="0"/>
              <w:ind w:left="0" w:right="0"/>
              <w:jc w:val="right"/>
              <w:rPr>
                <w:rFonts w:hint="default"/>
                <w:bCs/>
                <w:color w:val="auto"/>
                <w:sz w:val="24"/>
              </w:rPr>
            </w:pPr>
          </w:p>
          <w:p w14:paraId="5C4AE590">
            <w:pPr>
              <w:keepNext w:val="0"/>
              <w:keepLines w:val="0"/>
              <w:suppressLineNumbers w:val="0"/>
              <w:spacing w:before="0" w:beforeAutospacing="0" w:after="0" w:afterAutospacing="0"/>
              <w:ind w:left="0" w:right="0"/>
              <w:jc w:val="right"/>
              <w:rPr>
                <w:rFonts w:hint="default"/>
                <w:bCs/>
                <w:color w:val="auto"/>
                <w:sz w:val="24"/>
              </w:rPr>
            </w:pPr>
          </w:p>
          <w:p w14:paraId="059CD9F7">
            <w:pPr>
              <w:pStyle w:val="2"/>
              <w:keepNext w:val="0"/>
              <w:keepLines w:val="0"/>
              <w:suppressLineNumbers w:val="0"/>
              <w:spacing w:before="0" w:beforeAutospacing="0" w:after="0" w:afterAutospacing="0"/>
              <w:ind w:left="0" w:right="0"/>
              <w:jc w:val="right"/>
              <w:rPr>
                <w:rFonts w:hint="default"/>
                <w:color w:val="auto"/>
              </w:rPr>
            </w:pPr>
          </w:p>
          <w:p w14:paraId="11AE2C00">
            <w:pPr>
              <w:pStyle w:val="50"/>
              <w:keepNext w:val="0"/>
              <w:keepLines w:val="0"/>
              <w:suppressLineNumbers w:val="0"/>
              <w:spacing w:before="0" w:beforeAutospacing="0" w:after="0" w:afterAutospacing="0"/>
              <w:ind w:left="0" w:right="0"/>
              <w:jc w:val="right"/>
              <w:rPr>
                <w:rFonts w:hint="default"/>
                <w:color w:val="auto"/>
              </w:rPr>
            </w:pPr>
          </w:p>
          <w:p w14:paraId="053A4DFF">
            <w:pPr>
              <w:keepNext w:val="0"/>
              <w:keepLines w:val="0"/>
              <w:suppressLineNumbers w:val="0"/>
              <w:spacing w:before="0" w:beforeAutospacing="0" w:after="0" w:afterAutospacing="0" w:line="480" w:lineRule="exact"/>
              <w:ind w:left="0" w:right="0" w:firstLine="480" w:firstLineChars="200"/>
              <w:rPr>
                <w:rFonts w:hint="default"/>
                <w:bCs/>
                <w:color w:val="auto"/>
                <w:sz w:val="24"/>
              </w:rPr>
            </w:pPr>
            <w:r>
              <w:rPr>
                <w:rFonts w:hint="default"/>
                <w:bCs/>
                <w:color w:val="auto"/>
                <w:sz w:val="24"/>
              </w:rPr>
              <w:t>本项目为新建项目，因此无</w:t>
            </w:r>
            <w:r>
              <w:rPr>
                <w:rFonts w:hint="eastAsia"/>
                <w:bCs/>
                <w:color w:val="auto"/>
                <w:sz w:val="24"/>
              </w:rPr>
              <w:t>与</w:t>
            </w:r>
            <w:r>
              <w:rPr>
                <w:rFonts w:hint="default"/>
                <w:bCs/>
                <w:color w:val="auto"/>
                <w:sz w:val="24"/>
              </w:rPr>
              <w:t>本项目有关的原有环境污染问题。</w:t>
            </w:r>
          </w:p>
          <w:p w14:paraId="769CE07D">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lang w:val="en-US" w:eastAsia="zh-CN"/>
              </w:rPr>
            </w:pPr>
          </w:p>
          <w:p w14:paraId="17A15300">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lang w:val="en-US" w:eastAsia="zh-CN"/>
              </w:rPr>
            </w:pPr>
          </w:p>
          <w:p w14:paraId="0A1A2C4D">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lang w:val="en-US" w:eastAsia="zh-CN"/>
              </w:rPr>
            </w:pPr>
          </w:p>
          <w:p w14:paraId="5C31F7FA">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lang w:val="en-US" w:eastAsia="zh-CN"/>
              </w:rPr>
            </w:pPr>
          </w:p>
          <w:p w14:paraId="0E1F7CE1">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lang w:val="en-US" w:eastAsia="zh-CN"/>
              </w:rPr>
            </w:pPr>
          </w:p>
          <w:p w14:paraId="6A2FCCCC">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lang w:val="en-US" w:eastAsia="zh-CN"/>
              </w:rPr>
            </w:pPr>
          </w:p>
        </w:tc>
      </w:tr>
    </w:tbl>
    <w:p w14:paraId="5C2FA225">
      <w:pPr>
        <w:pStyle w:val="34"/>
        <w:jc w:val="center"/>
        <w:rPr>
          <w:rFonts w:hint="default" w:ascii="Times New Roman" w:hAnsi="Times New Roman" w:eastAsia="宋体" w:cs="Times New Roman"/>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D516B55">
      <w:pPr>
        <w:pStyle w:val="48"/>
        <w:keepNext w:val="0"/>
        <w:keepLines w:val="0"/>
        <w:pageBreakBefore w:val="0"/>
        <w:widowControl/>
        <w:kinsoku/>
        <w:wordWrap/>
        <w:overflowPunct/>
        <w:topLinePunct w:val="0"/>
        <w:autoSpaceDE/>
        <w:autoSpaceDN/>
        <w:bidi w:val="0"/>
        <w:adjustRightInd/>
        <w:snapToGrid/>
        <w:spacing w:beforeAutospacing="0"/>
        <w:textAlignment w:val="auto"/>
        <w:rPr>
          <w:rFonts w:hint="default" w:ascii="Times New Roman" w:hAnsi="Times New Roman" w:eastAsia="宋体" w:cs="Times New Roman"/>
          <w:color w:val="auto"/>
        </w:rPr>
      </w:pPr>
      <w:bookmarkStart w:id="5" w:name="_Toc7526"/>
      <w:bookmarkStart w:id="6" w:name="_Toc6633"/>
      <w:r>
        <w:rPr>
          <w:rFonts w:hint="default" w:ascii="Times New Roman" w:hAnsi="Times New Roman" w:eastAsia="宋体" w:cs="Times New Roman"/>
          <w:color w:val="auto"/>
        </w:rPr>
        <w:t>三、区域环境质量现状、环境保护目标及评价标准</w:t>
      </w:r>
      <w:bookmarkEnd w:id="5"/>
      <w:bookmarkEnd w:id="6"/>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48"/>
        <w:gridCol w:w="8442"/>
      </w:tblGrid>
      <w:tr w14:paraId="1798A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noWrap w:val="0"/>
            <w:vAlign w:val="center"/>
          </w:tcPr>
          <w:p w14:paraId="13A1130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区域</w:t>
            </w:r>
          </w:p>
          <w:p w14:paraId="2D8BB6F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w:t>
            </w:r>
          </w:p>
          <w:p w14:paraId="5311CDC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质量</w:t>
            </w:r>
          </w:p>
          <w:p w14:paraId="2FA9E8B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现状</w:t>
            </w:r>
          </w:p>
        </w:tc>
        <w:tc>
          <w:tcPr>
            <w:tcW w:w="8442" w:type="dxa"/>
            <w:noWrap w:val="0"/>
            <w:vAlign w:val="center"/>
          </w:tcPr>
          <w:p w14:paraId="5D6D84FF">
            <w:pPr>
              <w:keepNext w:val="0"/>
              <w:keepLines w:val="0"/>
              <w:numPr>
                <w:ilvl w:val="0"/>
                <w:numId w:val="0"/>
              </w:numPr>
              <w:suppressLineNumbers w:val="0"/>
              <w:spacing w:before="0" w:beforeAutospacing="0" w:after="0" w:afterAutospacing="0" w:line="360" w:lineRule="auto"/>
              <w:ind w:left="0" w:leftChars="0" w:right="0" w:rightChars="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2"/>
                <w:sz w:val="24"/>
                <w:szCs w:val="24"/>
                <w:lang w:val="en-US" w:eastAsia="zh-CN" w:bidi="ar-SA"/>
              </w:rPr>
              <w:t>1、</w:t>
            </w:r>
            <w:r>
              <w:rPr>
                <w:rFonts w:hint="default" w:ascii="Times New Roman" w:hAnsi="Times New Roman" w:eastAsia="宋体" w:cs="Times New Roman"/>
                <w:b/>
                <w:bCs/>
                <w:color w:val="auto"/>
                <w:sz w:val="24"/>
              </w:rPr>
              <w:t>环境空气质量现状</w:t>
            </w:r>
          </w:p>
          <w:p w14:paraId="20F169F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根据《环境影响评价技术导则-大气环境》（HJ</w:t>
            </w:r>
            <w:r>
              <w:rPr>
                <w:rFonts w:hint="eastAsia" w:cs="Times New Roman"/>
                <w:color w:val="auto"/>
                <w:sz w:val="24"/>
                <w:lang w:val="en-US" w:eastAsia="zh-CN"/>
              </w:rPr>
              <w:t xml:space="preserve"> </w:t>
            </w:r>
            <w:r>
              <w:rPr>
                <w:rFonts w:hint="default" w:ascii="Times New Roman" w:hAnsi="Times New Roman" w:eastAsia="宋体" w:cs="Times New Roman"/>
                <w:color w:val="auto"/>
                <w:sz w:val="24"/>
              </w:rPr>
              <w:t>2.2-2018</w:t>
            </w:r>
            <w:r>
              <w:rPr>
                <w:rFonts w:hint="eastAsia" w:cs="Times New Roman"/>
                <w:color w:val="auto"/>
                <w:sz w:val="24"/>
                <w:lang w:eastAsia="zh-CN"/>
              </w:rPr>
              <w:t>）</w:t>
            </w:r>
            <w:r>
              <w:rPr>
                <w:rFonts w:hint="default" w:ascii="Times New Roman" w:hAnsi="Times New Roman" w:eastAsia="宋体" w:cs="Times New Roman"/>
                <w:color w:val="auto"/>
                <w:sz w:val="24"/>
              </w:rPr>
              <w:t>，项目所在区域达标判定，优先采用国家或地方生态环境主管部门公开发布的评价基准年环境质量公告或环境质量报告中的数据或结论；采用评价范围内国家或地方环境空气质量监测网中评价基准年连续1年的监测数据，或采用生态环境主管部门公开发布的环境空气质量现状数据；评价范围内没有环境空气质量监测网数据或公开发布的环境空气质量现状数据的，可选择符合HJ</w:t>
            </w:r>
            <w:r>
              <w:rPr>
                <w:rFonts w:hint="eastAsia" w:cs="Times New Roman"/>
                <w:color w:val="auto"/>
                <w:sz w:val="24"/>
                <w:lang w:val="en-US" w:eastAsia="zh-CN"/>
              </w:rPr>
              <w:t xml:space="preserve"> </w:t>
            </w:r>
            <w:r>
              <w:rPr>
                <w:rFonts w:hint="default" w:ascii="Times New Roman" w:hAnsi="Times New Roman" w:eastAsia="宋体" w:cs="Times New Roman"/>
                <w:color w:val="auto"/>
                <w:sz w:val="24"/>
              </w:rPr>
              <w:t>664规定，并且与评价范围地理位置临近，地形、气候条件相近的环境空气质量城市点或区域点的监测数据。</w:t>
            </w:r>
            <w:r>
              <w:rPr>
                <w:rFonts w:hint="default" w:ascii="Times New Roman" w:hAnsi="Times New Roman" w:eastAsia="宋体" w:cs="Times New Roman"/>
                <w:color w:val="auto"/>
                <w:sz w:val="24"/>
                <w:highlight w:val="none"/>
              </w:rPr>
              <w:t>根据查阅兵团政务网、第七师胡杨河市人民政府网，未查阅到公开的质量数据；因此，本次评价选取距离本项目最近的</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位于项目区南侧14km处</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国控监测站点独山子区</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站点编号1954A</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2023年基准年连续1年的</w:t>
            </w:r>
            <w:r>
              <w:rPr>
                <w:rFonts w:hint="eastAsia" w:cs="Times New Roman"/>
                <w:color w:val="auto"/>
                <w:sz w:val="24"/>
                <w:highlight w:val="none"/>
                <w:lang w:eastAsia="zh-CN"/>
              </w:rPr>
              <w:t>监测数据</w:t>
            </w:r>
            <w:r>
              <w:rPr>
                <w:rFonts w:hint="eastAsia" w:cs="Times New Roman"/>
                <w:color w:val="auto"/>
                <w:sz w:val="24"/>
                <w:highlight w:val="none"/>
                <w:lang w:val="en-US" w:eastAsia="zh-CN"/>
              </w:rPr>
              <w:t>，进行项目所在区域环境空气达标判定和区域各污染物的环境质量现状评价</w:t>
            </w:r>
            <w:r>
              <w:rPr>
                <w:rFonts w:hint="eastAsia" w:ascii="Times New Roman" w:hAnsi="Times New Roman" w:cs="Times New Roman"/>
                <w:color w:val="auto"/>
                <w:kern w:val="2"/>
                <w:sz w:val="24"/>
                <w:szCs w:val="24"/>
                <w:lang w:val="en-US" w:eastAsia="zh-CN" w:bidi="ar-SA"/>
              </w:rPr>
              <w:t>。</w:t>
            </w:r>
          </w:p>
          <w:p w14:paraId="2553F614">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rPr>
              <w:t>1.1</w:t>
            </w:r>
            <w:r>
              <w:rPr>
                <w:rFonts w:hint="eastAsia" w:cs="Times New Roman"/>
                <w:b/>
                <w:bCs/>
                <w:color w:val="auto"/>
                <w:sz w:val="24"/>
                <w:lang w:val="en-US" w:eastAsia="zh-CN"/>
              </w:rPr>
              <w:t xml:space="preserve"> </w:t>
            </w:r>
            <w:r>
              <w:rPr>
                <w:rFonts w:hint="default" w:ascii="Times New Roman" w:hAnsi="Times New Roman" w:eastAsia="宋体" w:cs="Times New Roman"/>
                <w:b/>
                <w:bCs/>
                <w:color w:val="auto"/>
                <w:sz w:val="24"/>
              </w:rPr>
              <w:t>监测因子</w:t>
            </w:r>
          </w:p>
          <w:p w14:paraId="16A3AFB0">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本项目环境空气现状评价基本污染物为SO</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、NO</w:t>
            </w:r>
            <w:r>
              <w:rPr>
                <w:rFonts w:hint="default" w:ascii="Times New Roman" w:hAnsi="Times New Roman" w:eastAsia="宋体" w:cs="Times New Roman"/>
                <w:color w:val="auto"/>
                <w:sz w:val="24"/>
                <w:vertAlign w:val="subscript"/>
              </w:rPr>
              <w:t>2</w:t>
            </w:r>
            <w:r>
              <w:rPr>
                <w:rFonts w:hint="default" w:ascii="Times New Roman" w:hAnsi="Times New Roman" w:eastAsia="宋体" w:cs="Times New Roman"/>
                <w:color w:val="auto"/>
                <w:sz w:val="24"/>
              </w:rPr>
              <w:t>、PM</w:t>
            </w:r>
            <w:r>
              <w:rPr>
                <w:rFonts w:hint="default" w:ascii="Times New Roman" w:hAnsi="Times New Roman" w:eastAsia="宋体" w:cs="Times New Roman"/>
                <w:color w:val="auto"/>
                <w:sz w:val="24"/>
                <w:vertAlign w:val="subscript"/>
              </w:rPr>
              <w:t>10</w:t>
            </w:r>
            <w:r>
              <w:rPr>
                <w:rFonts w:hint="default" w:ascii="Times New Roman" w:hAnsi="Times New Roman" w:eastAsia="宋体" w:cs="Times New Roman"/>
                <w:color w:val="auto"/>
                <w:sz w:val="24"/>
              </w:rPr>
              <w:t>、PM</w:t>
            </w:r>
            <w:r>
              <w:rPr>
                <w:rFonts w:hint="default" w:ascii="Times New Roman" w:hAnsi="Times New Roman" w:eastAsia="宋体" w:cs="Times New Roman"/>
                <w:color w:val="auto"/>
                <w:sz w:val="24"/>
                <w:vertAlign w:val="subscript"/>
              </w:rPr>
              <w:t>2.5</w:t>
            </w:r>
            <w:r>
              <w:rPr>
                <w:rFonts w:hint="default" w:ascii="Times New Roman" w:hAnsi="Times New Roman" w:eastAsia="宋体" w:cs="Times New Roman"/>
                <w:color w:val="auto"/>
                <w:sz w:val="24"/>
              </w:rPr>
              <w:t>、CO和O</w:t>
            </w:r>
            <w:r>
              <w:rPr>
                <w:rFonts w:hint="default" w:ascii="Times New Roman" w:hAnsi="Times New Roman" w:eastAsia="宋体" w:cs="Times New Roman"/>
                <w:color w:val="auto"/>
                <w:sz w:val="24"/>
                <w:vertAlign w:val="subscript"/>
              </w:rPr>
              <w:t>3</w:t>
            </w:r>
            <w:r>
              <w:rPr>
                <w:rFonts w:hint="default" w:ascii="Times New Roman" w:hAnsi="Times New Roman" w:eastAsia="宋体" w:cs="Times New Roman"/>
                <w:color w:val="auto"/>
                <w:sz w:val="24"/>
              </w:rPr>
              <w:t>。</w:t>
            </w:r>
          </w:p>
          <w:p w14:paraId="680E5FC7">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1.2</w:t>
            </w:r>
            <w:r>
              <w:rPr>
                <w:rFonts w:hint="eastAsia" w:cs="Times New Roman"/>
                <w:b/>
                <w:bCs/>
                <w:color w:val="auto"/>
                <w:sz w:val="24"/>
                <w:lang w:val="en-US" w:eastAsia="zh-CN"/>
              </w:rPr>
              <w:t xml:space="preserve"> </w:t>
            </w:r>
            <w:r>
              <w:rPr>
                <w:rFonts w:hint="default" w:ascii="Times New Roman" w:hAnsi="Times New Roman" w:eastAsia="宋体" w:cs="Times New Roman"/>
                <w:b/>
                <w:bCs/>
                <w:color w:val="auto"/>
                <w:sz w:val="24"/>
              </w:rPr>
              <w:t>评价方法</w:t>
            </w:r>
          </w:p>
          <w:p w14:paraId="0FF64595">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年评价指标中的年均浓度和相应百分位数24h平均或8h平均质量浓度满足GB3095中浓度限值要求的即为达标。对于超标的污染物，计算其超标倍数和超标率。</w:t>
            </w:r>
          </w:p>
          <w:p w14:paraId="4DCF6E1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特征污染物采用污染物的浓度占标率来评价空气环境质量水平。</w:t>
            </w:r>
          </w:p>
          <w:p w14:paraId="490D9FF2">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用以下公式计算而得：</w:t>
            </w:r>
          </w:p>
          <w:p w14:paraId="1B035E80">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3600" w:firstLineChars="1500"/>
              <w:textAlignment w:val="auto"/>
              <w:rPr>
                <w:rFonts w:hint="default" w:ascii="Times New Roman" w:hAnsi="Times New Roman" w:eastAsia="宋体" w:cs="Times New Roman"/>
                <w:color w:val="auto"/>
                <w:sz w:val="24"/>
                <w:highlight w:val="none"/>
                <w:vertAlign w:val="baseline"/>
                <w:lang w:val="en-US" w:eastAsia="zh-CN"/>
              </w:rPr>
            </w:pPr>
            <w:r>
              <w:rPr>
                <w:rFonts w:hint="eastAsia" w:ascii="Times New Roman" w:hAnsi="Times New Roman" w:eastAsia="宋体" w:cs="Times New Roman"/>
                <w:color w:val="auto"/>
                <w:sz w:val="24"/>
                <w:highlight w:val="none"/>
                <w:lang w:val="en-US" w:eastAsia="zh-CN"/>
              </w:rPr>
              <w:t>P</w:t>
            </w:r>
            <w:r>
              <w:rPr>
                <w:rFonts w:hint="eastAsia" w:ascii="Times New Roman" w:hAnsi="Times New Roman" w:eastAsia="宋体" w:cs="Times New Roman"/>
                <w:color w:val="auto"/>
                <w:sz w:val="24"/>
                <w:highlight w:val="none"/>
                <w:vertAlign w:val="subscript"/>
              </w:rPr>
              <w:t>i</w:t>
            </w:r>
            <w:r>
              <w:rPr>
                <w:rFonts w:hint="eastAsia" w:ascii="Times New Roman" w:hAnsi="Times New Roman" w:eastAsia="宋体" w:cs="Times New Roman"/>
                <w:color w:val="auto"/>
                <w:sz w:val="24"/>
                <w:highlight w:val="none"/>
              </w:rPr>
              <w:t>=C</w:t>
            </w:r>
            <w:r>
              <w:rPr>
                <w:rFonts w:hint="eastAsia" w:ascii="Times New Roman" w:hAnsi="Times New Roman" w:eastAsia="宋体" w:cs="Times New Roman"/>
                <w:color w:val="auto"/>
                <w:sz w:val="24"/>
                <w:highlight w:val="none"/>
                <w:vertAlign w:val="subscript"/>
              </w:rPr>
              <w:t>i</w:t>
            </w:r>
            <w:r>
              <w:rPr>
                <w:rFonts w:hint="eastAsia" w:ascii="Times New Roman" w:hAnsi="Times New Roman" w:eastAsia="宋体" w:cs="Times New Roman"/>
                <w:color w:val="auto"/>
                <w:sz w:val="24"/>
                <w:highlight w:val="none"/>
              </w:rPr>
              <w:t>/C</w:t>
            </w:r>
            <w:r>
              <w:rPr>
                <w:rFonts w:hint="eastAsia" w:ascii="Times New Roman" w:hAnsi="Times New Roman" w:eastAsia="宋体" w:cs="Times New Roman"/>
                <w:color w:val="auto"/>
                <w:sz w:val="24"/>
                <w:highlight w:val="none"/>
                <w:vertAlign w:val="subscript"/>
              </w:rPr>
              <w:t>oi</w:t>
            </w:r>
            <w:r>
              <w:rPr>
                <w:rFonts w:hint="eastAsia" w:ascii="Times New Roman" w:hAnsi="Times New Roman" w:eastAsia="宋体" w:cs="Times New Roman"/>
                <w:color w:val="auto"/>
                <w:sz w:val="24"/>
                <w:highlight w:val="none"/>
                <w:vertAlign w:val="baseline"/>
                <w:lang w:val="en-US" w:eastAsia="zh-CN"/>
              </w:rPr>
              <w:t>×100%</w:t>
            </w:r>
          </w:p>
          <w:p w14:paraId="3F628B3F">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式中：P</w:t>
            </w:r>
            <w:r>
              <w:rPr>
                <w:rFonts w:hint="default" w:ascii="Times New Roman" w:hAnsi="Times New Roman" w:eastAsia="宋体" w:cs="Times New Roman"/>
                <w:color w:val="auto"/>
                <w:sz w:val="24"/>
                <w:vertAlign w:val="subscript"/>
              </w:rPr>
              <w:t>i</w:t>
            </w:r>
            <w:r>
              <w:rPr>
                <w:rFonts w:hint="default" w:ascii="Times New Roman" w:hAnsi="Times New Roman" w:eastAsia="宋体" w:cs="Times New Roman"/>
                <w:color w:val="auto"/>
                <w:sz w:val="24"/>
              </w:rPr>
              <w:t>——污染物i的浓度占标率，%；</w:t>
            </w:r>
          </w:p>
          <w:p w14:paraId="4FCD95CC">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 xml:space="preserve">      C</w:t>
            </w:r>
            <w:r>
              <w:rPr>
                <w:rFonts w:hint="default" w:ascii="Times New Roman" w:hAnsi="Times New Roman" w:eastAsia="宋体" w:cs="Times New Roman"/>
                <w:color w:val="auto"/>
                <w:sz w:val="24"/>
                <w:vertAlign w:val="subscript"/>
              </w:rPr>
              <w:t>i</w:t>
            </w:r>
            <w:r>
              <w:rPr>
                <w:rFonts w:hint="default" w:ascii="Times New Roman" w:hAnsi="Times New Roman" w:eastAsia="宋体" w:cs="Times New Roman"/>
                <w:color w:val="auto"/>
                <w:sz w:val="24"/>
              </w:rPr>
              <w:t>——污染物i的实测浓度，mg/m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w:t>
            </w:r>
          </w:p>
          <w:p w14:paraId="6A22AD9B">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 xml:space="preserve">      C</w:t>
            </w:r>
            <w:r>
              <w:rPr>
                <w:rFonts w:hint="default" w:ascii="Times New Roman" w:hAnsi="Times New Roman" w:eastAsia="宋体" w:cs="Times New Roman"/>
                <w:color w:val="auto"/>
                <w:sz w:val="24"/>
                <w:vertAlign w:val="subscript"/>
              </w:rPr>
              <w:t>o</w:t>
            </w:r>
            <w:r>
              <w:rPr>
                <w:rFonts w:hint="default" w:ascii="Times New Roman" w:hAnsi="Times New Roman" w:eastAsia="宋体" w:cs="Times New Roman"/>
                <w:color w:val="auto"/>
                <w:sz w:val="24"/>
              </w:rPr>
              <w:t>——污染物i的评价标准，mg/m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w:t>
            </w:r>
          </w:p>
          <w:p w14:paraId="3B8DEAC4">
            <w:pPr>
              <w:keepNext w:val="0"/>
              <w:keepLines w:val="0"/>
              <w:suppressLineNumbers w:val="0"/>
              <w:autoSpaceDE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根据评价计算，可以得出污染物i的浓度占标率（P</w:t>
            </w:r>
            <w:r>
              <w:rPr>
                <w:rFonts w:hint="default" w:ascii="Times New Roman" w:hAnsi="Times New Roman" w:eastAsia="宋体" w:cs="Times New Roman"/>
                <w:color w:val="auto"/>
                <w:sz w:val="24"/>
                <w:vertAlign w:val="subscript"/>
              </w:rPr>
              <w:t>i</w:t>
            </w:r>
            <w:r>
              <w:rPr>
                <w:rFonts w:hint="eastAsia" w:cs="Times New Roman"/>
                <w:color w:val="auto"/>
                <w:sz w:val="24"/>
                <w:lang w:eastAsia="zh-CN"/>
              </w:rPr>
              <w:t>）</w:t>
            </w:r>
            <w:r>
              <w:rPr>
                <w:rFonts w:hint="default" w:ascii="Times New Roman" w:hAnsi="Times New Roman" w:eastAsia="宋体" w:cs="Times New Roman"/>
                <w:color w:val="auto"/>
                <w:sz w:val="24"/>
              </w:rPr>
              <w:t>，依照P</w:t>
            </w:r>
            <w:r>
              <w:rPr>
                <w:rFonts w:hint="default" w:ascii="Times New Roman" w:hAnsi="Times New Roman" w:eastAsia="宋体" w:cs="Times New Roman"/>
                <w:color w:val="auto"/>
                <w:sz w:val="24"/>
                <w:vertAlign w:val="subscript"/>
              </w:rPr>
              <w:t>i</w:t>
            </w:r>
            <w:r>
              <w:rPr>
                <w:rFonts w:hint="default" w:ascii="Times New Roman" w:hAnsi="Times New Roman" w:eastAsia="宋体" w:cs="Times New Roman"/>
                <w:color w:val="auto"/>
                <w:sz w:val="24"/>
              </w:rPr>
              <w:t>值的大小，分别确定其污染程度。当P</w:t>
            </w:r>
            <w:r>
              <w:rPr>
                <w:rFonts w:hint="default" w:ascii="Times New Roman" w:hAnsi="Times New Roman" w:eastAsia="宋体" w:cs="Times New Roman"/>
                <w:color w:val="auto"/>
                <w:sz w:val="24"/>
                <w:vertAlign w:val="subscript"/>
              </w:rPr>
              <w:t>i</w:t>
            </w:r>
            <w:r>
              <w:rPr>
                <w:rFonts w:hint="default" w:ascii="Times New Roman" w:hAnsi="Times New Roman" w:eastAsia="宋体" w:cs="Times New Roman"/>
                <w:color w:val="auto"/>
                <w:sz w:val="24"/>
              </w:rPr>
              <w:t>≤100%时，表示大气中该污染物浓度不超标；当P</w:t>
            </w:r>
            <w:r>
              <w:rPr>
                <w:rFonts w:hint="default" w:ascii="Times New Roman" w:hAnsi="Times New Roman" w:eastAsia="宋体" w:cs="Times New Roman"/>
                <w:color w:val="auto"/>
                <w:sz w:val="24"/>
                <w:vertAlign w:val="subscript"/>
              </w:rPr>
              <w:t>i</w:t>
            </w:r>
            <w:r>
              <w:rPr>
                <w:rFonts w:hint="eastAsia" w:cs="Times New Roman"/>
                <w:color w:val="auto"/>
                <w:sz w:val="24"/>
                <w:lang w:val="en-US" w:eastAsia="zh-CN"/>
              </w:rPr>
              <w:t>&gt;</w:t>
            </w:r>
            <w:r>
              <w:rPr>
                <w:rFonts w:hint="default" w:ascii="Times New Roman" w:hAnsi="Times New Roman" w:eastAsia="宋体" w:cs="Times New Roman"/>
                <w:color w:val="auto"/>
                <w:sz w:val="24"/>
              </w:rPr>
              <w:t>100%时，表示大气中该污染物浓度超过评价标准。</w:t>
            </w:r>
          </w:p>
          <w:p w14:paraId="026B4418">
            <w:pPr>
              <w:keepNext w:val="0"/>
              <w:keepLines w:val="0"/>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1.3</w:t>
            </w:r>
            <w:r>
              <w:rPr>
                <w:rFonts w:hint="eastAsia" w:cs="Times New Roman"/>
                <w:b/>
                <w:bCs/>
                <w:color w:val="auto"/>
                <w:sz w:val="24"/>
                <w:lang w:val="en-US" w:eastAsia="zh-CN"/>
              </w:rPr>
              <w:t xml:space="preserve"> </w:t>
            </w:r>
            <w:r>
              <w:rPr>
                <w:rFonts w:hint="default" w:ascii="Times New Roman" w:hAnsi="Times New Roman" w:eastAsia="宋体" w:cs="Times New Roman"/>
                <w:b/>
                <w:bCs/>
                <w:color w:val="auto"/>
                <w:sz w:val="24"/>
              </w:rPr>
              <w:t>达标区判定</w:t>
            </w:r>
          </w:p>
          <w:p w14:paraId="13E536C2">
            <w:pPr>
              <w:keepNext w:val="0"/>
              <w:keepLines w:val="0"/>
              <w:widowControl w:val="0"/>
              <w:suppressLineNumbers w:val="0"/>
              <w:adjustRightIn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highlight w:val="none"/>
                <w:lang w:val="en-US"/>
              </w:rPr>
            </w:pPr>
            <w:r>
              <w:rPr>
                <w:rFonts w:hint="eastAsia" w:cs="Times New Roman"/>
                <w:color w:val="auto"/>
                <w:sz w:val="24"/>
                <w:highlight w:val="none"/>
                <w:lang w:val="en-US" w:eastAsia="zh-CN"/>
              </w:rPr>
              <w:t>区域空气质量现状评价结果具体</w:t>
            </w:r>
            <w:r>
              <w:rPr>
                <w:rFonts w:hint="default" w:ascii="Times New Roman" w:hAnsi="Times New Roman" w:eastAsia="宋体" w:cs="Times New Roman"/>
                <w:color w:val="auto"/>
                <w:kern w:val="2"/>
                <w:sz w:val="24"/>
                <w:szCs w:val="24"/>
                <w:highlight w:val="none"/>
                <w:lang w:val="en-US" w:eastAsia="zh-CN" w:bidi="ar"/>
              </w:rPr>
              <w:t>见表3-1。</w:t>
            </w:r>
          </w:p>
          <w:p w14:paraId="2797F1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jc w:val="center"/>
              <w:textAlignment w:val="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highlight w:val="none"/>
              </w:rPr>
              <w:t>表3-1  区域环境空气质量现状评价结果统计表</w:t>
            </w:r>
          </w:p>
          <w:tbl>
            <w:tblPr>
              <w:tblStyle w:val="3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901"/>
              <w:gridCol w:w="2520"/>
              <w:gridCol w:w="1235"/>
              <w:gridCol w:w="1235"/>
              <w:gridCol w:w="1188"/>
              <w:gridCol w:w="1127"/>
            </w:tblGrid>
            <w:tr w14:paraId="28E37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54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183EB334">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highlight w:val="none"/>
                    </w:rPr>
                    <w:t>污染物</w:t>
                  </w:r>
                </w:p>
              </w:tc>
              <w:tc>
                <w:tcPr>
                  <w:tcW w:w="1534"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6240E0E">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highlight w:val="none"/>
                    </w:rPr>
                    <w:t>年评价指标</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44AECAE">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highlight w:val="none"/>
                    </w:rPr>
                    <w:t>现状浓度</w:t>
                  </w:r>
                </w:p>
                <w:p w14:paraId="38B29AEC">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highlight w:val="none"/>
                    </w:rPr>
                    <w:t>（μg/m</w:t>
                  </w:r>
                  <w:r>
                    <w:rPr>
                      <w:rFonts w:hint="default" w:ascii="Times New Roman" w:hAnsi="Times New Roman" w:eastAsia="宋体" w:cs="Times New Roman"/>
                      <w:b/>
                      <w:color w:val="auto"/>
                      <w:highlight w:val="none"/>
                      <w:vertAlign w:val="superscript"/>
                    </w:rPr>
                    <w:t>3</w:t>
                  </w:r>
                  <w:r>
                    <w:rPr>
                      <w:rFonts w:hint="eastAsia" w:cs="Times New Roman"/>
                      <w:b/>
                      <w:color w:val="auto"/>
                      <w:highlight w:val="none"/>
                      <w:lang w:eastAsia="zh-CN"/>
                    </w:rPr>
                    <w:t>）</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2E120B4F">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highlight w:val="none"/>
                    </w:rPr>
                    <w:t>标准值</w:t>
                  </w:r>
                </w:p>
                <w:p w14:paraId="3A84EA95">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highlight w:val="none"/>
                    </w:rPr>
                    <w:t>（μg/m</w:t>
                  </w:r>
                  <w:r>
                    <w:rPr>
                      <w:rFonts w:hint="default" w:ascii="Times New Roman" w:hAnsi="Times New Roman" w:eastAsia="宋体" w:cs="Times New Roman"/>
                      <w:b/>
                      <w:color w:val="auto"/>
                      <w:highlight w:val="none"/>
                      <w:vertAlign w:val="superscript"/>
                    </w:rPr>
                    <w:t>3</w:t>
                  </w:r>
                  <w:r>
                    <w:rPr>
                      <w:rFonts w:hint="eastAsia" w:cs="Times New Roman"/>
                      <w:b/>
                      <w:color w:val="auto"/>
                      <w:highlight w:val="none"/>
                      <w:lang w:eastAsia="zh-CN"/>
                    </w:rPr>
                    <w:t>）</w:t>
                  </w:r>
                </w:p>
              </w:tc>
              <w:tc>
                <w:tcPr>
                  <w:tcW w:w="723"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47A66555">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highlight w:val="none"/>
                    </w:rPr>
                    <w:t>占标率/%</w:t>
                  </w:r>
                </w:p>
              </w:tc>
              <w:tc>
                <w:tcPr>
                  <w:tcW w:w="686"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253BEB9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highlight w:val="none"/>
                    </w:rPr>
                    <w:t>达标情况</w:t>
                  </w:r>
                </w:p>
              </w:tc>
            </w:tr>
            <w:tr w14:paraId="3B7240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54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04D7D7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SO</w:t>
                  </w:r>
                  <w:r>
                    <w:rPr>
                      <w:rFonts w:hint="default" w:ascii="Times New Roman" w:hAnsi="Times New Roman" w:eastAsia="宋体" w:cs="Times New Roman"/>
                      <w:color w:val="auto"/>
                      <w:highlight w:val="none"/>
                      <w:vertAlign w:val="subscript"/>
                    </w:rPr>
                    <w:t>2</w:t>
                  </w:r>
                </w:p>
              </w:tc>
              <w:tc>
                <w:tcPr>
                  <w:tcW w:w="1534" w:type="pct"/>
                  <w:vMerge w:val="restart"/>
                  <w:tcBorders>
                    <w:top w:val="nil"/>
                    <w:left w:val="single" w:color="auto" w:sz="6" w:space="0"/>
                    <w:bottom w:val="single" w:color="auto" w:sz="6" w:space="0"/>
                    <w:right w:val="single" w:color="auto" w:sz="6" w:space="0"/>
                  </w:tcBorders>
                  <w:shd w:val="clear" w:color="auto" w:fill="auto"/>
                  <w:noWrap w:val="0"/>
                  <w:vAlign w:val="center"/>
                </w:tcPr>
                <w:p w14:paraId="0688C7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年平均质量浓度</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484382E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49F8F69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60</w:t>
                  </w:r>
                </w:p>
              </w:tc>
              <w:tc>
                <w:tcPr>
                  <w:tcW w:w="723"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7B659D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11.67</w:t>
                  </w:r>
                </w:p>
              </w:tc>
              <w:tc>
                <w:tcPr>
                  <w:tcW w:w="686"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2F928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达标</w:t>
                  </w:r>
                </w:p>
              </w:tc>
            </w:tr>
            <w:tr w14:paraId="6BD696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54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260EA7C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NO</w:t>
                  </w:r>
                  <w:r>
                    <w:rPr>
                      <w:rFonts w:hint="default" w:ascii="Times New Roman" w:hAnsi="Times New Roman" w:eastAsia="宋体" w:cs="Times New Roman"/>
                      <w:color w:val="auto"/>
                      <w:highlight w:val="none"/>
                      <w:vertAlign w:val="subscript"/>
                    </w:rPr>
                    <w:t>2</w:t>
                  </w:r>
                </w:p>
              </w:tc>
              <w:tc>
                <w:tcPr>
                  <w:tcW w:w="1534" w:type="pct"/>
                  <w:vMerge w:val="continue"/>
                  <w:tcBorders>
                    <w:top w:val="nil"/>
                    <w:left w:val="single" w:color="auto" w:sz="6" w:space="0"/>
                    <w:bottom w:val="single" w:color="auto" w:sz="6" w:space="0"/>
                    <w:right w:val="single" w:color="auto" w:sz="6" w:space="0"/>
                  </w:tcBorders>
                  <w:shd w:val="clear" w:color="auto" w:fill="auto"/>
                  <w:noWrap w:val="0"/>
                  <w:vAlign w:val="center"/>
                </w:tcPr>
                <w:p w14:paraId="1F9AA34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Cs w:val="21"/>
                      <w:highlight w:val="none"/>
                    </w:rPr>
                  </w:pP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9699CB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17</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33512A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40</w:t>
                  </w:r>
                </w:p>
              </w:tc>
              <w:tc>
                <w:tcPr>
                  <w:tcW w:w="723"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4D68993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42.50</w:t>
                  </w:r>
                </w:p>
              </w:tc>
              <w:tc>
                <w:tcPr>
                  <w:tcW w:w="686"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3D7992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达标</w:t>
                  </w:r>
                </w:p>
              </w:tc>
            </w:tr>
            <w:tr w14:paraId="743601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4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3B36FAE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PM</w:t>
                  </w:r>
                  <w:r>
                    <w:rPr>
                      <w:rFonts w:hint="default" w:ascii="Times New Roman" w:hAnsi="Times New Roman" w:eastAsia="宋体" w:cs="Times New Roman"/>
                      <w:color w:val="auto"/>
                      <w:highlight w:val="none"/>
                      <w:vertAlign w:val="subscript"/>
                    </w:rPr>
                    <w:t>10</w:t>
                  </w:r>
                </w:p>
              </w:tc>
              <w:tc>
                <w:tcPr>
                  <w:tcW w:w="1534" w:type="pct"/>
                  <w:vMerge w:val="continue"/>
                  <w:tcBorders>
                    <w:top w:val="nil"/>
                    <w:left w:val="single" w:color="auto" w:sz="6" w:space="0"/>
                    <w:bottom w:val="single" w:color="auto" w:sz="6" w:space="0"/>
                    <w:right w:val="single" w:color="auto" w:sz="6" w:space="0"/>
                  </w:tcBorders>
                  <w:shd w:val="clear" w:color="auto" w:fill="auto"/>
                  <w:noWrap w:val="0"/>
                  <w:vAlign w:val="center"/>
                </w:tcPr>
                <w:p w14:paraId="61EDB3D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Cs w:val="21"/>
                      <w:highlight w:val="none"/>
                    </w:rPr>
                  </w:pP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5CC51FC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43</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0D6AF8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70</w:t>
                  </w:r>
                </w:p>
              </w:tc>
              <w:tc>
                <w:tcPr>
                  <w:tcW w:w="723"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2119F3D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61.43</w:t>
                  </w:r>
                </w:p>
              </w:tc>
              <w:tc>
                <w:tcPr>
                  <w:tcW w:w="686"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3FE74F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达标</w:t>
                  </w:r>
                </w:p>
              </w:tc>
            </w:tr>
            <w:tr w14:paraId="6D744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4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76013DE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PM</w:t>
                  </w:r>
                  <w:r>
                    <w:rPr>
                      <w:rFonts w:hint="default" w:ascii="Times New Roman" w:hAnsi="Times New Roman" w:eastAsia="宋体" w:cs="Times New Roman"/>
                      <w:color w:val="auto"/>
                      <w:highlight w:val="none"/>
                      <w:vertAlign w:val="subscript"/>
                    </w:rPr>
                    <w:t>2.5</w:t>
                  </w:r>
                </w:p>
              </w:tc>
              <w:tc>
                <w:tcPr>
                  <w:tcW w:w="1534" w:type="pct"/>
                  <w:vMerge w:val="continue"/>
                  <w:tcBorders>
                    <w:top w:val="nil"/>
                    <w:left w:val="single" w:color="auto" w:sz="6" w:space="0"/>
                    <w:bottom w:val="single" w:color="auto" w:sz="6" w:space="0"/>
                    <w:right w:val="single" w:color="auto" w:sz="6" w:space="0"/>
                  </w:tcBorders>
                  <w:shd w:val="clear" w:color="auto" w:fill="auto"/>
                  <w:noWrap w:val="0"/>
                  <w:vAlign w:val="center"/>
                </w:tcPr>
                <w:p w14:paraId="452FD76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Cs w:val="21"/>
                      <w:highlight w:val="none"/>
                    </w:rPr>
                  </w:pP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F99F0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22</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1BE336F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35</w:t>
                  </w:r>
                </w:p>
              </w:tc>
              <w:tc>
                <w:tcPr>
                  <w:tcW w:w="723"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636311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62.86</w:t>
                  </w:r>
                </w:p>
              </w:tc>
              <w:tc>
                <w:tcPr>
                  <w:tcW w:w="686"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28C54E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达标</w:t>
                  </w:r>
                </w:p>
              </w:tc>
            </w:tr>
            <w:tr w14:paraId="7909B7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54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1CA1A8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CO</w:t>
                  </w:r>
                </w:p>
              </w:tc>
              <w:tc>
                <w:tcPr>
                  <w:tcW w:w="1534"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937E24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24h平均第95百分位数</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1636258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1000</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5A607CC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4000</w:t>
                  </w:r>
                </w:p>
              </w:tc>
              <w:tc>
                <w:tcPr>
                  <w:tcW w:w="723"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2415B2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25.00</w:t>
                  </w:r>
                </w:p>
              </w:tc>
              <w:tc>
                <w:tcPr>
                  <w:tcW w:w="686"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1F8CA8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达标</w:t>
                  </w:r>
                </w:p>
              </w:tc>
            </w:tr>
            <w:tr w14:paraId="4F15D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4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26507A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O</w:t>
                  </w:r>
                  <w:r>
                    <w:rPr>
                      <w:rFonts w:hint="default" w:ascii="Times New Roman" w:hAnsi="Times New Roman" w:eastAsia="宋体" w:cs="Times New Roman"/>
                      <w:color w:val="auto"/>
                      <w:highlight w:val="none"/>
                      <w:vertAlign w:val="subscript"/>
                    </w:rPr>
                    <w:t>3</w:t>
                  </w:r>
                </w:p>
              </w:tc>
              <w:tc>
                <w:tcPr>
                  <w:tcW w:w="1534"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16234A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8h平均第90百分位数</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319DA06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123</w:t>
                  </w:r>
                </w:p>
              </w:tc>
              <w:tc>
                <w:tcPr>
                  <w:tcW w:w="752"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D93F8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160</w:t>
                  </w:r>
                </w:p>
              </w:tc>
              <w:tc>
                <w:tcPr>
                  <w:tcW w:w="723"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D7BB46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76.88</w:t>
                  </w:r>
                </w:p>
              </w:tc>
              <w:tc>
                <w:tcPr>
                  <w:tcW w:w="686"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22E698C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达标</w:t>
                  </w:r>
                </w:p>
              </w:tc>
            </w:tr>
          </w:tbl>
          <w:p w14:paraId="73C1DF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由上表可知，</w:t>
            </w:r>
            <w:r>
              <w:rPr>
                <w:rFonts w:hint="eastAsia" w:cs="Times New Roman"/>
                <w:color w:val="auto"/>
                <w:sz w:val="24"/>
                <w:highlight w:val="none"/>
                <w:lang w:val="en-US" w:eastAsia="zh-CN"/>
              </w:rPr>
              <w:t>本项目所在区域2023年环境空气质量数据</w:t>
            </w:r>
            <w:r>
              <w:rPr>
                <w:rFonts w:hint="default" w:ascii="Times New Roman" w:hAnsi="Times New Roman" w:eastAsia="宋体" w:cs="Times New Roman"/>
                <w:color w:val="auto"/>
                <w:sz w:val="24"/>
                <w:highlight w:val="none"/>
              </w:rPr>
              <w:t>中SO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、NO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2.5</w:t>
            </w:r>
            <w:r>
              <w:rPr>
                <w:rFonts w:hint="default" w:ascii="Times New Roman" w:hAnsi="Times New Roman" w:eastAsia="宋体" w:cs="Times New Roman"/>
                <w:color w:val="auto"/>
                <w:sz w:val="24"/>
                <w:highlight w:val="none"/>
              </w:rPr>
              <w:t>、PM</w:t>
            </w:r>
            <w:r>
              <w:rPr>
                <w:rFonts w:hint="default" w:ascii="Times New Roman" w:hAnsi="Times New Roman" w:eastAsia="宋体" w:cs="Times New Roman"/>
                <w:color w:val="auto"/>
                <w:sz w:val="24"/>
                <w:highlight w:val="none"/>
                <w:vertAlign w:val="subscript"/>
              </w:rPr>
              <w:t>10</w:t>
            </w:r>
            <w:r>
              <w:rPr>
                <w:rFonts w:hint="default" w:ascii="Times New Roman" w:hAnsi="Times New Roman" w:eastAsia="宋体" w:cs="Times New Roman"/>
                <w:color w:val="auto"/>
                <w:sz w:val="24"/>
                <w:highlight w:val="none"/>
              </w:rPr>
              <w:t>年平均浓度，CO的95百分位24小时平均浓度、O</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的90百分位8小时平均浓度值均满足《环境空气质量标准》（GB</w:t>
            </w:r>
            <w:r>
              <w:rPr>
                <w:rFonts w:hint="eastAsia"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rPr>
              <w:t>3095-2012</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及修改单中二级标准，表明项目区环境空气为达标区。</w:t>
            </w:r>
          </w:p>
          <w:p w14:paraId="1CF16E77">
            <w:pPr>
              <w:keepNext w:val="0"/>
              <w:keepLines w:val="0"/>
              <w:suppressLineNumbers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auto"/>
                <w:sz w:val="24"/>
                <w:highlight w:val="none"/>
                <w:lang w:bidi="ar"/>
              </w:rPr>
            </w:pPr>
            <w:r>
              <w:rPr>
                <w:rFonts w:hint="default" w:ascii="Times New Roman" w:hAnsi="Times New Roman" w:eastAsia="宋体" w:cs="Times New Roman"/>
                <w:b/>
                <w:bCs/>
                <w:color w:val="auto"/>
                <w:sz w:val="24"/>
                <w:highlight w:val="none"/>
                <w:lang w:bidi="ar"/>
              </w:rPr>
              <w:t>1.4</w:t>
            </w:r>
            <w:r>
              <w:rPr>
                <w:rFonts w:hint="eastAsia" w:cs="Times New Roman"/>
                <w:b/>
                <w:bCs/>
                <w:color w:val="auto"/>
                <w:sz w:val="24"/>
                <w:highlight w:val="none"/>
                <w:lang w:val="en-US" w:eastAsia="zh-CN" w:bidi="ar"/>
              </w:rPr>
              <w:t xml:space="preserve"> </w:t>
            </w:r>
            <w:r>
              <w:rPr>
                <w:rFonts w:hint="default" w:ascii="Times New Roman" w:hAnsi="Times New Roman" w:eastAsia="宋体" w:cs="Times New Roman"/>
                <w:b/>
                <w:bCs/>
                <w:color w:val="auto"/>
                <w:sz w:val="24"/>
                <w:highlight w:val="none"/>
                <w:lang w:bidi="ar"/>
              </w:rPr>
              <w:t>特征污染物补充监测</w:t>
            </w:r>
          </w:p>
          <w:p w14:paraId="796BAB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本次评价特征污染物</w:t>
            </w:r>
            <w:r>
              <w:rPr>
                <w:rFonts w:hint="eastAsia" w:ascii="Times New Roman" w:hAnsi="Times New Roman" w:eastAsia="宋体" w:cs="Times New Roman"/>
                <w:color w:val="auto"/>
                <w:sz w:val="24"/>
                <w:szCs w:val="24"/>
                <w:lang w:val="en-US" w:eastAsia="zh-CN"/>
              </w:rPr>
              <w:t>为</w:t>
            </w:r>
            <w:r>
              <w:rPr>
                <w:rFonts w:hint="default" w:ascii="Times New Roman" w:hAnsi="Times New Roman" w:eastAsia="宋体" w:cs="Times New Roman"/>
                <w:color w:val="auto"/>
                <w:sz w:val="24"/>
                <w:szCs w:val="24"/>
              </w:rPr>
              <w:t>TSP</w:t>
            </w:r>
            <w:r>
              <w:rPr>
                <w:rFonts w:hint="eastAsia" w:ascii="Times New Roman" w:hAnsi="Times New Roman" w:eastAsia="宋体" w:cs="Times New Roman"/>
                <w:color w:val="auto"/>
                <w:sz w:val="24"/>
                <w:szCs w:val="24"/>
                <w:lang w:val="en-US" w:eastAsia="zh-CN"/>
              </w:rPr>
              <w:t>。</w:t>
            </w:r>
          </w:p>
          <w:p w14:paraId="2F2693B5">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b/>
                <w:bCs/>
                <w:color w:val="auto"/>
                <w:sz w:val="21"/>
                <w:szCs w:val="21"/>
                <w:highlight w:val="none"/>
                <w:lang w:val="en-US" w:eastAsia="zh-CN"/>
              </w:rPr>
            </w:pPr>
            <w:r>
              <w:rPr>
                <w:rFonts w:hint="eastAsia"/>
                <w:color w:val="auto"/>
                <w:sz w:val="24"/>
                <w:szCs w:val="24"/>
                <w:lang w:val="en-US" w:eastAsia="zh-CN"/>
              </w:rPr>
              <w:t>特征污染物</w:t>
            </w:r>
            <w:r>
              <w:rPr>
                <w:rFonts w:hint="default" w:ascii="Times New Roman" w:hAnsi="Times New Roman" w:eastAsia="宋体" w:cs="Times New Roman"/>
                <w:color w:val="auto"/>
                <w:sz w:val="24"/>
                <w:szCs w:val="24"/>
              </w:rPr>
              <w:t>TSP</w:t>
            </w:r>
            <w:r>
              <w:rPr>
                <w:rFonts w:hint="default" w:ascii="Times New Roman" w:hAnsi="Times New Roman" w:eastAsia="宋体" w:cs="Times New Roman"/>
                <w:color w:val="auto"/>
                <w:sz w:val="24"/>
                <w:szCs w:val="24"/>
                <w:highlight w:val="none"/>
              </w:rPr>
              <w:t>委托新疆</w:t>
            </w:r>
            <w:r>
              <w:rPr>
                <w:rFonts w:hint="eastAsia" w:cs="Times New Roman"/>
                <w:color w:val="auto"/>
                <w:sz w:val="24"/>
                <w:szCs w:val="24"/>
                <w:highlight w:val="none"/>
                <w:lang w:val="en-US" w:eastAsia="zh-CN"/>
              </w:rPr>
              <w:t>国科检测有限公司在2025年8月23日至2025年8月26日进行采样分析，</w:t>
            </w:r>
            <w:r>
              <w:rPr>
                <w:rFonts w:hint="default" w:ascii="Times New Roman" w:hAnsi="Times New Roman" w:eastAsia="宋体" w:cs="Times New Roman"/>
                <w:color w:val="auto"/>
                <w:sz w:val="24"/>
                <w:szCs w:val="24"/>
                <w:highlight w:val="none"/>
              </w:rPr>
              <w:t>在项目区下风向处布设一个监测点位</w:t>
            </w:r>
            <w:r>
              <w:rPr>
                <w:rFonts w:hint="default" w:ascii="Times New Roman" w:hAnsi="Times New Roman" w:eastAsia="宋体" w:cs="Times New Roman"/>
                <w:color w:val="auto"/>
                <w:sz w:val="24"/>
                <w:szCs w:val="24"/>
              </w:rPr>
              <w:t>，监测点坐标：E8</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°5</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14.88</w:t>
            </w:r>
            <w:r>
              <w:rPr>
                <w:rFonts w:hint="default" w:ascii="Times New Roman" w:hAnsi="Times New Roman" w:eastAsia="宋体" w:cs="Times New Roman"/>
                <w:color w:val="auto"/>
                <w:sz w:val="24"/>
                <w:szCs w:val="24"/>
              </w:rPr>
              <w:t>″，N</w:t>
            </w:r>
            <w:r>
              <w:rPr>
                <w:rFonts w:hint="eastAsia" w:cs="Times New Roman"/>
                <w:color w:val="auto"/>
                <w:sz w:val="24"/>
                <w:szCs w:val="24"/>
                <w:lang w:val="en-US" w:eastAsia="zh-CN"/>
              </w:rPr>
              <w:t>44</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29</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04.03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highlight w:val="none"/>
              </w:rPr>
              <w:t>对特征因子</w:t>
            </w:r>
            <w:r>
              <w:rPr>
                <w:rFonts w:hint="default" w:ascii="Times New Roman" w:hAnsi="Times New Roman" w:eastAsia="宋体" w:cs="Times New Roman"/>
                <w:color w:val="auto"/>
                <w:sz w:val="24"/>
                <w:szCs w:val="24"/>
              </w:rPr>
              <w:t>TSP</w:t>
            </w:r>
            <w:r>
              <w:rPr>
                <w:rFonts w:hint="default" w:ascii="Times New Roman" w:hAnsi="Times New Roman" w:eastAsia="宋体" w:cs="Times New Roman"/>
                <w:color w:val="auto"/>
                <w:sz w:val="24"/>
                <w:szCs w:val="24"/>
                <w:highlight w:val="none"/>
              </w:rPr>
              <w:t>进行环境质量现状监测。</w:t>
            </w:r>
            <w:r>
              <w:rPr>
                <w:rFonts w:hint="eastAsia" w:cs="Times New Roman"/>
                <w:color w:val="auto"/>
                <w:sz w:val="24"/>
                <w:szCs w:val="24"/>
                <w:highlight w:val="none"/>
                <w:lang w:val="en-US" w:eastAsia="zh-CN"/>
              </w:rPr>
              <w:t>监测布点图见</w:t>
            </w:r>
            <w:r>
              <w:rPr>
                <w:rFonts w:hint="eastAsia" w:cs="Times New Roman"/>
                <w:b/>
                <w:bCs/>
                <w:color w:val="auto"/>
                <w:sz w:val="24"/>
                <w:szCs w:val="24"/>
                <w:highlight w:val="none"/>
                <w:lang w:val="en-US" w:eastAsia="zh-CN"/>
              </w:rPr>
              <w:t>附图8，</w:t>
            </w:r>
            <w:r>
              <w:rPr>
                <w:rFonts w:hint="eastAsia" w:cs="Times New Roman"/>
                <w:b w:val="0"/>
                <w:bCs w:val="0"/>
                <w:color w:val="auto"/>
                <w:sz w:val="24"/>
                <w:szCs w:val="24"/>
                <w:highlight w:val="none"/>
                <w:lang w:val="en-US" w:eastAsia="zh-CN"/>
              </w:rPr>
              <w:t>检测报告见</w:t>
            </w:r>
            <w:r>
              <w:rPr>
                <w:rFonts w:hint="eastAsia" w:cs="Times New Roman"/>
                <w:b/>
                <w:bCs/>
                <w:color w:val="auto"/>
                <w:sz w:val="24"/>
                <w:szCs w:val="24"/>
                <w:highlight w:val="none"/>
                <w:lang w:val="en-US" w:eastAsia="zh-CN"/>
              </w:rPr>
              <w:t>附件四</w:t>
            </w:r>
            <w:r>
              <w:rPr>
                <w:rFonts w:hint="eastAsia" w:cs="Times New Roman"/>
                <w:color w:val="auto"/>
                <w:sz w:val="24"/>
                <w:szCs w:val="24"/>
                <w:highlight w:val="none"/>
                <w:lang w:val="en-US" w:eastAsia="zh-CN"/>
              </w:rPr>
              <w:t>。</w:t>
            </w:r>
          </w:p>
          <w:p w14:paraId="7C7BF8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eastAsia" w:cs="Times New Roman"/>
                <w:color w:val="auto"/>
                <w:sz w:val="24"/>
                <w:szCs w:val="24"/>
                <w:lang w:eastAsia="zh-CN"/>
              </w:rPr>
              <w:t>）</w:t>
            </w:r>
            <w:r>
              <w:rPr>
                <w:rFonts w:hint="eastAsia" w:cs="Times New Roman"/>
                <w:color w:val="auto"/>
                <w:sz w:val="24"/>
                <w:szCs w:val="24"/>
                <w:lang w:val="en-US" w:eastAsia="zh-CN"/>
              </w:rPr>
              <w:t>监测项目及</w:t>
            </w:r>
            <w:r>
              <w:rPr>
                <w:rFonts w:hint="default" w:ascii="Times New Roman" w:hAnsi="Times New Roman" w:eastAsia="宋体" w:cs="Times New Roman"/>
                <w:color w:val="auto"/>
                <w:sz w:val="24"/>
                <w:szCs w:val="24"/>
              </w:rPr>
              <w:t>监测频次</w:t>
            </w:r>
          </w:p>
          <w:p w14:paraId="2372077D">
            <w:pPr>
              <w:keepNext w:val="0"/>
              <w:keepLines w:val="0"/>
              <w:suppressLineNumbers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TSP</w:t>
            </w:r>
            <w:r>
              <w:rPr>
                <w:rFonts w:hint="default" w:ascii="Times New Roman" w:hAnsi="Times New Roman" w:eastAsia="宋体" w:cs="Times New Roman"/>
                <w:color w:val="auto"/>
                <w:sz w:val="24"/>
                <w:szCs w:val="24"/>
              </w:rPr>
              <w:t>连续采样</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个有效天</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24小时连续采样。</w:t>
            </w:r>
            <w:r>
              <w:rPr>
                <w:rFonts w:hint="eastAsia" w:ascii="Times New Roman" w:hAnsi="Times New Roman" w:eastAsia="宋体" w:cs="Times New Roman"/>
                <w:color w:val="auto"/>
                <w:sz w:val="24"/>
                <w:szCs w:val="24"/>
                <w:lang w:val="en-US" w:eastAsia="zh-CN"/>
              </w:rPr>
              <w:t>同时记录风速、风向、气温、气压和天气状况等常规气象要素。</w:t>
            </w:r>
          </w:p>
          <w:p w14:paraId="39BA66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监测方法和仪器</w:t>
            </w:r>
          </w:p>
          <w:p w14:paraId="4C0520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分析方法：采样及样品分析均依据</w:t>
            </w:r>
            <w:r>
              <w:rPr>
                <w:rFonts w:hint="default" w:ascii="Times New Roman" w:hAnsi="Times New Roman" w:eastAsia="宋体" w:cs="Times New Roman"/>
                <w:color w:val="auto"/>
                <w:sz w:val="24"/>
                <w:szCs w:val="24"/>
                <w:lang w:eastAsia="zh-CN"/>
              </w:rPr>
              <w:t>原</w:t>
            </w:r>
            <w:r>
              <w:rPr>
                <w:rFonts w:hint="default" w:ascii="Times New Roman" w:hAnsi="Times New Roman" w:eastAsia="宋体" w:cs="Times New Roman"/>
                <w:color w:val="auto"/>
                <w:sz w:val="24"/>
                <w:szCs w:val="24"/>
              </w:rPr>
              <w:t>国家环保</w:t>
            </w:r>
            <w:r>
              <w:rPr>
                <w:rFonts w:hint="eastAsia" w:ascii="Times New Roman" w:hAnsi="Times New Roman" w:eastAsia="宋体" w:cs="Times New Roman"/>
                <w:color w:val="auto"/>
                <w:sz w:val="24"/>
                <w:szCs w:val="24"/>
                <w:lang w:val="en-US" w:eastAsia="zh-CN"/>
              </w:rPr>
              <w:t>总</w:t>
            </w:r>
            <w:r>
              <w:rPr>
                <w:rFonts w:hint="default" w:ascii="Times New Roman" w:hAnsi="Times New Roman" w:eastAsia="宋体" w:cs="Times New Roman"/>
                <w:color w:val="auto"/>
                <w:sz w:val="24"/>
                <w:szCs w:val="24"/>
              </w:rPr>
              <w:t>局颁布的《环境监测技术规范》（大气部分）和《空气和废气监测分析方法》中的规定进行。</w:t>
            </w:r>
          </w:p>
          <w:p w14:paraId="75F1D6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评价标准及方法</w:t>
            </w:r>
          </w:p>
          <w:p w14:paraId="4D181BE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eastAsia"/>
                <w:bCs/>
                <w:color w:val="auto"/>
                <w:kern w:val="21"/>
                <w:sz w:val="24"/>
                <w:szCs w:val="24"/>
                <w:highlight w:val="none"/>
                <w:lang w:val="en-US" w:eastAsia="zh-CN"/>
              </w:rPr>
              <w:t>评价标准</w:t>
            </w:r>
            <w:r>
              <w:rPr>
                <w:rFonts w:hint="default" w:ascii="Times New Roman" w:hAnsi="Times New Roman" w:cs="Times New Roman"/>
                <w:color w:val="auto"/>
                <w:sz w:val="24"/>
                <w:szCs w:val="24"/>
                <w:highlight w:val="none"/>
              </w:rPr>
              <w:t>具体见表</w:t>
            </w:r>
            <w:r>
              <w:rPr>
                <w:rFonts w:hint="eastAsia" w:ascii="Times New Roman" w:hAnsi="Times New Roman" w:cs="Times New Roman"/>
                <w:color w:val="auto"/>
                <w:sz w:val="24"/>
                <w:szCs w:val="24"/>
                <w:highlight w:val="none"/>
                <w:lang w:val="en-US" w:eastAsia="zh-CN"/>
              </w:rPr>
              <w:t>3-</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w:t>
            </w:r>
          </w:p>
          <w:p w14:paraId="63A53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jc w:val="center"/>
              <w:textAlignment w:val="auto"/>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表</w:t>
            </w:r>
            <w:r>
              <w:rPr>
                <w:rFonts w:hint="default" w:ascii="Times New Roman" w:hAnsi="Times New Roman" w:eastAsia="宋体" w:cs="Times New Roman"/>
                <w:b/>
                <w:color w:val="auto"/>
                <w:highlight w:val="none"/>
                <w:lang w:val="en-US" w:eastAsia="zh-CN"/>
              </w:rPr>
              <w:t>3-</w:t>
            </w:r>
            <w:r>
              <w:rPr>
                <w:rFonts w:hint="eastAsia" w:cs="Times New Roman"/>
                <w:b/>
                <w:color w:val="auto"/>
                <w:highlight w:val="none"/>
                <w:lang w:val="en-US" w:eastAsia="zh-CN"/>
              </w:rPr>
              <w:t>2</w:t>
            </w:r>
            <w:r>
              <w:rPr>
                <w:rFonts w:hint="default" w:ascii="Times New Roman" w:hAnsi="Times New Roman" w:eastAsia="宋体" w:cs="Times New Roman"/>
                <w:b/>
                <w:color w:val="auto"/>
                <w:highlight w:val="none"/>
              </w:rPr>
              <w:t xml:space="preserve"> </w:t>
            </w:r>
            <w:r>
              <w:rPr>
                <w:rFonts w:hint="default" w:ascii="Times New Roman" w:hAnsi="Times New Roman" w:eastAsia="宋体" w:cs="Times New Roman"/>
                <w:b/>
                <w:color w:val="auto"/>
                <w:highlight w:val="none"/>
                <w:lang w:val="en-US" w:eastAsia="zh-CN"/>
              </w:rPr>
              <w:t xml:space="preserve"> </w:t>
            </w:r>
            <w:r>
              <w:rPr>
                <w:rFonts w:hint="default" w:ascii="Times New Roman" w:hAnsi="Times New Roman" w:eastAsia="宋体" w:cs="Times New Roman"/>
                <w:b/>
                <w:color w:val="auto"/>
                <w:highlight w:val="none"/>
              </w:rPr>
              <w:t>环境空气质量标准</w:t>
            </w:r>
          </w:p>
          <w:tbl>
            <w:tblPr>
              <w:tblStyle w:val="39"/>
              <w:tblW w:w="50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23"/>
              <w:gridCol w:w="1740"/>
              <w:gridCol w:w="1895"/>
              <w:gridCol w:w="3016"/>
            </w:tblGrid>
            <w:tr w14:paraId="5FBF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81" w:type="pct"/>
                  <w:tcBorders>
                    <w:tl2br w:val="nil"/>
                    <w:tr2bl w:val="nil"/>
                  </w:tcBorders>
                  <w:noWrap w:val="0"/>
                  <w:vAlign w:val="center"/>
                </w:tcPr>
                <w:p w14:paraId="4C93C561">
                  <w:pPr>
                    <w:pStyle w:val="161"/>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051" w:type="pct"/>
                  <w:tcBorders>
                    <w:tl2br w:val="nil"/>
                    <w:tr2bl w:val="nil"/>
                  </w:tcBorders>
                  <w:noWrap w:val="0"/>
                  <w:vAlign w:val="center"/>
                </w:tcPr>
                <w:p w14:paraId="7D829B38">
                  <w:pPr>
                    <w:pStyle w:val="161"/>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取值时间</w:t>
                  </w:r>
                </w:p>
              </w:tc>
              <w:tc>
                <w:tcPr>
                  <w:tcW w:w="1145" w:type="pct"/>
                  <w:tcBorders>
                    <w:tl2br w:val="nil"/>
                    <w:tr2bl w:val="nil"/>
                  </w:tcBorders>
                  <w:noWrap w:val="0"/>
                  <w:vAlign w:val="center"/>
                </w:tcPr>
                <w:p w14:paraId="6033FD0A">
                  <w:pPr>
                    <w:pStyle w:val="161"/>
                    <w:keepNext w:val="0"/>
                    <w:keepLines w:val="0"/>
                    <w:widowControl/>
                    <w:suppressLineNumbers w:val="0"/>
                    <w:spacing w:before="0" w:beforeAutospacing="0" w:after="0" w:afterAutospacing="0"/>
                    <w:ind w:left="0" w:right="0"/>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浓度限值</w:t>
                  </w:r>
                  <w:r>
                    <w:rPr>
                      <w:rFonts w:hint="eastAsia"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lang w:val="en-US" w:eastAsia="zh-CN"/>
                    </w:rPr>
                    <w:t>μ</w:t>
                  </w:r>
                  <w:r>
                    <w:rPr>
                      <w:rFonts w:hint="default" w:ascii="Times New Roman" w:hAnsi="Times New Roman" w:eastAsia="宋体" w:cs="Times New Roman"/>
                      <w:b/>
                      <w:bCs/>
                      <w:color w:val="auto"/>
                      <w:sz w:val="21"/>
                      <w:szCs w:val="21"/>
                      <w:highlight w:val="none"/>
                    </w:rPr>
                    <w:t>g/m</w:t>
                  </w:r>
                  <w:r>
                    <w:rPr>
                      <w:rFonts w:hint="default" w:ascii="Times New Roman" w:hAnsi="Times New Roman" w:eastAsia="宋体" w:cs="Times New Roman"/>
                      <w:b/>
                      <w:bCs/>
                      <w:color w:val="auto"/>
                      <w:sz w:val="21"/>
                      <w:szCs w:val="21"/>
                      <w:highlight w:val="none"/>
                      <w:vertAlign w:val="superscript"/>
                    </w:rPr>
                    <w:t>3</w:t>
                  </w:r>
                  <w:r>
                    <w:rPr>
                      <w:rFonts w:hint="eastAsia" w:cs="Times New Roman"/>
                      <w:b/>
                      <w:bCs/>
                      <w:color w:val="auto"/>
                      <w:sz w:val="21"/>
                      <w:szCs w:val="21"/>
                      <w:highlight w:val="none"/>
                      <w:lang w:eastAsia="zh-CN"/>
                    </w:rPr>
                    <w:t>）</w:t>
                  </w:r>
                </w:p>
              </w:tc>
              <w:tc>
                <w:tcPr>
                  <w:tcW w:w="1822" w:type="pct"/>
                  <w:tcBorders>
                    <w:tl2br w:val="nil"/>
                    <w:tr2bl w:val="nil"/>
                  </w:tcBorders>
                  <w:noWrap w:val="0"/>
                  <w:vAlign w:val="center"/>
                </w:tcPr>
                <w:p w14:paraId="523F884F">
                  <w:pPr>
                    <w:pStyle w:val="161"/>
                    <w:keepNext w:val="0"/>
                    <w:keepLines w:val="0"/>
                    <w:widowControl/>
                    <w:suppressLineNumbers w:val="0"/>
                    <w:spacing w:before="0" w:beforeAutospacing="0" w:after="0" w:afterAutospacing="0"/>
                    <w:ind w:left="0" w:right="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标准来源</w:t>
                  </w:r>
                </w:p>
              </w:tc>
            </w:tr>
            <w:tr w14:paraId="530A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81" w:type="pct"/>
                  <w:vMerge w:val="restart"/>
                  <w:tcBorders>
                    <w:tl2br w:val="nil"/>
                    <w:tr2bl w:val="nil"/>
                  </w:tcBorders>
                  <w:noWrap w:val="0"/>
                  <w:vAlign w:val="center"/>
                </w:tcPr>
                <w:p w14:paraId="7FC79077">
                  <w:pPr>
                    <w:pStyle w:val="161"/>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TSP</w:t>
                  </w:r>
                </w:p>
              </w:tc>
              <w:tc>
                <w:tcPr>
                  <w:tcW w:w="1051" w:type="pct"/>
                  <w:tcBorders>
                    <w:tl2br w:val="nil"/>
                    <w:tr2bl w:val="nil"/>
                  </w:tcBorders>
                  <w:noWrap w:val="0"/>
                  <w:vAlign w:val="center"/>
                </w:tcPr>
                <w:p w14:paraId="4401A3EE">
                  <w:pPr>
                    <w:pStyle w:val="161"/>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年平均</w:t>
                  </w:r>
                </w:p>
              </w:tc>
              <w:tc>
                <w:tcPr>
                  <w:tcW w:w="1145" w:type="pct"/>
                  <w:tcBorders>
                    <w:tl2br w:val="nil"/>
                    <w:tr2bl w:val="nil"/>
                  </w:tcBorders>
                  <w:noWrap w:val="0"/>
                  <w:vAlign w:val="center"/>
                </w:tcPr>
                <w:p w14:paraId="4BF5640A">
                  <w:pPr>
                    <w:pStyle w:val="161"/>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200</w:t>
                  </w:r>
                </w:p>
              </w:tc>
              <w:tc>
                <w:tcPr>
                  <w:tcW w:w="1822" w:type="pct"/>
                  <w:vMerge w:val="restart"/>
                  <w:tcBorders>
                    <w:tl2br w:val="nil"/>
                    <w:tr2bl w:val="nil"/>
                  </w:tcBorders>
                  <w:noWrap w:val="0"/>
                  <w:vAlign w:val="center"/>
                </w:tcPr>
                <w:p w14:paraId="16BAF398">
                  <w:pPr>
                    <w:pStyle w:val="161"/>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《环境空气质量标准》（GB3095-2012）</w:t>
                  </w:r>
                  <w:r>
                    <w:rPr>
                      <w:rFonts w:hint="eastAsia" w:cs="Times New Roman"/>
                      <w:color w:val="auto"/>
                      <w:sz w:val="21"/>
                      <w:szCs w:val="21"/>
                      <w:highlight w:val="none"/>
                      <w:lang w:val="en-US" w:eastAsia="zh-CN"/>
                    </w:rPr>
                    <w:t>及修改单</w:t>
                  </w:r>
                </w:p>
              </w:tc>
            </w:tr>
            <w:tr w14:paraId="2174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81" w:type="pct"/>
                  <w:vMerge w:val="continue"/>
                  <w:tcBorders>
                    <w:tl2br w:val="nil"/>
                    <w:tr2bl w:val="nil"/>
                  </w:tcBorders>
                  <w:noWrap w:val="0"/>
                  <w:vAlign w:val="center"/>
                </w:tcPr>
                <w:p w14:paraId="2157F81B">
                  <w:pPr>
                    <w:pStyle w:val="161"/>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c>
                <w:tcPr>
                  <w:tcW w:w="1051" w:type="pct"/>
                  <w:tcBorders>
                    <w:tl2br w:val="nil"/>
                    <w:tr2bl w:val="nil"/>
                  </w:tcBorders>
                  <w:noWrap w:val="0"/>
                  <w:vAlign w:val="center"/>
                </w:tcPr>
                <w:p w14:paraId="7EE37652">
                  <w:pPr>
                    <w:pStyle w:val="161"/>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w:t>
                  </w:r>
                </w:p>
              </w:tc>
              <w:tc>
                <w:tcPr>
                  <w:tcW w:w="1145" w:type="pct"/>
                  <w:tcBorders>
                    <w:tl2br w:val="nil"/>
                    <w:tr2bl w:val="nil"/>
                  </w:tcBorders>
                  <w:noWrap w:val="0"/>
                  <w:vAlign w:val="center"/>
                </w:tcPr>
                <w:p w14:paraId="49B12553">
                  <w:pPr>
                    <w:pStyle w:val="161"/>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300</w:t>
                  </w:r>
                </w:p>
              </w:tc>
              <w:tc>
                <w:tcPr>
                  <w:tcW w:w="1822" w:type="pct"/>
                  <w:vMerge w:val="continue"/>
                  <w:tcBorders>
                    <w:tl2br w:val="nil"/>
                    <w:tr2bl w:val="nil"/>
                  </w:tcBorders>
                  <w:noWrap w:val="0"/>
                  <w:vAlign w:val="center"/>
                </w:tcPr>
                <w:p w14:paraId="1BA05DD1">
                  <w:pPr>
                    <w:pStyle w:val="161"/>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sz w:val="21"/>
                      <w:szCs w:val="21"/>
                      <w:highlight w:val="none"/>
                    </w:rPr>
                  </w:pPr>
                </w:p>
              </w:tc>
            </w:tr>
          </w:tbl>
          <w:p w14:paraId="4CD5F4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评价方法：本次大气环境质量现状评价采用单因子污染指数法，计算模式为：</w:t>
            </w:r>
          </w:p>
          <w:p w14:paraId="2C8C1F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I</w:t>
            </w:r>
            <w:r>
              <w:rPr>
                <w:rFonts w:hint="default" w:ascii="Times New Roman" w:hAnsi="Times New Roman" w:eastAsia="宋体" w:cs="Times New Roman"/>
                <w:color w:val="auto"/>
                <w:sz w:val="24"/>
                <w:szCs w:val="24"/>
                <w:vertAlign w:val="subscript"/>
              </w:rPr>
              <w:t>i</w:t>
            </w:r>
            <w:r>
              <w:rPr>
                <w:rFonts w:hint="default" w:ascii="Times New Roman" w:hAnsi="Times New Roman" w:eastAsia="宋体" w:cs="Times New Roman"/>
                <w:color w:val="auto"/>
                <w:sz w:val="24"/>
                <w:szCs w:val="24"/>
              </w:rPr>
              <w:t>=C</w:t>
            </w:r>
            <w:r>
              <w:rPr>
                <w:rFonts w:hint="default" w:ascii="Times New Roman" w:hAnsi="Times New Roman" w:eastAsia="宋体" w:cs="Times New Roman"/>
                <w:color w:val="auto"/>
                <w:sz w:val="24"/>
                <w:szCs w:val="24"/>
                <w:vertAlign w:val="subscript"/>
              </w:rPr>
              <w:t>i</w:t>
            </w:r>
            <w:r>
              <w:rPr>
                <w:rFonts w:hint="default" w:ascii="Times New Roman" w:hAnsi="Times New Roman" w:eastAsia="宋体" w:cs="Times New Roman"/>
                <w:color w:val="auto"/>
                <w:sz w:val="24"/>
                <w:szCs w:val="24"/>
              </w:rPr>
              <w:t>/C</w:t>
            </w:r>
            <w:r>
              <w:rPr>
                <w:rFonts w:hint="default" w:ascii="Times New Roman" w:hAnsi="Times New Roman" w:eastAsia="宋体" w:cs="Times New Roman"/>
                <w:color w:val="auto"/>
                <w:sz w:val="24"/>
                <w:szCs w:val="24"/>
                <w:vertAlign w:val="subscript"/>
              </w:rPr>
              <w:t>oi</w:t>
            </w:r>
          </w:p>
          <w:p w14:paraId="768226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式中：I</w:t>
            </w:r>
            <w:r>
              <w:rPr>
                <w:rFonts w:hint="default" w:ascii="Times New Roman" w:hAnsi="Times New Roman" w:eastAsia="宋体" w:cs="Times New Roman"/>
                <w:color w:val="auto"/>
                <w:sz w:val="24"/>
                <w:szCs w:val="24"/>
                <w:vertAlign w:val="subscript"/>
              </w:rPr>
              <w:t>i</w:t>
            </w:r>
            <w:r>
              <w:rPr>
                <w:rFonts w:hint="default" w:ascii="Times New Roman" w:hAnsi="Times New Roman" w:eastAsia="宋体" w:cs="Times New Roman"/>
                <w:color w:val="auto"/>
                <w:sz w:val="24"/>
                <w:szCs w:val="24"/>
              </w:rPr>
              <w:t>—i污染物的分指数；</w:t>
            </w:r>
          </w:p>
          <w:p w14:paraId="554C4D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1200" w:firstLineChars="5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C</w:t>
            </w:r>
            <w:r>
              <w:rPr>
                <w:rFonts w:hint="default" w:ascii="Times New Roman" w:hAnsi="Times New Roman" w:eastAsia="宋体" w:cs="Times New Roman"/>
                <w:color w:val="auto"/>
                <w:sz w:val="24"/>
                <w:szCs w:val="24"/>
                <w:vertAlign w:val="subscript"/>
              </w:rPr>
              <w:t>i</w:t>
            </w:r>
            <w:r>
              <w:rPr>
                <w:rFonts w:hint="default" w:ascii="Times New Roman" w:hAnsi="Times New Roman" w:eastAsia="宋体" w:cs="Times New Roman"/>
                <w:color w:val="auto"/>
                <w:sz w:val="24"/>
                <w:szCs w:val="24"/>
              </w:rPr>
              <w:t>—i污染物的浓度，mg/m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w:t>
            </w:r>
          </w:p>
          <w:p w14:paraId="1E8E55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1200" w:firstLineChars="5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C</w:t>
            </w:r>
            <w:r>
              <w:rPr>
                <w:rFonts w:hint="default" w:ascii="Times New Roman" w:hAnsi="Times New Roman" w:eastAsia="宋体" w:cs="Times New Roman"/>
                <w:color w:val="auto"/>
                <w:sz w:val="24"/>
                <w:szCs w:val="24"/>
                <w:vertAlign w:val="subscript"/>
              </w:rPr>
              <w:t>oi</w:t>
            </w:r>
            <w:r>
              <w:rPr>
                <w:rFonts w:hint="default" w:ascii="Times New Roman" w:hAnsi="Times New Roman" w:eastAsia="宋体" w:cs="Times New Roman"/>
                <w:color w:val="auto"/>
                <w:sz w:val="24"/>
                <w:szCs w:val="24"/>
              </w:rPr>
              <w:t>—i污染物的评价标准，mg/m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w:t>
            </w:r>
          </w:p>
          <w:p w14:paraId="1FAD7E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根据评价计算，可以得出单项污染指数，依照I</w:t>
            </w:r>
            <w:r>
              <w:rPr>
                <w:rFonts w:hint="default" w:ascii="Times New Roman" w:hAnsi="Times New Roman" w:eastAsia="宋体" w:cs="Times New Roman"/>
                <w:color w:val="auto"/>
                <w:sz w:val="24"/>
                <w:szCs w:val="24"/>
                <w:vertAlign w:val="subscript"/>
              </w:rPr>
              <w:t>i</w:t>
            </w:r>
            <w:r>
              <w:rPr>
                <w:rFonts w:hint="default" w:ascii="Times New Roman" w:hAnsi="Times New Roman" w:eastAsia="宋体" w:cs="Times New Roman"/>
                <w:color w:val="auto"/>
                <w:sz w:val="24"/>
                <w:szCs w:val="24"/>
              </w:rPr>
              <w:t>值的大小，分别确定其污染程度。当I</w:t>
            </w:r>
            <w:r>
              <w:rPr>
                <w:rFonts w:hint="default" w:ascii="Times New Roman" w:hAnsi="Times New Roman" w:eastAsia="宋体" w:cs="Times New Roman"/>
                <w:color w:val="auto"/>
                <w:sz w:val="24"/>
                <w:szCs w:val="24"/>
                <w:vertAlign w:val="subscript"/>
              </w:rPr>
              <w:t>i</w:t>
            </w:r>
            <w:r>
              <w:rPr>
                <w:rFonts w:hint="default" w:ascii="Times New Roman" w:hAnsi="Times New Roman" w:eastAsia="宋体" w:cs="Times New Roman"/>
                <w:color w:val="auto"/>
                <w:sz w:val="24"/>
                <w:szCs w:val="24"/>
              </w:rPr>
              <w:t>≤1时，表示大气中该污染物浓度不超标；当I</w:t>
            </w:r>
            <w:r>
              <w:rPr>
                <w:rFonts w:hint="default" w:ascii="Times New Roman" w:hAnsi="Times New Roman" w:eastAsia="宋体" w:cs="Times New Roman"/>
                <w:color w:val="auto"/>
                <w:sz w:val="24"/>
                <w:szCs w:val="24"/>
                <w:vertAlign w:val="subscript"/>
              </w:rPr>
              <w:t>i</w:t>
            </w:r>
            <w:r>
              <w:rPr>
                <w:rFonts w:hint="eastAsia" w:ascii="Times New Roman" w:hAnsi="Times New Roman" w:eastAsia="宋体" w:cs="Times New Roman"/>
                <w:color w:val="auto"/>
                <w:sz w:val="24"/>
                <w:szCs w:val="24"/>
                <w:lang w:val="en-US" w:eastAsia="zh-CN"/>
              </w:rPr>
              <w:t>&gt;</w:t>
            </w:r>
            <w:r>
              <w:rPr>
                <w:rFonts w:hint="default" w:ascii="Times New Roman" w:hAnsi="Times New Roman" w:eastAsia="宋体" w:cs="Times New Roman"/>
                <w:color w:val="auto"/>
                <w:sz w:val="24"/>
                <w:szCs w:val="24"/>
              </w:rPr>
              <w:t>1时，表示大气中该污染物浓度超过评价标准。</w:t>
            </w:r>
          </w:p>
          <w:p w14:paraId="399DDA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监测及评价结果</w:t>
            </w:r>
          </w:p>
          <w:p w14:paraId="50D52C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根据现状监测结果，</w:t>
            </w:r>
            <w:r>
              <w:rPr>
                <w:rFonts w:hint="eastAsia" w:ascii="Times New Roman" w:hAnsi="Times New Roman" w:eastAsia="宋体" w:cs="Times New Roman"/>
                <w:color w:val="auto"/>
                <w:sz w:val="24"/>
                <w:szCs w:val="24"/>
                <w:lang w:val="en-US" w:eastAsia="zh-CN"/>
              </w:rPr>
              <w:t>计算各监测因子污染指数，分析确定其现状情况。特征污染物</w:t>
            </w:r>
            <w:r>
              <w:rPr>
                <w:rFonts w:hint="eastAsia" w:cs="Times New Roman"/>
                <w:color w:val="auto"/>
                <w:sz w:val="24"/>
                <w:szCs w:val="24"/>
                <w:lang w:val="en-US" w:eastAsia="zh-CN"/>
              </w:rPr>
              <w:t>TSP</w:t>
            </w:r>
            <w:r>
              <w:rPr>
                <w:rFonts w:hint="eastAsia" w:ascii="Times New Roman" w:hAnsi="Times New Roman" w:eastAsia="宋体" w:cs="Times New Roman"/>
                <w:color w:val="auto"/>
                <w:sz w:val="24"/>
                <w:szCs w:val="24"/>
                <w:lang w:val="en-US" w:eastAsia="zh-CN"/>
              </w:rPr>
              <w:t>现状监测及评价结果见表3-</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w:t>
            </w:r>
          </w:p>
          <w:p w14:paraId="032BFD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表3-</w:t>
            </w:r>
            <w:r>
              <w:rPr>
                <w:rFonts w:hint="eastAsia" w:cs="Times New Roman"/>
                <w:b/>
                <w:color w:val="auto"/>
                <w:lang w:val="en-US" w:eastAsia="zh-CN"/>
              </w:rPr>
              <w:t>3</w:t>
            </w:r>
            <w:r>
              <w:rPr>
                <w:rFonts w:hint="default" w:ascii="Times New Roman" w:hAnsi="Times New Roman" w:eastAsia="宋体" w:cs="Times New Roman"/>
                <w:b/>
                <w:color w:val="auto"/>
              </w:rPr>
              <w:t xml:space="preserve">  </w:t>
            </w:r>
            <w:r>
              <w:rPr>
                <w:rFonts w:hint="eastAsia" w:ascii="Times New Roman" w:hAnsi="Times New Roman" w:eastAsia="宋体" w:cs="Times New Roman"/>
                <w:b/>
                <w:color w:val="auto"/>
                <w:lang w:val="en-US" w:eastAsia="zh-CN"/>
              </w:rPr>
              <w:t>特征污染物TSP</w:t>
            </w:r>
            <w:r>
              <w:rPr>
                <w:rFonts w:hint="default" w:ascii="Times New Roman" w:hAnsi="Times New Roman" w:eastAsia="宋体" w:cs="Times New Roman"/>
                <w:b/>
                <w:color w:val="auto"/>
              </w:rPr>
              <w:t>环境空气质量现状评价结果统计表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2968"/>
              <w:gridCol w:w="3231"/>
            </w:tblGrid>
            <w:tr w14:paraId="579E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14:paraId="1E541C3C">
                  <w:pPr>
                    <w:pStyle w:val="1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4"/>
                      <w:vertAlign w:val="baseline"/>
                      <w:lang w:val="en-US" w:eastAsia="zh-CN"/>
                    </w:rPr>
                  </w:pPr>
                  <w:r>
                    <w:rPr>
                      <w:rFonts w:hint="default" w:ascii="Times New Roman" w:hAnsi="Times New Roman" w:eastAsia="宋体" w:cs="Times New Roman"/>
                      <w:b/>
                      <w:bCs/>
                      <w:snapToGrid w:val="0"/>
                      <w:color w:val="auto"/>
                      <w:sz w:val="21"/>
                      <w:szCs w:val="18"/>
                    </w:rPr>
                    <w:t>监测点位</w:t>
                  </w:r>
                </w:p>
              </w:tc>
              <w:tc>
                <w:tcPr>
                  <w:tcW w:w="2968" w:type="dxa"/>
                  <w:vAlign w:val="center"/>
                </w:tcPr>
                <w:p w14:paraId="49DA9F5B">
                  <w:pPr>
                    <w:pStyle w:val="1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eastAsia" w:ascii="Times New Roman" w:hAnsi="Times New Roman" w:eastAsia="宋体" w:cs="Times New Roman"/>
                      <w:color w:val="auto"/>
                      <w:sz w:val="21"/>
                      <w:szCs w:val="24"/>
                      <w:vertAlign w:val="baseline"/>
                      <w:lang w:val="en-US" w:eastAsia="zh-CN"/>
                    </w:rPr>
                  </w:pPr>
                  <w:r>
                    <w:rPr>
                      <w:rFonts w:hint="default" w:ascii="Times New Roman" w:hAnsi="Times New Roman" w:eastAsia="宋体" w:cs="Times New Roman"/>
                      <w:b/>
                      <w:bCs/>
                      <w:snapToGrid w:val="0"/>
                      <w:color w:val="auto"/>
                      <w:sz w:val="21"/>
                      <w:szCs w:val="18"/>
                    </w:rPr>
                    <w:t>监测日期</w:t>
                  </w:r>
                </w:p>
              </w:tc>
              <w:tc>
                <w:tcPr>
                  <w:tcW w:w="3231" w:type="dxa"/>
                  <w:vAlign w:val="center"/>
                </w:tcPr>
                <w:p w14:paraId="52E428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snapToGrid w:val="0"/>
                      <w:color w:val="auto"/>
                      <w:sz w:val="21"/>
                      <w:szCs w:val="21"/>
                      <w:lang w:eastAsia="zh-CN"/>
                    </w:rPr>
                    <w:t>总悬浮颗粒物</w:t>
                  </w:r>
                  <w:r>
                    <w:rPr>
                      <w:rFonts w:hint="eastAsia" w:ascii="Times New Roman" w:hAnsi="Times New Roman" w:cs="Times New Roman"/>
                      <w:b/>
                      <w:bCs/>
                      <w:snapToGrid w:val="0"/>
                      <w:color w:val="auto"/>
                      <w:sz w:val="21"/>
                      <w:szCs w:val="21"/>
                      <w:lang w:eastAsia="zh-CN"/>
                    </w:rPr>
                    <w:t>（</w:t>
                  </w:r>
                  <w:r>
                    <w:rPr>
                      <w:rFonts w:hint="default" w:ascii="Times New Roman" w:hAnsi="Times New Roman" w:eastAsia="宋体" w:cs="Times New Roman"/>
                      <w:b/>
                      <w:bCs/>
                      <w:snapToGrid w:val="0"/>
                      <w:color w:val="auto"/>
                      <w:sz w:val="21"/>
                      <w:szCs w:val="21"/>
                      <w:lang w:eastAsia="zh-CN"/>
                    </w:rPr>
                    <w:t>T</w:t>
                  </w:r>
                  <w:r>
                    <w:rPr>
                      <w:rFonts w:hint="default" w:ascii="Times New Roman" w:hAnsi="Times New Roman" w:eastAsia="宋体" w:cs="Times New Roman"/>
                      <w:b w:val="0"/>
                      <w:bCs w:val="0"/>
                      <w:snapToGrid w:val="0"/>
                      <w:color w:val="auto"/>
                      <w:sz w:val="21"/>
                      <w:szCs w:val="21"/>
                      <w:lang w:eastAsia="zh-CN"/>
                    </w:rPr>
                    <w:t>SP</w:t>
                  </w:r>
                  <w:r>
                    <w:rPr>
                      <w:rFonts w:hint="eastAsia" w:ascii="Times New Roman" w:hAnsi="Times New Roman" w:cs="Times New Roman"/>
                      <w:b w:val="0"/>
                      <w:bCs w:val="0"/>
                      <w:snapToGrid w:val="0"/>
                      <w:color w:val="auto"/>
                      <w:sz w:val="21"/>
                      <w:szCs w:val="21"/>
                      <w:lang w:eastAsia="zh-CN"/>
                    </w:rPr>
                    <w:t>）</w:t>
                  </w:r>
                  <w:r>
                    <w:rPr>
                      <w:rFonts w:hint="default" w:ascii="Times New Roman" w:hAnsi="Times New Roman" w:eastAsia="宋体" w:cs="Times New Roman"/>
                      <w:b w:val="0"/>
                      <w:bCs w:val="0"/>
                      <w:color w:val="auto"/>
                      <w:sz w:val="21"/>
                      <w:szCs w:val="21"/>
                    </w:rPr>
                    <w:t>μg/m</w:t>
                  </w:r>
                  <w:r>
                    <w:rPr>
                      <w:rFonts w:hint="default" w:ascii="Times New Roman" w:hAnsi="Times New Roman" w:eastAsia="宋体" w:cs="Times New Roman"/>
                      <w:b w:val="0"/>
                      <w:bCs w:val="0"/>
                      <w:color w:val="auto"/>
                      <w:sz w:val="21"/>
                      <w:szCs w:val="21"/>
                      <w:vertAlign w:val="superscript"/>
                    </w:rPr>
                    <w:t>3</w:t>
                  </w:r>
                </w:p>
              </w:tc>
            </w:tr>
            <w:tr w14:paraId="4F16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Merge w:val="restart"/>
                  <w:vAlign w:val="center"/>
                </w:tcPr>
                <w:p w14:paraId="4355BC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4"/>
                      <w:vertAlign w:val="baseline"/>
                      <w:lang w:val="en-US" w:eastAsia="zh-CN"/>
                    </w:rPr>
                  </w:pPr>
                  <w:r>
                    <w:rPr>
                      <w:rFonts w:hint="default" w:ascii="Times New Roman" w:hAnsi="Times New Roman" w:eastAsia="宋体" w:cs="Times New Roman"/>
                      <w:color w:val="auto"/>
                      <w:sz w:val="21"/>
                      <w:szCs w:val="21"/>
                    </w:rPr>
                    <w:t>E8</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rPr>
                    <w:t>°5</w:t>
                  </w: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14.88</w:t>
                  </w:r>
                  <w:r>
                    <w:rPr>
                      <w:rFonts w:hint="default" w:ascii="Times New Roman" w:hAnsi="Times New Roman" w:eastAsia="宋体" w:cs="Times New Roman"/>
                      <w:color w:val="auto"/>
                      <w:sz w:val="21"/>
                      <w:szCs w:val="21"/>
                    </w:rPr>
                    <w:t>″，N</w:t>
                  </w:r>
                  <w:r>
                    <w:rPr>
                      <w:rFonts w:hint="eastAsia" w:cs="Times New Roman"/>
                      <w:color w:val="auto"/>
                      <w:sz w:val="21"/>
                      <w:szCs w:val="21"/>
                      <w:lang w:val="en-US" w:eastAsia="zh-CN"/>
                    </w:rPr>
                    <w:t>44</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29</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04.03</w:t>
                  </w:r>
                </w:p>
              </w:tc>
              <w:tc>
                <w:tcPr>
                  <w:tcW w:w="2968" w:type="dxa"/>
                  <w:vAlign w:val="center"/>
                </w:tcPr>
                <w:p w14:paraId="5A0D38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4"/>
                      <w:vertAlign w:val="baseline"/>
                      <w:lang w:val="en-US" w:eastAsia="zh-CN"/>
                    </w:rPr>
                  </w:pPr>
                  <w:r>
                    <w:rPr>
                      <w:rFonts w:hint="eastAsia" w:cs="Times New Roman"/>
                      <w:color w:val="auto"/>
                      <w:sz w:val="21"/>
                      <w:szCs w:val="24"/>
                      <w:vertAlign w:val="baseline"/>
                      <w:lang w:val="en-US" w:eastAsia="zh-CN"/>
                    </w:rPr>
                    <w:t>2025.08.23-2025.08.24</w:t>
                  </w:r>
                </w:p>
              </w:tc>
              <w:tc>
                <w:tcPr>
                  <w:tcW w:w="3231" w:type="dxa"/>
                  <w:vAlign w:val="center"/>
                </w:tcPr>
                <w:p w14:paraId="4DF365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217</w:t>
                  </w:r>
                </w:p>
              </w:tc>
            </w:tr>
            <w:tr w14:paraId="5835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Merge w:val="continue"/>
                  <w:vAlign w:val="center"/>
                </w:tcPr>
                <w:p w14:paraId="2E8CD7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4"/>
                      <w:highlight w:val="none"/>
                      <w:vertAlign w:val="baseline"/>
                      <w:lang w:val="en-US" w:eastAsia="zh-CN"/>
                    </w:rPr>
                  </w:pPr>
                </w:p>
              </w:tc>
              <w:tc>
                <w:tcPr>
                  <w:tcW w:w="2968" w:type="dxa"/>
                  <w:vAlign w:val="center"/>
                </w:tcPr>
                <w:p w14:paraId="52D867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4"/>
                      <w:highlight w:val="none"/>
                      <w:vertAlign w:val="baseline"/>
                      <w:lang w:val="en-US" w:eastAsia="zh-CN"/>
                    </w:rPr>
                  </w:pPr>
                  <w:r>
                    <w:rPr>
                      <w:rFonts w:hint="eastAsia" w:cs="Times New Roman"/>
                      <w:color w:val="auto"/>
                      <w:sz w:val="21"/>
                      <w:szCs w:val="24"/>
                      <w:highlight w:val="none"/>
                      <w:vertAlign w:val="baseline"/>
                      <w:lang w:val="en-US" w:eastAsia="zh-CN"/>
                    </w:rPr>
                    <w:t>2025.08.24-2025.08.25</w:t>
                  </w:r>
                </w:p>
              </w:tc>
              <w:tc>
                <w:tcPr>
                  <w:tcW w:w="3231" w:type="dxa"/>
                  <w:vAlign w:val="center"/>
                </w:tcPr>
                <w:p w14:paraId="70DD03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220</w:t>
                  </w:r>
                </w:p>
              </w:tc>
            </w:tr>
            <w:tr w14:paraId="6700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Merge w:val="continue"/>
                  <w:vAlign w:val="center"/>
                </w:tcPr>
                <w:p w14:paraId="099876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4"/>
                      <w:highlight w:val="none"/>
                      <w:vertAlign w:val="baseline"/>
                      <w:lang w:val="en-US" w:eastAsia="zh-CN"/>
                    </w:rPr>
                  </w:pPr>
                </w:p>
              </w:tc>
              <w:tc>
                <w:tcPr>
                  <w:tcW w:w="2968" w:type="dxa"/>
                  <w:vAlign w:val="center"/>
                </w:tcPr>
                <w:p w14:paraId="60A608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4"/>
                      <w:highlight w:val="none"/>
                      <w:vertAlign w:val="baseline"/>
                      <w:lang w:val="en-US" w:eastAsia="zh-CN"/>
                    </w:rPr>
                  </w:pPr>
                  <w:r>
                    <w:rPr>
                      <w:rFonts w:hint="eastAsia" w:cs="Times New Roman"/>
                      <w:color w:val="auto"/>
                      <w:sz w:val="21"/>
                      <w:szCs w:val="24"/>
                      <w:highlight w:val="none"/>
                      <w:vertAlign w:val="baseline"/>
                      <w:lang w:val="en-US" w:eastAsia="zh-CN"/>
                    </w:rPr>
                    <w:t>2025.08.25-2025.08.26</w:t>
                  </w:r>
                </w:p>
              </w:tc>
              <w:tc>
                <w:tcPr>
                  <w:tcW w:w="3231" w:type="dxa"/>
                  <w:vAlign w:val="center"/>
                </w:tcPr>
                <w:p w14:paraId="6F0522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215</w:t>
                  </w:r>
                </w:p>
              </w:tc>
            </w:tr>
            <w:tr w14:paraId="0CA3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3" w:type="dxa"/>
                  <w:gridSpan w:val="2"/>
                  <w:vAlign w:val="center"/>
                </w:tcPr>
                <w:p w14:paraId="149AC9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4"/>
                      <w:highlight w:val="none"/>
                      <w:vertAlign w:val="baseline"/>
                      <w:lang w:val="en-US" w:eastAsia="zh-CN"/>
                    </w:rPr>
                  </w:pPr>
                  <w:r>
                    <w:rPr>
                      <w:rFonts w:hint="default" w:ascii="Times New Roman" w:hAnsi="Times New Roman" w:eastAsia="宋体" w:cs="Times New Roman"/>
                      <w:snapToGrid w:val="0"/>
                      <w:color w:val="auto"/>
                      <w:sz w:val="21"/>
                      <w:szCs w:val="18"/>
                      <w:highlight w:val="none"/>
                    </w:rPr>
                    <w:t>标准值</w:t>
                  </w:r>
                  <w:r>
                    <w:rPr>
                      <w:rFonts w:hint="eastAsia" w:cs="Times New Roman"/>
                      <w:snapToGrid w:val="0"/>
                      <w:color w:val="auto"/>
                      <w:sz w:val="21"/>
                      <w:szCs w:val="18"/>
                      <w:highlight w:val="none"/>
                      <w:lang w:eastAsia="zh-CN"/>
                    </w:rPr>
                    <w:t>（</w:t>
                  </w:r>
                  <w:r>
                    <w:rPr>
                      <w:rFonts w:hint="default" w:ascii="Times New Roman" w:hAnsi="Times New Roman" w:eastAsia="宋体" w:cs="Times New Roman"/>
                      <w:b w:val="0"/>
                      <w:bCs w:val="0"/>
                      <w:color w:val="auto"/>
                      <w:sz w:val="21"/>
                      <w:szCs w:val="21"/>
                      <w:highlight w:val="none"/>
                    </w:rPr>
                    <w:t>μg/m</w:t>
                  </w:r>
                  <w:r>
                    <w:rPr>
                      <w:rFonts w:hint="default" w:ascii="Times New Roman" w:hAnsi="Times New Roman" w:eastAsia="宋体" w:cs="Times New Roman"/>
                      <w:b w:val="0"/>
                      <w:bCs w:val="0"/>
                      <w:color w:val="auto"/>
                      <w:sz w:val="21"/>
                      <w:szCs w:val="21"/>
                      <w:highlight w:val="none"/>
                      <w:vertAlign w:val="superscript"/>
                    </w:rPr>
                    <w:t>3</w:t>
                  </w:r>
                  <w:r>
                    <w:rPr>
                      <w:rFonts w:hint="eastAsia" w:cs="Times New Roman"/>
                      <w:snapToGrid w:val="0"/>
                      <w:color w:val="auto"/>
                      <w:sz w:val="21"/>
                      <w:szCs w:val="18"/>
                      <w:highlight w:val="none"/>
                      <w:lang w:eastAsia="zh-CN"/>
                    </w:rPr>
                    <w:t>）</w:t>
                  </w:r>
                </w:p>
              </w:tc>
              <w:tc>
                <w:tcPr>
                  <w:tcW w:w="3231" w:type="dxa"/>
                  <w:vAlign w:val="center"/>
                </w:tcPr>
                <w:p w14:paraId="0A5334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300</w:t>
                  </w:r>
                </w:p>
              </w:tc>
            </w:tr>
            <w:tr w14:paraId="1EF6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3" w:type="dxa"/>
                  <w:gridSpan w:val="2"/>
                  <w:vAlign w:val="center"/>
                </w:tcPr>
                <w:p w14:paraId="24EB34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4"/>
                      <w:highlight w:val="none"/>
                      <w:vertAlign w:val="baseline"/>
                      <w:lang w:val="en-US" w:eastAsia="zh-CN"/>
                    </w:rPr>
                  </w:pPr>
                  <w:r>
                    <w:rPr>
                      <w:rFonts w:hint="default" w:ascii="Times New Roman" w:hAnsi="Times New Roman" w:eastAsia="宋体" w:cs="Times New Roman"/>
                      <w:snapToGrid w:val="0"/>
                      <w:color w:val="auto"/>
                      <w:sz w:val="21"/>
                      <w:szCs w:val="18"/>
                      <w:highlight w:val="none"/>
                    </w:rPr>
                    <w:t>浓度值范围</w:t>
                  </w:r>
                  <w:r>
                    <w:rPr>
                      <w:rFonts w:hint="eastAsia" w:cs="Times New Roman"/>
                      <w:snapToGrid w:val="0"/>
                      <w:color w:val="auto"/>
                      <w:sz w:val="21"/>
                      <w:szCs w:val="18"/>
                      <w:highlight w:val="none"/>
                      <w:lang w:eastAsia="zh-CN"/>
                    </w:rPr>
                    <w:t>（</w:t>
                  </w:r>
                  <w:r>
                    <w:rPr>
                      <w:rFonts w:hint="default" w:ascii="Times New Roman" w:hAnsi="Times New Roman" w:eastAsia="宋体" w:cs="Times New Roman"/>
                      <w:b w:val="0"/>
                      <w:bCs w:val="0"/>
                      <w:color w:val="auto"/>
                      <w:sz w:val="21"/>
                      <w:szCs w:val="21"/>
                      <w:highlight w:val="none"/>
                    </w:rPr>
                    <w:t>μg/m</w:t>
                  </w:r>
                  <w:r>
                    <w:rPr>
                      <w:rFonts w:hint="default" w:ascii="Times New Roman" w:hAnsi="Times New Roman" w:eastAsia="宋体" w:cs="Times New Roman"/>
                      <w:b w:val="0"/>
                      <w:bCs w:val="0"/>
                      <w:color w:val="auto"/>
                      <w:sz w:val="21"/>
                      <w:szCs w:val="21"/>
                      <w:highlight w:val="none"/>
                      <w:vertAlign w:val="superscript"/>
                    </w:rPr>
                    <w:t>3</w:t>
                  </w:r>
                  <w:r>
                    <w:rPr>
                      <w:rFonts w:hint="eastAsia" w:cs="Times New Roman"/>
                      <w:snapToGrid w:val="0"/>
                      <w:color w:val="auto"/>
                      <w:sz w:val="21"/>
                      <w:szCs w:val="18"/>
                      <w:highlight w:val="none"/>
                      <w:lang w:eastAsia="zh-CN"/>
                    </w:rPr>
                    <w:t>）</w:t>
                  </w:r>
                </w:p>
              </w:tc>
              <w:tc>
                <w:tcPr>
                  <w:tcW w:w="3231" w:type="dxa"/>
                  <w:vAlign w:val="center"/>
                </w:tcPr>
                <w:p w14:paraId="1A0E7D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215~220</w:t>
                  </w:r>
                </w:p>
              </w:tc>
            </w:tr>
            <w:tr w14:paraId="6962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3" w:type="dxa"/>
                  <w:gridSpan w:val="2"/>
                  <w:vAlign w:val="center"/>
                </w:tcPr>
                <w:p w14:paraId="01F0AA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4"/>
                      <w:highlight w:val="none"/>
                      <w:vertAlign w:val="baseline"/>
                      <w:lang w:val="en-US" w:eastAsia="zh-CN"/>
                    </w:rPr>
                  </w:pPr>
                  <w:r>
                    <w:rPr>
                      <w:rFonts w:hint="eastAsia" w:cs="Times New Roman"/>
                      <w:color w:val="auto"/>
                      <w:sz w:val="21"/>
                      <w:szCs w:val="24"/>
                      <w:highlight w:val="none"/>
                      <w:vertAlign w:val="baseline"/>
                      <w:lang w:val="en-US" w:eastAsia="zh-CN"/>
                    </w:rPr>
                    <w:t>最大占标率（%）</w:t>
                  </w:r>
                </w:p>
              </w:tc>
              <w:tc>
                <w:tcPr>
                  <w:tcW w:w="3231" w:type="dxa"/>
                  <w:vAlign w:val="center"/>
                </w:tcPr>
                <w:p w14:paraId="46782B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73.3</w:t>
                  </w:r>
                </w:p>
              </w:tc>
            </w:tr>
          </w:tbl>
          <w:p w14:paraId="65E9B2B6">
            <w:pPr>
              <w:keepNext w:val="0"/>
              <w:keepLines w:val="0"/>
              <w:suppressLineNumbers w:val="0"/>
              <w:adjustRightIn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评价结果表明，</w:t>
            </w:r>
            <w:r>
              <w:rPr>
                <w:rFonts w:hint="default" w:ascii="Times New Roman" w:hAnsi="Times New Roman" w:eastAsia="宋体" w:cs="Times New Roman"/>
                <w:color w:val="auto"/>
                <w:sz w:val="24"/>
                <w:szCs w:val="24"/>
                <w:highlight w:val="none"/>
              </w:rPr>
              <w:t>总悬浮颗粒物的现状监测最大值为</w:t>
            </w:r>
            <w:r>
              <w:rPr>
                <w:rFonts w:hint="eastAsia" w:cs="Times New Roman"/>
                <w:color w:val="auto"/>
                <w:sz w:val="24"/>
                <w:szCs w:val="24"/>
                <w:highlight w:val="none"/>
                <w:lang w:val="en-US" w:eastAsia="zh-CN"/>
              </w:rPr>
              <w:t>220</w:t>
            </w:r>
            <w:r>
              <w:rPr>
                <w:rFonts w:hint="default" w:ascii="Times New Roman" w:hAnsi="Times New Roman" w:eastAsia="宋体" w:cs="Times New Roman"/>
                <w:color w:val="auto"/>
                <w:sz w:val="24"/>
                <w:szCs w:val="24"/>
                <w:highlight w:val="none"/>
              </w:rPr>
              <w:t>μg/m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，最大占标率为</w:t>
            </w:r>
            <w:r>
              <w:rPr>
                <w:rFonts w:hint="eastAsia" w:cs="Times New Roman"/>
                <w:color w:val="auto"/>
                <w:sz w:val="24"/>
                <w:szCs w:val="24"/>
                <w:highlight w:val="none"/>
                <w:lang w:val="en-US" w:eastAsia="zh-CN"/>
              </w:rPr>
              <w:t>73.3</w:t>
            </w:r>
            <w:r>
              <w:rPr>
                <w:rFonts w:hint="default" w:ascii="Times New Roman" w:hAnsi="Times New Roman" w:eastAsia="宋体" w:cs="Times New Roman"/>
                <w:color w:val="auto"/>
                <w:sz w:val="24"/>
                <w:szCs w:val="24"/>
                <w:highlight w:val="none"/>
              </w:rPr>
              <w:t>%满足《环境空气质量标准》（GB</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3095-2012）</w:t>
            </w:r>
            <w:r>
              <w:rPr>
                <w:rFonts w:hint="eastAsia" w:ascii="Times New Roman" w:hAnsi="Times New Roman" w:eastAsia="宋体" w:cs="Times New Roman"/>
                <w:color w:val="auto"/>
                <w:sz w:val="24"/>
                <w:szCs w:val="24"/>
                <w:highlight w:val="none"/>
                <w:lang w:val="en-US" w:eastAsia="zh-CN"/>
              </w:rPr>
              <w:t>及修改单</w:t>
            </w:r>
            <w:r>
              <w:rPr>
                <w:rFonts w:hint="default" w:ascii="Times New Roman" w:hAnsi="Times New Roman" w:eastAsia="宋体" w:cs="Times New Roman"/>
                <w:color w:val="auto"/>
                <w:sz w:val="24"/>
                <w:szCs w:val="24"/>
                <w:highlight w:val="none"/>
              </w:rPr>
              <w:t>中二级标准要求，区域环境质量良好。</w:t>
            </w:r>
          </w:p>
          <w:p w14:paraId="3401B1C8">
            <w:pPr>
              <w:keepNext w:val="0"/>
              <w:keepLines w:val="0"/>
              <w:suppressLineNumbers w:val="0"/>
              <w:spacing w:before="0" w:beforeAutospacing="0" w:after="0" w:afterAutospacing="0" w:line="360" w:lineRule="auto"/>
              <w:ind w:left="0" w:right="0"/>
              <w:rPr>
                <w:rFonts w:hint="default"/>
                <w:b/>
                <w:color w:val="auto"/>
                <w:sz w:val="24"/>
              </w:rPr>
            </w:pPr>
            <w:r>
              <w:rPr>
                <w:rFonts w:hint="default"/>
                <w:b/>
                <w:color w:val="auto"/>
                <w:sz w:val="24"/>
              </w:rPr>
              <w:t>2</w:t>
            </w:r>
            <w:r>
              <w:rPr>
                <w:rFonts w:hint="eastAsia"/>
                <w:b/>
                <w:color w:val="auto"/>
                <w:sz w:val="24"/>
              </w:rPr>
              <w:t>、</w:t>
            </w:r>
            <w:r>
              <w:rPr>
                <w:rFonts w:hint="default"/>
                <w:b/>
                <w:color w:val="auto"/>
                <w:sz w:val="24"/>
              </w:rPr>
              <w:t>地表水环境现状调查及评价</w:t>
            </w:r>
          </w:p>
          <w:p w14:paraId="097DAC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rPr>
            </w:pPr>
            <w:r>
              <w:rPr>
                <w:rFonts w:hint="eastAsia" w:ascii="Times New Roman" w:hAnsi="Times New Roman" w:eastAsia="宋体" w:cs="Times New Roman"/>
                <w:color w:val="auto"/>
                <w:sz w:val="24"/>
                <w:highlight w:val="none"/>
                <w:lang w:eastAsia="zh-CN"/>
              </w:rPr>
              <w:t>依据</w:t>
            </w:r>
            <w:r>
              <w:rPr>
                <w:rFonts w:hint="default" w:ascii="Times New Roman" w:hAnsi="Times New Roman" w:eastAsia="宋体" w:cs="Times New Roman"/>
                <w:color w:val="auto"/>
                <w:sz w:val="24"/>
                <w:highlight w:val="none"/>
              </w:rPr>
              <w:t>《建设项目环境影响报告表编制技术指南（污染影响类</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（试行</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》：引用与建设项目距离近的有效数据，包括近3年的规划环境影响评价的监测数据，所在流域控制单元内国家、地方控制断面监测数据，生态环境主管部门发布的水环境质量数据或地表水达标情况的结论。</w:t>
            </w:r>
            <w:r>
              <w:rPr>
                <w:rFonts w:hint="eastAsia" w:ascii="Times New Roman" w:hAnsi="Times New Roman" w:eastAsia="宋体" w:cs="Times New Roman"/>
                <w:color w:val="auto"/>
                <w:sz w:val="24"/>
                <w:highlight w:val="none"/>
                <w:lang w:eastAsia="zh-CN"/>
              </w:rPr>
              <w:t>经现场调查，</w:t>
            </w:r>
            <w:r>
              <w:rPr>
                <w:rFonts w:hint="default" w:ascii="Times New Roman" w:hAnsi="Times New Roman" w:eastAsia="宋体" w:cs="Times New Roman"/>
                <w:color w:val="auto"/>
                <w:sz w:val="24"/>
                <w:highlight w:val="none"/>
              </w:rPr>
              <w:t>本项目</w:t>
            </w:r>
            <w:r>
              <w:rPr>
                <w:rFonts w:hint="eastAsia" w:cs="Times New Roman"/>
                <w:color w:val="auto"/>
                <w:sz w:val="24"/>
                <w:highlight w:val="none"/>
                <w:lang w:val="en-US" w:eastAsia="zh-CN"/>
              </w:rPr>
              <w:t>西侧0.8km处为奎屯河</w:t>
            </w:r>
            <w:r>
              <w:rPr>
                <w:rFonts w:hint="eastAsia" w:ascii="Times New Roman" w:hAnsi="Times New Roman" w:eastAsia="宋体" w:cs="Times New Roman"/>
                <w:color w:val="auto"/>
                <w:sz w:val="24"/>
                <w:highlight w:val="none"/>
                <w:lang w:eastAsia="zh-CN"/>
              </w:rPr>
              <w:t>，</w:t>
            </w:r>
            <w:r>
              <w:rPr>
                <w:rFonts w:hint="eastAsia"/>
                <w:color w:val="auto"/>
                <w:sz w:val="24"/>
                <w:highlight w:val="none"/>
                <w:lang w:val="en-US" w:eastAsia="zh-CN"/>
              </w:rPr>
              <w:t>本项目产生的生活污水排入化粪池中，定期吸污至天北经济技术开发区污水处理厂，不排入地表水，与奎屯河无水力联系。为了解项目区附近地表水环境质量现状，</w:t>
            </w:r>
            <w:r>
              <w:rPr>
                <w:rFonts w:hint="eastAsia" w:ascii="Times New Roman" w:hAnsi="Times New Roman" w:cs="Times New Roman"/>
                <w:color w:val="auto"/>
                <w:sz w:val="24"/>
                <w:szCs w:val="24"/>
              </w:rPr>
              <w:t>本次</w:t>
            </w:r>
            <w:r>
              <w:rPr>
                <w:rFonts w:hint="default" w:ascii="Times New Roman" w:hAnsi="Times New Roman" w:cs="Times New Roman"/>
                <w:color w:val="auto"/>
                <w:sz w:val="24"/>
                <w:szCs w:val="24"/>
              </w:rPr>
              <w:t>地表水环境监测数据引用《第七师胡杨河经济技术</w:t>
            </w:r>
            <w:r>
              <w:rPr>
                <w:rFonts w:hint="default" w:ascii="Times New Roman" w:hAnsi="Times New Roman" w:cs="Times New Roman"/>
                <w:color w:val="auto"/>
                <w:sz w:val="24"/>
                <w:szCs w:val="24"/>
                <w:highlight w:val="none"/>
              </w:rPr>
              <w:t>开发区化工园区总体规划</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2023-2025年</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环境影响报告书》中的地表水监测数据</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见</w:t>
            </w:r>
            <w:r>
              <w:rPr>
                <w:rFonts w:hint="default" w:ascii="Times New Roman" w:hAnsi="Times New Roman" w:cs="Times New Roman"/>
                <w:b/>
                <w:bCs/>
                <w:color w:val="auto"/>
                <w:sz w:val="24"/>
                <w:szCs w:val="24"/>
                <w:highlight w:val="none"/>
              </w:rPr>
              <w:t>附件</w:t>
            </w:r>
            <w:r>
              <w:rPr>
                <w:rFonts w:hint="eastAsia" w:cs="Times New Roman"/>
                <w:b/>
                <w:bCs/>
                <w:color w:val="auto"/>
                <w:sz w:val="24"/>
                <w:szCs w:val="24"/>
                <w:highlight w:val="none"/>
                <w:lang w:val="en-US" w:eastAsia="zh-CN"/>
              </w:rPr>
              <w:t>五</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共</w:t>
            </w:r>
            <w:r>
              <w:rPr>
                <w:rFonts w:hint="default" w:ascii="Times New Roman" w:hAnsi="Times New Roman" w:cs="Times New Roman"/>
                <w:color w:val="auto"/>
                <w:sz w:val="24"/>
                <w:szCs w:val="24"/>
              </w:rPr>
              <w:t>布设了3个地表水监测点位</w:t>
            </w:r>
            <w:r>
              <w:rPr>
                <w:rFonts w:hint="eastAsia" w:cs="Times New Roman"/>
                <w:color w:val="auto"/>
                <w:sz w:val="24"/>
                <w:szCs w:val="24"/>
                <w:lang w:eastAsia="zh-CN"/>
              </w:rPr>
              <w:t>，</w:t>
            </w:r>
            <w:r>
              <w:rPr>
                <w:rFonts w:hint="eastAsia" w:cs="Times New Roman"/>
                <w:color w:val="auto"/>
                <w:sz w:val="24"/>
                <w:szCs w:val="24"/>
                <w:lang w:val="en-US" w:eastAsia="zh-CN"/>
              </w:rPr>
              <w:t>本次引用距项目最近处W2（奎屯河断面）监测数据，监测点位坐标</w:t>
            </w:r>
            <w:r>
              <w:rPr>
                <w:rFonts w:hint="default" w:ascii="Times New Roman" w:hAnsi="Times New Roman" w:cs="Times New Roman"/>
                <w:color w:val="auto"/>
                <w:sz w:val="24"/>
                <w:szCs w:val="24"/>
                <w:vertAlign w:val="baseline"/>
                <w:lang w:val="en-US" w:eastAsia="zh-CN"/>
              </w:rPr>
              <w:t>E84°</w:t>
            </w:r>
            <w:r>
              <w:rPr>
                <w:rFonts w:hint="eastAsia" w:cs="Times New Roman"/>
                <w:color w:val="auto"/>
                <w:sz w:val="24"/>
                <w:szCs w:val="24"/>
                <w:vertAlign w:val="baseline"/>
                <w:lang w:val="en-US" w:eastAsia="zh-CN"/>
              </w:rPr>
              <w:t>44</w:t>
            </w:r>
            <w:r>
              <w:rPr>
                <w:rFonts w:hint="default" w:ascii="Times New Roman" w:hAnsi="Times New Roman" w:cs="Times New Roman"/>
                <w:color w:val="auto"/>
                <w:sz w:val="24"/>
                <w:szCs w:val="24"/>
                <w:vertAlign w:val="baseline"/>
                <w:lang w:val="en-US" w:eastAsia="zh-CN"/>
              </w:rPr>
              <w:t>′</w:t>
            </w:r>
            <w:r>
              <w:rPr>
                <w:rFonts w:hint="eastAsia" w:cs="Times New Roman"/>
                <w:color w:val="auto"/>
                <w:sz w:val="24"/>
                <w:szCs w:val="24"/>
                <w:vertAlign w:val="baseline"/>
                <w:lang w:val="en-US" w:eastAsia="zh-CN"/>
              </w:rPr>
              <w:t>42.27</w:t>
            </w:r>
            <w:r>
              <w:rPr>
                <w:rFonts w:hint="default" w:ascii="Times New Roman" w:hAnsi="Times New Roman" w:cs="Times New Roman"/>
                <w:color w:val="auto"/>
                <w:sz w:val="24"/>
                <w:szCs w:val="24"/>
                <w:vertAlign w:val="baseline"/>
                <w:lang w:val="en-US" w:eastAsia="zh-CN"/>
              </w:rPr>
              <w:t>″，N44°</w:t>
            </w:r>
            <w:r>
              <w:rPr>
                <w:rFonts w:hint="eastAsia" w:cs="Times New Roman"/>
                <w:color w:val="auto"/>
                <w:sz w:val="24"/>
                <w:szCs w:val="24"/>
                <w:vertAlign w:val="baseline"/>
                <w:lang w:val="en-US" w:eastAsia="zh-CN"/>
              </w:rPr>
              <w:t>42</w:t>
            </w:r>
            <w:r>
              <w:rPr>
                <w:rFonts w:hint="default" w:ascii="Times New Roman" w:hAnsi="Times New Roman" w:cs="Times New Roman"/>
                <w:color w:val="auto"/>
                <w:sz w:val="24"/>
                <w:szCs w:val="24"/>
                <w:vertAlign w:val="baseline"/>
                <w:lang w:val="en-US" w:eastAsia="zh-CN"/>
              </w:rPr>
              <w:t>′</w:t>
            </w:r>
            <w:r>
              <w:rPr>
                <w:rFonts w:hint="eastAsia" w:cs="Times New Roman"/>
                <w:color w:val="auto"/>
                <w:sz w:val="24"/>
                <w:szCs w:val="24"/>
                <w:vertAlign w:val="baseline"/>
                <w:lang w:val="en-US" w:eastAsia="zh-CN"/>
              </w:rPr>
              <w:t>18.67</w:t>
            </w:r>
            <w:r>
              <w:rPr>
                <w:rFonts w:hint="default" w:ascii="Times New Roman" w:hAnsi="Times New Roman" w:cs="Times New Roman"/>
                <w:color w:val="auto"/>
                <w:sz w:val="24"/>
                <w:szCs w:val="24"/>
                <w:vertAlign w:val="baseline"/>
                <w:lang w:val="en-US" w:eastAsia="zh-CN"/>
              </w:rPr>
              <w:t>″</w:t>
            </w:r>
            <w:r>
              <w:rPr>
                <w:rFonts w:hint="default" w:ascii="Times New Roman" w:hAnsi="Times New Roman" w:cs="Times New Roman"/>
                <w:color w:val="auto"/>
                <w:sz w:val="24"/>
                <w:szCs w:val="24"/>
              </w:rPr>
              <w:t>，监测点位</w:t>
            </w:r>
            <w:r>
              <w:rPr>
                <w:rFonts w:hint="eastAsia" w:cs="Times New Roman"/>
                <w:color w:val="auto"/>
                <w:sz w:val="24"/>
                <w:szCs w:val="24"/>
                <w:lang w:val="en-US" w:eastAsia="zh-CN"/>
              </w:rPr>
              <w:t>位于项目区26.5km处，</w:t>
            </w:r>
            <w:r>
              <w:rPr>
                <w:rFonts w:hint="default" w:ascii="Times New Roman" w:hAnsi="Times New Roman" w:cs="Times New Roman"/>
                <w:color w:val="auto"/>
                <w:sz w:val="24"/>
                <w:szCs w:val="24"/>
              </w:rPr>
              <w:t>监测点位示意图见</w:t>
            </w:r>
            <w:r>
              <w:rPr>
                <w:rFonts w:hint="default" w:ascii="Times New Roman" w:hAnsi="Times New Roman" w:cs="Times New Roman"/>
                <w:b/>
                <w:bCs/>
                <w:color w:val="auto"/>
                <w:sz w:val="24"/>
                <w:szCs w:val="24"/>
              </w:rPr>
              <w:t>附图</w:t>
            </w:r>
            <w:r>
              <w:rPr>
                <w:rFonts w:hint="eastAsia" w:cs="Times New Roman"/>
                <w:b/>
                <w:bCs/>
                <w:color w:val="auto"/>
                <w:sz w:val="24"/>
                <w:szCs w:val="24"/>
                <w:lang w:val="en-US" w:eastAsia="zh-CN"/>
              </w:rPr>
              <w:t>9</w:t>
            </w:r>
            <w:r>
              <w:rPr>
                <w:rFonts w:hint="default" w:ascii="Times New Roman" w:hAnsi="Times New Roman" w:cs="Times New Roman"/>
                <w:color w:val="auto"/>
                <w:sz w:val="24"/>
                <w:szCs w:val="24"/>
              </w:rPr>
              <w:t>。</w:t>
            </w:r>
          </w:p>
          <w:p w14:paraId="0AC050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cs="Times New Roman"/>
                <w:b/>
                <w:bCs/>
                <w:color w:val="auto"/>
                <w:sz w:val="24"/>
                <w:szCs w:val="24"/>
                <w:lang w:val="en-US" w:eastAsia="zh-CN"/>
              </w:rPr>
            </w:pPr>
            <w:r>
              <w:rPr>
                <w:rFonts w:hint="eastAsia" w:cs="Times New Roman"/>
                <w:b/>
                <w:bCs/>
                <w:color w:val="auto"/>
                <w:sz w:val="24"/>
                <w:szCs w:val="24"/>
                <w:lang w:val="en-US" w:eastAsia="zh-CN"/>
              </w:rPr>
              <w:t>2.1 采样时间和监测因子</w:t>
            </w:r>
          </w:p>
          <w:p w14:paraId="5ADAB5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color w:val="auto"/>
                <w:sz w:val="24"/>
                <w:szCs w:val="24"/>
                <w:lang w:val="en-US" w:eastAsia="zh-CN"/>
              </w:rPr>
            </w:pPr>
            <w:r>
              <w:rPr>
                <w:rFonts w:hint="eastAsia" w:cs="Times New Roman"/>
                <w:color w:val="auto"/>
                <w:sz w:val="24"/>
                <w:szCs w:val="24"/>
                <w:lang w:val="en-US" w:eastAsia="zh-CN"/>
              </w:rPr>
              <w:t>监测时间：采样时间为2023年5月16日，监测单位：新疆西域质信检验检测有限公司。</w:t>
            </w:r>
          </w:p>
          <w:p w14:paraId="64808B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color w:val="auto"/>
                <w:sz w:val="24"/>
                <w:szCs w:val="24"/>
                <w:lang w:val="en-US" w:eastAsia="zh-CN"/>
              </w:rPr>
            </w:pPr>
            <w:r>
              <w:rPr>
                <w:rFonts w:hint="eastAsia" w:cs="Times New Roman"/>
                <w:color w:val="auto"/>
                <w:sz w:val="24"/>
                <w:szCs w:val="24"/>
                <w:lang w:val="en-US" w:eastAsia="zh-CN"/>
              </w:rPr>
              <w:t>监测因子：水温、pH、溶解氧、高锰酸盐指数、氨氮、化学需氧量、五日生化需氧量、氟化物、氯化物、硫酸盐、硝酸盐、挥发酚、氰化物、六价铬、硫化物、总磷、总氮、石油类、汞、砷、硒、铁、锰、镉、铜、铅、锌、阴离子表面活性剂、粪大肠菌群、苯、甲苯、二甲苯、苯并[a]芘共33项。</w:t>
            </w:r>
          </w:p>
          <w:p w14:paraId="1E1E3D6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2.</w:t>
            </w:r>
            <w:r>
              <w:rPr>
                <w:rFonts w:hint="eastAsia" w:cs="Times New Roman"/>
                <w:b/>
                <w:bCs/>
                <w:color w:val="auto"/>
                <w:sz w:val="24"/>
                <w:szCs w:val="24"/>
                <w:lang w:val="en-US" w:eastAsia="zh-CN"/>
              </w:rPr>
              <w:t>2</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rPr>
              <w:t>分析方法</w:t>
            </w:r>
          </w:p>
          <w:p w14:paraId="2FEB86FB">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采样分析方法依照国家环保局《环境水质监测质量保证手册》和《水和废水监测分析方法》的规定进行。</w:t>
            </w:r>
          </w:p>
          <w:p w14:paraId="5EAAB59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2.</w:t>
            </w:r>
            <w:r>
              <w:rPr>
                <w:rFonts w:hint="eastAsia"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rPr>
              <w:t>评价标准及评价方法</w:t>
            </w:r>
          </w:p>
          <w:p w14:paraId="095D0B8E">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依据《新疆水环境功能区划》，</w:t>
            </w:r>
            <w:r>
              <w:rPr>
                <w:rFonts w:hint="eastAsia" w:cs="Times New Roman"/>
                <w:color w:val="auto"/>
                <w:sz w:val="24"/>
                <w:szCs w:val="24"/>
                <w:lang w:val="en-US" w:eastAsia="zh-CN"/>
              </w:rPr>
              <w:t>奎屯</w:t>
            </w:r>
            <w:r>
              <w:rPr>
                <w:rFonts w:hint="eastAsia" w:ascii="Times New Roman" w:hAnsi="Times New Roman" w:cs="Times New Roman"/>
                <w:color w:val="auto"/>
                <w:sz w:val="24"/>
                <w:szCs w:val="24"/>
              </w:rPr>
              <w:t>河</w:t>
            </w:r>
            <w:r>
              <w:rPr>
                <w:rFonts w:hint="default" w:ascii="Times New Roman" w:hAnsi="Times New Roman" w:cs="Times New Roman"/>
                <w:color w:val="auto"/>
                <w:sz w:val="24"/>
                <w:szCs w:val="24"/>
              </w:rPr>
              <w:t>执行《地表水环境质量标准》（GB3838-2002）Ⅲ类标准。评价方法采用单项标准指数法，模式如下：</w:t>
            </w:r>
          </w:p>
          <w:p w14:paraId="213BC714">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（1）</w:t>
            </w:r>
            <w:r>
              <w:rPr>
                <w:rFonts w:hint="default" w:ascii="Times New Roman" w:hAnsi="Times New Roman" w:cs="Times New Roman"/>
                <w:color w:val="auto"/>
                <w:sz w:val="24"/>
                <w:szCs w:val="24"/>
              </w:rPr>
              <w:t>一般因子标准指数评价模式：</w:t>
            </w:r>
          </w:p>
          <w:p w14:paraId="474AF7C4">
            <w:pPr>
              <w:keepNext w:val="0"/>
              <w:keepLines w:val="0"/>
              <w:suppressLineNumbers w:val="0"/>
              <w:autoSpaceDE w:val="0"/>
              <w:autoSpaceDN w:val="0"/>
              <w:spacing w:before="0" w:beforeAutospacing="0" w:after="0" w:afterAutospacing="0" w:line="240" w:lineRule="auto"/>
              <w:ind w:left="0" w:right="0" w:firstLine="0"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position w:val="-32"/>
                <w:sz w:val="24"/>
                <w:szCs w:val="24"/>
              </w:rPr>
              <w:object>
                <v:shape id="_x0000_i1025" o:spt="75" type="#_x0000_t75" style="height:36pt;width:44pt;" o:ole="t" filled="f" o:preferrelative="t" stroked="f" coordsize="21600,21600">
                  <v:path/>
                  <v:fill on="f" focussize="0,0"/>
                  <v:stroke on="f"/>
                  <v:imagedata r:id="rId29" o:title=""/>
                  <o:lock v:ext="edit" grouping="f" rotation="f" text="f" aspectratio="t"/>
                  <w10:wrap type="none"/>
                  <w10:anchorlock/>
                </v:shape>
                <o:OLEObject Type="Embed" ProgID="Equation.3" ShapeID="_x0000_i1025" DrawAspect="Content" ObjectID="_1468075725" r:id="rId28">
                  <o:LockedField>false</o:LockedField>
                </o:OLEObject>
              </w:object>
            </w:r>
          </w:p>
          <w:p w14:paraId="07A63E8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式中：S</w:t>
            </w:r>
            <w:r>
              <w:rPr>
                <w:rFonts w:hint="default" w:ascii="Times New Roman" w:hAnsi="Times New Roman" w:cs="Times New Roman"/>
                <w:color w:val="auto"/>
                <w:sz w:val="24"/>
                <w:szCs w:val="24"/>
                <w:vertAlign w:val="subscript"/>
              </w:rPr>
              <w:t>ij</w:t>
            </w:r>
            <w:r>
              <w:rPr>
                <w:rFonts w:hint="default" w:ascii="Times New Roman" w:hAnsi="Times New Roman" w:cs="Times New Roman"/>
                <w:color w:val="auto"/>
                <w:sz w:val="24"/>
                <w:szCs w:val="24"/>
              </w:rPr>
              <w:t>——单项水质参数i在j监测点的标准指数；</w:t>
            </w:r>
          </w:p>
          <w:p w14:paraId="37CC80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1200" w:firstLineChars="5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w:t>
            </w:r>
            <w:r>
              <w:rPr>
                <w:rFonts w:hint="default" w:ascii="Times New Roman" w:hAnsi="Times New Roman" w:cs="Times New Roman"/>
                <w:color w:val="auto"/>
                <w:sz w:val="24"/>
                <w:szCs w:val="24"/>
                <w:vertAlign w:val="subscript"/>
              </w:rPr>
              <w:t>ij</w:t>
            </w:r>
            <w:r>
              <w:rPr>
                <w:rFonts w:hint="default" w:ascii="Times New Roman" w:hAnsi="Times New Roman" w:cs="Times New Roman"/>
                <w:color w:val="auto"/>
                <w:sz w:val="24"/>
                <w:szCs w:val="24"/>
              </w:rPr>
              <w:t>——i污染物在j监测点的浓度，mg/L；</w:t>
            </w:r>
          </w:p>
          <w:p w14:paraId="562ACA6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1200" w:firstLineChars="5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w:t>
            </w:r>
            <w:r>
              <w:rPr>
                <w:rFonts w:hint="default" w:ascii="Times New Roman" w:hAnsi="Times New Roman" w:cs="Times New Roman"/>
                <w:color w:val="auto"/>
                <w:sz w:val="24"/>
                <w:szCs w:val="24"/>
                <w:vertAlign w:val="subscript"/>
              </w:rPr>
              <w:t>si</w:t>
            </w:r>
            <w:r>
              <w:rPr>
                <w:rFonts w:hint="default" w:ascii="Times New Roman" w:hAnsi="Times New Roman" w:cs="Times New Roman"/>
                <w:color w:val="auto"/>
                <w:sz w:val="24"/>
                <w:szCs w:val="24"/>
              </w:rPr>
              <w:t>——i污染物评价标准，mg/L。</w:t>
            </w:r>
          </w:p>
          <w:p w14:paraId="01BE29A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（2）pH的标准指数评价模式：</w:t>
            </w:r>
          </w:p>
          <w:p w14:paraId="5740E019">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60" w:lineRule="auto"/>
              <w:ind w:left="0" w:right="0" w:firstLine="0" w:firstLineChar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object>
                <v:shape id="_x0000_i1026" o:spt="75" type="#_x0000_t75" style="height:36pt;width:92pt;" o:ole="t" filled="f" o:preferrelative="t" stroked="f" coordsize="21600,21600">
                  <v:path/>
                  <v:fill on="f" focussize="0,0"/>
                  <v:stroke on="f"/>
                  <v:imagedata r:id="rId31" o:title=""/>
                  <o:lock v:ext="edit" grouping="f" rotation="f" text="f" aspectratio="t"/>
                  <w10:wrap type="none"/>
                  <w10:anchorlock/>
                </v:shape>
                <o:OLEObject Type="Embed" ProgID="Equation.3" ShapeID="_x0000_i1026" DrawAspect="Content" ObjectID="_1468075726" r:id="rId30">
                  <o:LockedField>false</o:LockedField>
                </o:OLEObject>
              </w:objec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rPr>
              <w:object>
                <v:shape id="_x0000_i1027" o:spt="75" type="#_x0000_t75" style="height:19pt;width:54pt;" o:ole="t" filled="f" o:preferrelative="t" stroked="f" coordsize="21600,21600">
                  <v:path/>
                  <v:fill on="f" focussize="0,0"/>
                  <v:stroke on="f"/>
                  <v:imagedata r:id="rId33" o:title=""/>
                  <o:lock v:ext="edit" grouping="f" rotation="f" text="f" aspectratio="t"/>
                  <w10:wrap type="none"/>
                  <w10:anchorlock/>
                </v:shape>
                <o:OLEObject Type="Embed" ProgID="Equation.3" ShapeID="_x0000_i1027" DrawAspect="Content" ObjectID="_1468075727" r:id="rId32">
                  <o:LockedField>false</o:LockedField>
                </o:OLEObject>
              </w:object>
            </w:r>
          </w:p>
          <w:p w14:paraId="1A29AF82">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60" w:lineRule="auto"/>
              <w:ind w:left="0" w:right="0" w:firstLine="0" w:firstLineChar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object>
                <v:shape id="_x0000_i1028" o:spt="75" type="#_x0000_t75" style="height:36pt;width:88pt;" o:ole="t" filled="f" o:preferrelative="t" stroked="f" coordsize="21600,21600">
                  <v:path/>
                  <v:fill on="f" focussize="0,0"/>
                  <v:stroke on="f"/>
                  <v:imagedata r:id="rId35" o:title=""/>
                  <o:lock v:ext="edit" grouping="f" rotation="f" text="f" aspectratio="t"/>
                  <w10:wrap type="none"/>
                  <w10:anchorlock/>
                </v:shape>
                <o:OLEObject Type="Embed" ProgID="Equation.3" ShapeID="_x0000_i1028" DrawAspect="Content" ObjectID="_1468075728" r:id="rId34">
                  <o:LockedField>false</o:LockedField>
                </o:OLEObject>
              </w:objec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rPr>
              <w:object>
                <v:shape id="_x0000_i1029" o:spt="75" type="#_x0000_t75" style="height:19pt;width:54pt;" o:ole="t" filled="f" o:preferrelative="t" stroked="f" coordsize="21600,21600">
                  <v:path/>
                  <v:fill on="f" focussize="0,0"/>
                  <v:stroke on="f"/>
                  <v:imagedata r:id="rId37" o:title=""/>
                  <o:lock v:ext="edit" grouping="f" rotation="f" text="f" aspectratio="t"/>
                  <w10:wrap type="none"/>
                  <w10:anchorlock/>
                </v:shape>
                <o:OLEObject Type="Embed" ProgID="Equation.3" ShapeID="_x0000_i1029" DrawAspect="Content" ObjectID="_1468075729" r:id="rId36">
                  <o:LockedField>false</o:LockedField>
                </o:OLEObject>
              </w:object>
            </w:r>
          </w:p>
          <w:p w14:paraId="0D02218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式中：SpH</w:t>
            </w:r>
            <w:r>
              <w:rPr>
                <w:rFonts w:hint="default" w:ascii="Times New Roman" w:hAnsi="Times New Roman" w:cs="Times New Roman"/>
                <w:color w:val="auto"/>
                <w:sz w:val="24"/>
                <w:szCs w:val="24"/>
                <w:vertAlign w:val="subscript"/>
              </w:rPr>
              <w:t>j</w:t>
            </w:r>
            <w:r>
              <w:rPr>
                <w:rFonts w:hint="default" w:ascii="Times New Roman" w:hAnsi="Times New Roman" w:cs="Times New Roman"/>
                <w:color w:val="auto"/>
                <w:sz w:val="24"/>
                <w:szCs w:val="24"/>
              </w:rPr>
              <w:t>——pH在第i监测点的标准指数；</w:t>
            </w:r>
          </w:p>
          <w:p w14:paraId="2739F0B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1200" w:firstLineChars="5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pH</w:t>
            </w:r>
            <w:r>
              <w:rPr>
                <w:rFonts w:hint="default" w:ascii="Times New Roman" w:hAnsi="Times New Roman" w:cs="Times New Roman"/>
                <w:color w:val="auto"/>
                <w:sz w:val="24"/>
                <w:szCs w:val="24"/>
                <w:vertAlign w:val="subscript"/>
              </w:rPr>
              <w:t>j</w:t>
            </w:r>
            <w:r>
              <w:rPr>
                <w:rFonts w:hint="default" w:ascii="Times New Roman" w:hAnsi="Times New Roman" w:cs="Times New Roman"/>
                <w:color w:val="auto"/>
                <w:sz w:val="24"/>
                <w:szCs w:val="24"/>
              </w:rPr>
              <w:t>——j监测点实测的pH值；</w:t>
            </w:r>
          </w:p>
          <w:p w14:paraId="084395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1200" w:firstLineChars="5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pH</w:t>
            </w:r>
            <w:r>
              <w:rPr>
                <w:rFonts w:hint="default" w:ascii="Times New Roman" w:hAnsi="Times New Roman" w:cs="Times New Roman"/>
                <w:color w:val="auto"/>
                <w:sz w:val="24"/>
                <w:szCs w:val="24"/>
                <w:vertAlign w:val="subscript"/>
              </w:rPr>
              <w:t>sd</w:t>
            </w:r>
            <w:r>
              <w:rPr>
                <w:rFonts w:hint="default" w:ascii="Times New Roman" w:hAnsi="Times New Roman" w:cs="Times New Roman"/>
                <w:color w:val="auto"/>
                <w:sz w:val="24"/>
                <w:szCs w:val="24"/>
              </w:rPr>
              <w:t>——评价标准规定的pH下限；</w:t>
            </w:r>
          </w:p>
          <w:p w14:paraId="145BA4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1200" w:firstLineChars="5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pH</w:t>
            </w:r>
            <w:r>
              <w:rPr>
                <w:rFonts w:hint="default" w:ascii="Times New Roman" w:hAnsi="Times New Roman" w:cs="Times New Roman"/>
                <w:color w:val="auto"/>
                <w:sz w:val="24"/>
                <w:szCs w:val="24"/>
                <w:vertAlign w:val="subscript"/>
              </w:rPr>
              <w:t>su</w:t>
            </w:r>
            <w:r>
              <w:rPr>
                <w:rFonts w:hint="default" w:ascii="Times New Roman" w:hAnsi="Times New Roman" w:cs="Times New Roman"/>
                <w:color w:val="auto"/>
                <w:sz w:val="24"/>
                <w:szCs w:val="24"/>
              </w:rPr>
              <w:t>——评价标准规定的pH上限。</w:t>
            </w:r>
          </w:p>
          <w:p w14:paraId="71192E1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（3）溶解氧的标准指数评价模式：</w:t>
            </w:r>
          </w:p>
          <w:p w14:paraId="3C4458E8">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60" w:lineRule="auto"/>
              <w:ind w:left="0" w:right="0" w:firstLine="0" w:firstLineChar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object>
                <v:shape id="_x0000_i1030" o:spt="75" type="#_x0000_t75" style="height:36pt;width:85.95pt;" o:ole="t" filled="f" o:preferrelative="t" stroked="f" coordsize="21600,21600">
                  <v:path/>
                  <v:fill on="f" focussize="0,0"/>
                  <v:stroke on="f"/>
                  <v:imagedata r:id="rId39" o:title=""/>
                  <o:lock v:ext="edit" aspectratio="t"/>
                  <w10:wrap type="none"/>
                  <w10:anchorlock/>
                </v:shape>
                <o:OLEObject Type="Embed" ProgID="Equation.3" ShapeID="_x0000_i1030" DrawAspect="Content" ObjectID="_1468075730" r:id="rId38">
                  <o:LockedField>false</o:LockedField>
                </o:OLEObject>
              </w:object>
            </w:r>
          </w:p>
          <w:p w14:paraId="0753EBA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式中：P</w:t>
            </w:r>
            <w:r>
              <w:rPr>
                <w:rFonts w:hint="default" w:ascii="Times New Roman" w:hAnsi="Times New Roman" w:cs="Times New Roman"/>
                <w:color w:val="auto"/>
                <w:sz w:val="24"/>
                <w:szCs w:val="24"/>
                <w:vertAlign w:val="subscript"/>
              </w:rPr>
              <w:t>i</w:t>
            </w:r>
            <w:r>
              <w:rPr>
                <w:rFonts w:hint="default" w:ascii="Times New Roman" w:hAnsi="Times New Roman" w:cs="Times New Roman"/>
                <w:color w:val="auto"/>
                <w:sz w:val="24"/>
                <w:szCs w:val="24"/>
              </w:rPr>
              <w:t>——溶解氧在第i监测点的标准指数；</w:t>
            </w:r>
          </w:p>
          <w:p w14:paraId="0C14FFB9">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60" w:lineRule="auto"/>
              <w:ind w:left="0" w:right="0" w:firstLine="1200" w:firstLineChars="5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w:t>
            </w:r>
            <w:r>
              <w:rPr>
                <w:rFonts w:hint="default" w:ascii="Times New Roman" w:hAnsi="Times New Roman" w:cs="Times New Roman"/>
                <w:color w:val="auto"/>
                <w:sz w:val="24"/>
                <w:szCs w:val="24"/>
                <w:vertAlign w:val="subscript"/>
              </w:rPr>
              <w:t>饱</w:t>
            </w:r>
            <w:r>
              <w:rPr>
                <w:rFonts w:hint="default" w:ascii="Times New Roman" w:hAnsi="Times New Roman" w:cs="Times New Roman"/>
                <w:color w:val="auto"/>
                <w:sz w:val="24"/>
                <w:szCs w:val="24"/>
              </w:rPr>
              <w:t>——监测温度下的饱和溶解氧，5℃时，CO饱=12.74；</w:t>
            </w:r>
          </w:p>
          <w:p w14:paraId="6D1B1C1F">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60" w:lineRule="auto"/>
              <w:ind w:left="0" w:right="0" w:firstLine="1200" w:firstLineChars="5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w:t>
            </w:r>
            <w:r>
              <w:rPr>
                <w:rFonts w:hint="default" w:ascii="Times New Roman" w:hAnsi="Times New Roman" w:cs="Times New Roman"/>
                <w:color w:val="auto"/>
                <w:sz w:val="24"/>
                <w:szCs w:val="24"/>
                <w:vertAlign w:val="subscript"/>
              </w:rPr>
              <w:t>i</w:t>
            </w:r>
            <w:r>
              <w:rPr>
                <w:rFonts w:hint="default" w:ascii="Times New Roman" w:hAnsi="Times New Roman" w:cs="Times New Roman"/>
                <w:color w:val="auto"/>
                <w:sz w:val="24"/>
                <w:szCs w:val="24"/>
              </w:rPr>
              <w:t>——监测点i的溶解氧实测值；</w:t>
            </w:r>
          </w:p>
          <w:p w14:paraId="2292E74E">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60" w:lineRule="auto"/>
              <w:ind w:left="0" w:right="0" w:firstLine="1200" w:firstLineChars="5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w:t>
            </w:r>
            <w:r>
              <w:rPr>
                <w:rFonts w:hint="default" w:ascii="Times New Roman" w:hAnsi="Times New Roman" w:cs="Times New Roman"/>
                <w:color w:val="auto"/>
                <w:sz w:val="24"/>
                <w:szCs w:val="24"/>
                <w:vertAlign w:val="subscript"/>
              </w:rPr>
              <w:t>标</w:t>
            </w:r>
            <w:r>
              <w:rPr>
                <w:rFonts w:hint="default" w:ascii="Times New Roman" w:hAnsi="Times New Roman" w:cs="Times New Roman"/>
                <w:color w:val="auto"/>
                <w:sz w:val="24"/>
                <w:szCs w:val="24"/>
              </w:rPr>
              <w:t>——地表水溶解氧标准。</w:t>
            </w:r>
          </w:p>
          <w:p w14:paraId="4B2FD570">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2.</w:t>
            </w:r>
            <w:r>
              <w:rPr>
                <w:rFonts w:hint="eastAsia" w:cs="Times New Roman"/>
                <w:b/>
                <w:bCs/>
                <w:color w:val="auto"/>
                <w:sz w:val="24"/>
                <w:szCs w:val="24"/>
                <w:lang w:val="en-US" w:eastAsia="zh-CN"/>
              </w:rPr>
              <w:t>4</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rPr>
              <w:t>监测及评价结果</w:t>
            </w:r>
          </w:p>
          <w:p w14:paraId="176DFC3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right="0" w:firstLine="48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地表水监测及评价结果见表</w:t>
            </w:r>
            <w:r>
              <w:rPr>
                <w:rFonts w:hint="eastAsia" w:ascii="Times New Roman" w:hAnsi="Times New Roman" w:cs="Times New Roman"/>
                <w:color w:val="auto"/>
                <w:sz w:val="24"/>
                <w:szCs w:val="24"/>
                <w:lang w:val="en-US" w:eastAsia="zh-CN"/>
              </w:rPr>
              <w:t>3-</w:t>
            </w:r>
            <w:r>
              <w:rPr>
                <w:rFonts w:hint="eastAsia" w:cs="Times New Roman"/>
                <w:color w:val="auto"/>
                <w:sz w:val="24"/>
                <w:szCs w:val="24"/>
                <w:lang w:val="en-US" w:eastAsia="zh-CN"/>
              </w:rPr>
              <w:t>4</w:t>
            </w:r>
            <w:r>
              <w:rPr>
                <w:rFonts w:hint="default" w:ascii="Times New Roman" w:hAnsi="Times New Roman" w:cs="Times New Roman"/>
                <w:color w:val="auto"/>
                <w:sz w:val="24"/>
                <w:szCs w:val="24"/>
              </w:rPr>
              <w:t>。</w:t>
            </w:r>
          </w:p>
          <w:p w14:paraId="51A1B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jc w:val="center"/>
              <w:textAlignment w:val="auto"/>
              <w:rPr>
                <w:rFonts w:hint="default" w:ascii="Times New Roman" w:hAnsi="Times New Roman" w:cs="Times New Roman"/>
                <w:b/>
                <w:bCs/>
                <w:color w:val="auto"/>
              </w:rPr>
            </w:pPr>
            <w:r>
              <w:rPr>
                <w:rFonts w:hint="default" w:ascii="Times New Roman" w:hAnsi="Times New Roman" w:eastAsia="宋体" w:cs="Times New Roman"/>
                <w:b/>
                <w:color w:val="auto"/>
              </w:rPr>
              <w:t>表</w:t>
            </w:r>
            <w:r>
              <w:rPr>
                <w:rFonts w:hint="default" w:ascii="Times New Roman" w:hAnsi="Times New Roman" w:eastAsia="宋体" w:cs="Times New Roman"/>
                <w:b/>
                <w:color w:val="auto"/>
                <w:lang w:val="en-US" w:eastAsia="zh-CN"/>
              </w:rPr>
              <w:t>3</w:t>
            </w:r>
            <w:r>
              <w:rPr>
                <w:rFonts w:hint="eastAsia" w:ascii="Times New Roman" w:hAnsi="Times New Roman" w:eastAsia="宋体" w:cs="Times New Roman"/>
                <w:b/>
                <w:color w:val="auto"/>
                <w:lang w:val="en-US" w:eastAsia="zh-CN"/>
              </w:rPr>
              <w:t>-</w:t>
            </w:r>
            <w:r>
              <w:rPr>
                <w:rFonts w:hint="eastAsia" w:cs="Times New Roman"/>
                <w:b/>
                <w:color w:val="auto"/>
                <w:lang w:val="en-US" w:eastAsia="zh-CN"/>
              </w:rPr>
              <w:t>4</w:t>
            </w:r>
            <w:r>
              <w:rPr>
                <w:rFonts w:hint="default" w:ascii="Times New Roman" w:hAnsi="Times New Roman" w:eastAsia="宋体" w:cs="Times New Roman"/>
                <w:b/>
                <w:color w:val="auto"/>
              </w:rPr>
              <w:t xml:space="preserve">  地表水水质监测数据统计</w:t>
            </w:r>
          </w:p>
          <w:tbl>
            <w:tblPr>
              <w:tblStyle w:val="39"/>
              <w:tblW w:w="4979" w:type="pct"/>
              <w:tblInd w:w="2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94"/>
              <w:gridCol w:w="2184"/>
              <w:gridCol w:w="1366"/>
              <w:gridCol w:w="1616"/>
              <w:gridCol w:w="1147"/>
              <w:gridCol w:w="1170"/>
            </w:tblGrid>
            <w:tr w14:paraId="51002D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vMerge w:val="restart"/>
                  <w:tcBorders>
                    <w:tl2br w:val="nil"/>
                    <w:tr2bl w:val="nil"/>
                  </w:tcBorders>
                  <w:noWrap w:val="0"/>
                  <w:vAlign w:val="center"/>
                </w:tcPr>
                <w:p w14:paraId="1A7BC10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序号</w:t>
                  </w:r>
                </w:p>
              </w:tc>
              <w:tc>
                <w:tcPr>
                  <w:tcW w:w="1335" w:type="pct"/>
                  <w:vMerge w:val="restart"/>
                  <w:tcBorders>
                    <w:tl2br w:val="nil"/>
                    <w:tr2bl w:val="nil"/>
                  </w:tcBorders>
                  <w:noWrap w:val="0"/>
                  <w:vAlign w:val="center"/>
                </w:tcPr>
                <w:p w14:paraId="672C213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监测项目</w:t>
                  </w:r>
                </w:p>
              </w:tc>
              <w:tc>
                <w:tcPr>
                  <w:tcW w:w="835" w:type="pct"/>
                  <w:vMerge w:val="restart"/>
                  <w:tcBorders>
                    <w:tl2br w:val="nil"/>
                    <w:tr2bl w:val="nil"/>
                  </w:tcBorders>
                  <w:noWrap w:val="0"/>
                  <w:vAlign w:val="center"/>
                </w:tcPr>
                <w:p w14:paraId="51512EF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eastAsia" w:ascii="Times New Roman" w:hAnsi="Times New Roman" w:eastAsia="宋体" w:cs="Times New Roman"/>
                      <w:b/>
                      <w:bCs/>
                      <w:color w:val="auto"/>
                      <w:kern w:val="0"/>
                      <w:sz w:val="21"/>
                      <w:szCs w:val="21"/>
                      <w:lang w:val="en-US" w:eastAsia="zh-CN"/>
                    </w:rPr>
                  </w:pPr>
                  <w:r>
                    <w:rPr>
                      <w:rFonts w:hint="eastAsia" w:cs="Times New Roman"/>
                      <w:b/>
                      <w:bCs/>
                      <w:color w:val="auto"/>
                      <w:kern w:val="0"/>
                      <w:sz w:val="21"/>
                      <w:szCs w:val="21"/>
                      <w:lang w:val="en-US" w:eastAsia="zh-CN"/>
                    </w:rPr>
                    <w:t>单位</w:t>
                  </w:r>
                </w:p>
              </w:tc>
              <w:tc>
                <w:tcPr>
                  <w:tcW w:w="988" w:type="pct"/>
                  <w:vMerge w:val="restart"/>
                  <w:tcBorders>
                    <w:tl2br w:val="nil"/>
                    <w:tr2bl w:val="nil"/>
                  </w:tcBorders>
                  <w:noWrap w:val="0"/>
                  <w:vAlign w:val="center"/>
                </w:tcPr>
                <w:p w14:paraId="5E75714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Ⅲ类标准</w:t>
                  </w:r>
                </w:p>
              </w:tc>
              <w:tc>
                <w:tcPr>
                  <w:tcW w:w="1414" w:type="pct"/>
                  <w:gridSpan w:val="2"/>
                  <w:tcBorders>
                    <w:tl2br w:val="nil"/>
                    <w:tr2bl w:val="nil"/>
                  </w:tcBorders>
                  <w:noWrap w:val="0"/>
                  <w:vAlign w:val="center"/>
                </w:tcPr>
                <w:p w14:paraId="043651EF">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eastAsia" w:ascii="Times New Roman" w:hAnsi="Times New Roman" w:eastAsia="宋体" w:cs="Times New Roman"/>
                      <w:b/>
                      <w:bCs/>
                      <w:color w:val="auto"/>
                      <w:kern w:val="0"/>
                      <w:sz w:val="21"/>
                      <w:szCs w:val="21"/>
                      <w:lang w:eastAsia="zh-CN"/>
                    </w:rPr>
                  </w:pPr>
                  <w:r>
                    <w:rPr>
                      <w:rFonts w:hint="eastAsia" w:cs="Times New Roman"/>
                      <w:b/>
                      <w:bCs/>
                      <w:color w:val="auto"/>
                      <w:kern w:val="0"/>
                      <w:sz w:val="21"/>
                      <w:szCs w:val="21"/>
                      <w:lang w:val="en-US" w:eastAsia="zh-CN"/>
                    </w:rPr>
                    <w:t>奎屯河</w:t>
                  </w:r>
                </w:p>
              </w:tc>
            </w:tr>
            <w:tr w14:paraId="62F159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vMerge w:val="continue"/>
                  <w:tcBorders>
                    <w:tl2br w:val="nil"/>
                    <w:tr2bl w:val="nil"/>
                  </w:tcBorders>
                  <w:shd w:val="clear" w:color="auto" w:fill="D7D7D7"/>
                  <w:noWrap w:val="0"/>
                  <w:vAlign w:val="center"/>
                </w:tcPr>
                <w:p w14:paraId="6CFAEFA2">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p>
              </w:tc>
              <w:tc>
                <w:tcPr>
                  <w:tcW w:w="1335" w:type="pct"/>
                  <w:vMerge w:val="continue"/>
                  <w:tcBorders>
                    <w:tl2br w:val="nil"/>
                    <w:tr2bl w:val="nil"/>
                  </w:tcBorders>
                  <w:shd w:val="clear" w:color="auto" w:fill="D7D7D7"/>
                  <w:noWrap w:val="0"/>
                  <w:vAlign w:val="center"/>
                </w:tcPr>
                <w:p w14:paraId="439F530C">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p>
              </w:tc>
              <w:tc>
                <w:tcPr>
                  <w:tcW w:w="835" w:type="pct"/>
                  <w:vMerge w:val="continue"/>
                  <w:tcBorders>
                    <w:tl2br w:val="nil"/>
                    <w:tr2bl w:val="nil"/>
                  </w:tcBorders>
                  <w:shd w:val="clear" w:color="auto" w:fill="D7D7D7"/>
                  <w:noWrap w:val="0"/>
                  <w:vAlign w:val="center"/>
                </w:tcPr>
                <w:p w14:paraId="7DB2566C">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p>
              </w:tc>
              <w:tc>
                <w:tcPr>
                  <w:tcW w:w="988" w:type="pct"/>
                  <w:vMerge w:val="continue"/>
                  <w:tcBorders>
                    <w:tl2br w:val="nil"/>
                    <w:tr2bl w:val="nil"/>
                  </w:tcBorders>
                  <w:shd w:val="clear" w:color="auto" w:fill="D7D7D7"/>
                  <w:noWrap w:val="0"/>
                  <w:vAlign w:val="center"/>
                </w:tcPr>
                <w:p w14:paraId="5E6944F6">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p>
              </w:tc>
              <w:tc>
                <w:tcPr>
                  <w:tcW w:w="701" w:type="pct"/>
                  <w:tcBorders>
                    <w:tl2br w:val="nil"/>
                    <w:tr2bl w:val="nil"/>
                  </w:tcBorders>
                  <w:noWrap w:val="0"/>
                  <w:vAlign w:val="center"/>
                </w:tcPr>
                <w:p w14:paraId="005A432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监测值</w:t>
                  </w:r>
                </w:p>
              </w:tc>
              <w:tc>
                <w:tcPr>
                  <w:tcW w:w="713" w:type="pct"/>
                  <w:tcBorders>
                    <w:tl2br w:val="nil"/>
                    <w:tr2bl w:val="nil"/>
                  </w:tcBorders>
                  <w:noWrap w:val="0"/>
                  <w:vAlign w:val="center"/>
                </w:tcPr>
                <w:p w14:paraId="66190DA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
                      <w:bCs/>
                      <w:color w:val="auto"/>
                      <w:kern w:val="0"/>
                      <w:sz w:val="21"/>
                      <w:szCs w:val="21"/>
                    </w:rPr>
                  </w:pPr>
                  <w:r>
                    <w:rPr>
                      <w:rFonts w:hint="default" w:ascii="Times New Roman" w:hAnsi="Times New Roman" w:cs="Times New Roman"/>
                      <w:b/>
                      <w:bCs/>
                      <w:color w:val="auto"/>
                      <w:kern w:val="0"/>
                      <w:sz w:val="21"/>
                      <w:szCs w:val="21"/>
                    </w:rPr>
                    <w:t>Si</w:t>
                  </w:r>
                </w:p>
              </w:tc>
            </w:tr>
            <w:tr w14:paraId="0464AF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67F6C570">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1</w:t>
                  </w:r>
                </w:p>
              </w:tc>
              <w:tc>
                <w:tcPr>
                  <w:tcW w:w="1335" w:type="pct"/>
                  <w:tcBorders>
                    <w:tl2br w:val="nil"/>
                    <w:tr2bl w:val="nil"/>
                  </w:tcBorders>
                  <w:shd w:val="clear" w:color="auto" w:fill="FFFFFF" w:themeFill="background1"/>
                  <w:noWrap w:val="0"/>
                  <w:vAlign w:val="center"/>
                </w:tcPr>
                <w:p w14:paraId="72F35961">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水温</w:t>
                  </w:r>
                </w:p>
              </w:tc>
              <w:tc>
                <w:tcPr>
                  <w:tcW w:w="835" w:type="pct"/>
                  <w:tcBorders>
                    <w:tl2br w:val="nil"/>
                    <w:tr2bl w:val="nil"/>
                  </w:tcBorders>
                  <w:shd w:val="clear" w:color="auto" w:fill="FFFFFF" w:themeFill="background1"/>
                  <w:noWrap w:val="0"/>
                  <w:vAlign w:val="center"/>
                </w:tcPr>
                <w:p w14:paraId="59EC09CC">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988" w:type="pct"/>
                  <w:tcBorders>
                    <w:tl2br w:val="nil"/>
                    <w:tr2bl w:val="nil"/>
                  </w:tcBorders>
                  <w:shd w:val="clear" w:color="auto" w:fill="FFFFFF" w:themeFill="background1"/>
                  <w:noWrap w:val="0"/>
                  <w:vAlign w:val="center"/>
                </w:tcPr>
                <w:p w14:paraId="009EB7C3">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701" w:type="pct"/>
                  <w:tcBorders>
                    <w:tl2br w:val="nil"/>
                    <w:tr2bl w:val="nil"/>
                  </w:tcBorders>
                  <w:noWrap w:val="0"/>
                  <w:vAlign w:val="center"/>
                </w:tcPr>
                <w:p w14:paraId="5846DE9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4.7</w:t>
                  </w:r>
                </w:p>
              </w:tc>
              <w:tc>
                <w:tcPr>
                  <w:tcW w:w="713" w:type="pct"/>
                  <w:tcBorders>
                    <w:tl2br w:val="nil"/>
                    <w:tr2bl w:val="nil"/>
                  </w:tcBorders>
                  <w:noWrap w:val="0"/>
                  <w:vAlign w:val="center"/>
                </w:tcPr>
                <w:p w14:paraId="650C702F">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w:t>
                  </w:r>
                </w:p>
              </w:tc>
            </w:tr>
            <w:tr w14:paraId="27C53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3282C78E">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2</w:t>
                  </w:r>
                </w:p>
              </w:tc>
              <w:tc>
                <w:tcPr>
                  <w:tcW w:w="1335" w:type="pct"/>
                  <w:tcBorders>
                    <w:tl2br w:val="nil"/>
                    <w:tr2bl w:val="nil"/>
                  </w:tcBorders>
                  <w:noWrap w:val="0"/>
                  <w:vAlign w:val="center"/>
                </w:tcPr>
                <w:p w14:paraId="5A026B74">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bCs/>
                      <w:snapToGrid w:val="0"/>
                      <w:color w:val="auto"/>
                      <w:sz w:val="21"/>
                      <w:szCs w:val="21"/>
                    </w:rPr>
                  </w:pPr>
                  <w:r>
                    <w:rPr>
                      <w:rFonts w:hint="default" w:ascii="Times New Roman" w:hAnsi="Times New Roman" w:cs="Times New Roman"/>
                      <w:bCs/>
                      <w:color w:val="auto"/>
                      <w:sz w:val="21"/>
                      <w:szCs w:val="21"/>
                    </w:rPr>
                    <w:t>pH</w:t>
                  </w:r>
                </w:p>
              </w:tc>
              <w:tc>
                <w:tcPr>
                  <w:tcW w:w="835" w:type="pct"/>
                  <w:tcBorders>
                    <w:tl2br w:val="nil"/>
                    <w:tr2bl w:val="nil"/>
                  </w:tcBorders>
                  <w:noWrap w:val="0"/>
                  <w:vAlign w:val="center"/>
                </w:tcPr>
                <w:p w14:paraId="3B60ACD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无量纲</w:t>
                  </w:r>
                </w:p>
              </w:tc>
              <w:tc>
                <w:tcPr>
                  <w:tcW w:w="988" w:type="pct"/>
                  <w:tcBorders>
                    <w:tl2br w:val="nil"/>
                    <w:tr2bl w:val="nil"/>
                  </w:tcBorders>
                  <w:noWrap w:val="0"/>
                  <w:vAlign w:val="center"/>
                </w:tcPr>
                <w:p w14:paraId="07A09AB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cs="Times New Roman"/>
                      <w:bCs/>
                      <w:snapToGrid w:val="0"/>
                      <w:color w:val="auto"/>
                      <w:sz w:val="21"/>
                      <w:szCs w:val="21"/>
                    </w:rPr>
                  </w:pPr>
                  <w:r>
                    <w:rPr>
                      <w:rFonts w:hint="default" w:ascii="Times New Roman" w:hAnsi="Times New Roman" w:cs="Times New Roman"/>
                      <w:bCs/>
                      <w:color w:val="auto"/>
                      <w:sz w:val="21"/>
                      <w:szCs w:val="21"/>
                    </w:rPr>
                    <w:t>6~9</w:t>
                  </w:r>
                </w:p>
              </w:tc>
              <w:tc>
                <w:tcPr>
                  <w:tcW w:w="701" w:type="pct"/>
                  <w:tcBorders>
                    <w:tl2br w:val="nil"/>
                    <w:tr2bl w:val="nil"/>
                  </w:tcBorders>
                  <w:noWrap w:val="0"/>
                  <w:vAlign w:val="center"/>
                </w:tcPr>
                <w:p w14:paraId="2B33475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7.9</w:t>
                  </w:r>
                </w:p>
              </w:tc>
              <w:tc>
                <w:tcPr>
                  <w:tcW w:w="713" w:type="pct"/>
                  <w:tcBorders>
                    <w:tl2br w:val="nil"/>
                    <w:tr2bl w:val="nil"/>
                  </w:tcBorders>
                  <w:noWrap w:val="0"/>
                  <w:vAlign w:val="center"/>
                </w:tcPr>
                <w:p w14:paraId="555ACC4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0.450</w:t>
                  </w:r>
                </w:p>
              </w:tc>
            </w:tr>
            <w:tr w14:paraId="13771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B7C57B8">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3</w:t>
                  </w:r>
                </w:p>
              </w:tc>
              <w:tc>
                <w:tcPr>
                  <w:tcW w:w="1335" w:type="pct"/>
                  <w:tcBorders>
                    <w:tl2br w:val="nil"/>
                    <w:tr2bl w:val="nil"/>
                  </w:tcBorders>
                  <w:noWrap w:val="0"/>
                  <w:vAlign w:val="center"/>
                </w:tcPr>
                <w:p w14:paraId="6FBEF34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Cs/>
                      <w:snapToGrid w:val="0"/>
                      <w:color w:val="auto"/>
                      <w:sz w:val="21"/>
                      <w:szCs w:val="21"/>
                    </w:rPr>
                  </w:pPr>
                  <w:r>
                    <w:rPr>
                      <w:rFonts w:hint="eastAsia" w:ascii="Times New Roman" w:hAnsi="Times New Roman" w:cs="Times New Roman"/>
                      <w:color w:val="auto"/>
                      <w:sz w:val="21"/>
                      <w:szCs w:val="21"/>
                    </w:rPr>
                    <w:t>溶解氧</w:t>
                  </w:r>
                </w:p>
              </w:tc>
              <w:tc>
                <w:tcPr>
                  <w:tcW w:w="835" w:type="pct"/>
                  <w:tcBorders>
                    <w:tl2br w:val="nil"/>
                    <w:tr2bl w:val="nil"/>
                  </w:tcBorders>
                  <w:noWrap w:val="0"/>
                  <w:vAlign w:val="center"/>
                </w:tcPr>
                <w:p w14:paraId="063142FC">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64142DD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Cs/>
                      <w:snapToGrid w:val="0"/>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5</w:t>
                  </w:r>
                </w:p>
              </w:tc>
              <w:tc>
                <w:tcPr>
                  <w:tcW w:w="701" w:type="pct"/>
                  <w:tcBorders>
                    <w:tl2br w:val="nil"/>
                    <w:tr2bl w:val="nil"/>
                  </w:tcBorders>
                  <w:noWrap w:val="0"/>
                  <w:vAlign w:val="center"/>
                </w:tcPr>
                <w:p w14:paraId="51A4E7B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7.76</w:t>
                  </w:r>
                </w:p>
              </w:tc>
              <w:tc>
                <w:tcPr>
                  <w:tcW w:w="713" w:type="pct"/>
                  <w:tcBorders>
                    <w:tl2br w:val="nil"/>
                    <w:tr2bl w:val="nil"/>
                  </w:tcBorders>
                  <w:noWrap w:val="0"/>
                  <w:vAlign w:val="center"/>
                </w:tcPr>
                <w:p w14:paraId="7FD326B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0.644</w:t>
                  </w:r>
                </w:p>
              </w:tc>
            </w:tr>
            <w:tr w14:paraId="65F8A3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6D3BD66">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4</w:t>
                  </w:r>
                </w:p>
              </w:tc>
              <w:tc>
                <w:tcPr>
                  <w:tcW w:w="1335" w:type="pct"/>
                  <w:tcBorders>
                    <w:tl2br w:val="nil"/>
                    <w:tr2bl w:val="nil"/>
                  </w:tcBorders>
                  <w:noWrap w:val="0"/>
                  <w:vAlign w:val="center"/>
                </w:tcPr>
                <w:p w14:paraId="05C3E02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bCs/>
                      <w:snapToGrid w:val="0"/>
                      <w:color w:val="auto"/>
                      <w:sz w:val="21"/>
                      <w:szCs w:val="21"/>
                    </w:rPr>
                  </w:pPr>
                  <w:r>
                    <w:rPr>
                      <w:rFonts w:hint="eastAsia" w:ascii="Times New Roman" w:hAnsi="Times New Roman" w:cs="Times New Roman"/>
                      <w:color w:val="auto"/>
                      <w:sz w:val="21"/>
                      <w:szCs w:val="21"/>
                    </w:rPr>
                    <w:t>高锰酸盐指数</w:t>
                  </w:r>
                </w:p>
              </w:tc>
              <w:tc>
                <w:tcPr>
                  <w:tcW w:w="835" w:type="pct"/>
                  <w:tcBorders>
                    <w:tl2br w:val="nil"/>
                    <w:tr2bl w:val="nil"/>
                  </w:tcBorders>
                  <w:noWrap w:val="0"/>
                  <w:vAlign w:val="center"/>
                </w:tcPr>
                <w:p w14:paraId="303F92EF">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4CB5E9E4">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Cs/>
                      <w:snapToGrid w:val="0"/>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6</w:t>
                  </w:r>
                </w:p>
              </w:tc>
              <w:tc>
                <w:tcPr>
                  <w:tcW w:w="701" w:type="pct"/>
                  <w:tcBorders>
                    <w:tl2br w:val="nil"/>
                    <w:tr2bl w:val="nil"/>
                  </w:tcBorders>
                  <w:noWrap w:val="0"/>
                  <w:vAlign w:val="center"/>
                </w:tcPr>
                <w:p w14:paraId="4A9158F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3.9</w:t>
                  </w:r>
                </w:p>
              </w:tc>
              <w:tc>
                <w:tcPr>
                  <w:tcW w:w="713" w:type="pct"/>
                  <w:tcBorders>
                    <w:tl2br w:val="nil"/>
                    <w:tr2bl w:val="nil"/>
                  </w:tcBorders>
                  <w:noWrap w:val="0"/>
                  <w:vAlign w:val="center"/>
                </w:tcPr>
                <w:p w14:paraId="04FDA28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0.650</w:t>
                  </w:r>
                </w:p>
              </w:tc>
              <w:bookmarkStart w:id="7" w:name="_Hlk402264758"/>
              <w:bookmarkStart w:id="8" w:name="_Hlk455492083"/>
            </w:tr>
            <w:tr w14:paraId="22F621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708B02CD">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5</w:t>
                  </w:r>
                </w:p>
              </w:tc>
              <w:tc>
                <w:tcPr>
                  <w:tcW w:w="1335" w:type="pct"/>
                  <w:tcBorders>
                    <w:tl2br w:val="nil"/>
                    <w:tr2bl w:val="nil"/>
                  </w:tcBorders>
                  <w:shd w:val="clear" w:color="auto" w:fill="auto"/>
                  <w:noWrap w:val="0"/>
                  <w:vAlign w:val="center"/>
                </w:tcPr>
                <w:p w14:paraId="4CE47F1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Cs/>
                      <w:snapToGrid w:val="0"/>
                      <w:color w:val="auto"/>
                      <w:kern w:val="2"/>
                      <w:sz w:val="21"/>
                      <w:szCs w:val="21"/>
                      <w:lang w:val="en-US" w:eastAsia="zh-CN" w:bidi="ar-SA"/>
                    </w:rPr>
                  </w:pPr>
                  <w:r>
                    <w:rPr>
                      <w:rFonts w:hint="eastAsia" w:ascii="Times New Roman" w:hAnsi="Times New Roman" w:cs="Times New Roman"/>
                      <w:color w:val="auto"/>
                      <w:sz w:val="21"/>
                      <w:szCs w:val="21"/>
                    </w:rPr>
                    <w:t>氨氮</w:t>
                  </w:r>
                </w:p>
              </w:tc>
              <w:tc>
                <w:tcPr>
                  <w:tcW w:w="835" w:type="pct"/>
                  <w:tcBorders>
                    <w:tl2br w:val="nil"/>
                    <w:tr2bl w:val="nil"/>
                  </w:tcBorders>
                  <w:shd w:val="clear" w:color="auto" w:fill="auto"/>
                  <w:noWrap w:val="0"/>
                  <w:vAlign w:val="center"/>
                </w:tcPr>
                <w:p w14:paraId="0C8AF9C2">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5D7724A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1.0</w:t>
                  </w:r>
                </w:p>
              </w:tc>
              <w:tc>
                <w:tcPr>
                  <w:tcW w:w="701" w:type="pct"/>
                  <w:tcBorders>
                    <w:tl2br w:val="nil"/>
                    <w:tr2bl w:val="nil"/>
                  </w:tcBorders>
                  <w:noWrap w:val="0"/>
                  <w:vAlign w:val="center"/>
                </w:tcPr>
                <w:p w14:paraId="2F16B33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0.67</w:t>
                  </w:r>
                </w:p>
              </w:tc>
              <w:tc>
                <w:tcPr>
                  <w:tcW w:w="713" w:type="pct"/>
                  <w:tcBorders>
                    <w:tl2br w:val="nil"/>
                    <w:tr2bl w:val="nil"/>
                  </w:tcBorders>
                  <w:noWrap w:val="0"/>
                  <w:vAlign w:val="center"/>
                </w:tcPr>
                <w:p w14:paraId="1FE6A71C">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0.670</w:t>
                  </w:r>
                </w:p>
              </w:tc>
            </w:tr>
            <w:tr w14:paraId="4AE114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3135DDB4">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6</w:t>
                  </w:r>
                </w:p>
              </w:tc>
              <w:tc>
                <w:tcPr>
                  <w:tcW w:w="1335" w:type="pct"/>
                  <w:tcBorders>
                    <w:tl2br w:val="nil"/>
                    <w:tr2bl w:val="nil"/>
                  </w:tcBorders>
                  <w:noWrap w:val="0"/>
                  <w:vAlign w:val="center"/>
                </w:tcPr>
                <w:p w14:paraId="247BF22C">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bCs/>
                      <w:snapToGrid w:val="0"/>
                      <w:color w:val="auto"/>
                      <w:sz w:val="21"/>
                      <w:szCs w:val="21"/>
                    </w:rPr>
                  </w:pPr>
                  <w:r>
                    <w:rPr>
                      <w:rFonts w:hint="eastAsia" w:ascii="Times New Roman" w:hAnsi="Times New Roman" w:cs="Times New Roman"/>
                      <w:color w:val="auto"/>
                      <w:sz w:val="21"/>
                      <w:szCs w:val="21"/>
                    </w:rPr>
                    <w:t>化学需氧量</w:t>
                  </w:r>
                </w:p>
              </w:tc>
              <w:tc>
                <w:tcPr>
                  <w:tcW w:w="835" w:type="pct"/>
                  <w:tcBorders>
                    <w:tl2br w:val="nil"/>
                    <w:tr2bl w:val="nil"/>
                  </w:tcBorders>
                  <w:noWrap w:val="0"/>
                  <w:vAlign w:val="center"/>
                </w:tcPr>
                <w:p w14:paraId="3944E0F6">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342D709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bCs/>
                      <w:snapToGrid w:val="0"/>
                      <w:color w:val="auto"/>
                      <w:sz w:val="21"/>
                      <w:szCs w:val="21"/>
                    </w:rPr>
                  </w:pPr>
                  <w:r>
                    <w:rPr>
                      <w:rFonts w:hint="default" w:ascii="Times New Roman" w:hAnsi="Times New Roman" w:cs="Times New Roman"/>
                      <w:color w:val="auto"/>
                      <w:sz w:val="21"/>
                      <w:szCs w:val="21"/>
                    </w:rPr>
                    <w:t>≤20</w:t>
                  </w:r>
                </w:p>
              </w:tc>
              <w:tc>
                <w:tcPr>
                  <w:tcW w:w="701" w:type="pct"/>
                  <w:tcBorders>
                    <w:tl2br w:val="nil"/>
                    <w:tr2bl w:val="nil"/>
                  </w:tcBorders>
                  <w:noWrap w:val="0"/>
                  <w:vAlign w:val="center"/>
                </w:tcPr>
                <w:p w14:paraId="63FDD24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15</w:t>
                  </w:r>
                </w:p>
              </w:tc>
              <w:tc>
                <w:tcPr>
                  <w:tcW w:w="713" w:type="pct"/>
                  <w:tcBorders>
                    <w:tl2br w:val="nil"/>
                    <w:tr2bl w:val="nil"/>
                  </w:tcBorders>
                  <w:noWrap w:val="0"/>
                  <w:vAlign w:val="center"/>
                </w:tcPr>
                <w:p w14:paraId="7FD03DC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0.750</w:t>
                  </w:r>
                </w:p>
              </w:tc>
            </w:tr>
            <w:tr w14:paraId="59B9F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75C9CE70">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7</w:t>
                  </w:r>
                </w:p>
              </w:tc>
              <w:tc>
                <w:tcPr>
                  <w:tcW w:w="1335" w:type="pct"/>
                  <w:tcBorders>
                    <w:tl2br w:val="nil"/>
                    <w:tr2bl w:val="nil"/>
                  </w:tcBorders>
                  <w:noWrap w:val="0"/>
                  <w:vAlign w:val="center"/>
                </w:tcPr>
                <w:p w14:paraId="7691EA1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bCs/>
                      <w:snapToGrid w:val="0"/>
                      <w:color w:val="auto"/>
                      <w:sz w:val="21"/>
                      <w:szCs w:val="21"/>
                    </w:rPr>
                  </w:pPr>
                  <w:r>
                    <w:rPr>
                      <w:rFonts w:hint="eastAsia" w:ascii="Times New Roman" w:hAnsi="Times New Roman" w:cs="Times New Roman"/>
                      <w:color w:val="auto"/>
                      <w:sz w:val="21"/>
                      <w:szCs w:val="21"/>
                    </w:rPr>
                    <w:t>五日生化需氧量</w:t>
                  </w:r>
                </w:p>
              </w:tc>
              <w:tc>
                <w:tcPr>
                  <w:tcW w:w="835" w:type="pct"/>
                  <w:tcBorders>
                    <w:tl2br w:val="nil"/>
                    <w:tr2bl w:val="nil"/>
                  </w:tcBorders>
                  <w:noWrap w:val="0"/>
                  <w:vAlign w:val="center"/>
                </w:tcPr>
                <w:p w14:paraId="314CD9AF">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71FC910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Cs/>
                      <w:snapToGrid w:val="0"/>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4</w:t>
                  </w:r>
                </w:p>
              </w:tc>
              <w:tc>
                <w:tcPr>
                  <w:tcW w:w="701" w:type="pct"/>
                  <w:tcBorders>
                    <w:tl2br w:val="nil"/>
                    <w:tr2bl w:val="nil"/>
                  </w:tcBorders>
                  <w:noWrap w:val="0"/>
                  <w:vAlign w:val="center"/>
                </w:tcPr>
                <w:p w14:paraId="341712C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3.6</w:t>
                  </w:r>
                </w:p>
              </w:tc>
              <w:tc>
                <w:tcPr>
                  <w:tcW w:w="713" w:type="pct"/>
                  <w:tcBorders>
                    <w:tl2br w:val="nil"/>
                    <w:tr2bl w:val="nil"/>
                  </w:tcBorders>
                  <w:noWrap w:val="0"/>
                  <w:vAlign w:val="center"/>
                </w:tcPr>
                <w:p w14:paraId="609610E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0.900</w:t>
                  </w:r>
                </w:p>
              </w:tc>
            </w:tr>
            <w:tr w14:paraId="3D891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5" w:hRule="atLeast"/>
              </w:trPr>
              <w:tc>
                <w:tcPr>
                  <w:tcW w:w="425" w:type="pct"/>
                  <w:tcBorders>
                    <w:tl2br w:val="nil"/>
                    <w:tr2bl w:val="nil"/>
                  </w:tcBorders>
                  <w:shd w:val="clear" w:color="auto" w:fill="auto"/>
                  <w:noWrap w:val="0"/>
                  <w:vAlign w:val="center"/>
                </w:tcPr>
                <w:p w14:paraId="09F34694">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8</w:t>
                  </w:r>
                </w:p>
              </w:tc>
              <w:tc>
                <w:tcPr>
                  <w:tcW w:w="1335" w:type="pct"/>
                  <w:tcBorders>
                    <w:tl2br w:val="nil"/>
                    <w:tr2bl w:val="nil"/>
                  </w:tcBorders>
                  <w:shd w:val="clear" w:color="auto" w:fill="auto"/>
                  <w:noWrap w:val="0"/>
                  <w:vAlign w:val="center"/>
                </w:tcPr>
                <w:p w14:paraId="39676B6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Cs/>
                      <w:snapToGrid w:val="0"/>
                      <w:color w:val="auto"/>
                      <w:kern w:val="2"/>
                      <w:sz w:val="21"/>
                      <w:szCs w:val="21"/>
                      <w:lang w:val="en-US" w:eastAsia="zh-CN" w:bidi="ar-SA"/>
                    </w:rPr>
                  </w:pPr>
                  <w:r>
                    <w:rPr>
                      <w:rFonts w:hint="eastAsia" w:ascii="Times New Roman" w:hAnsi="Times New Roman" w:cs="Times New Roman"/>
                      <w:color w:val="auto"/>
                      <w:sz w:val="21"/>
                      <w:szCs w:val="21"/>
                    </w:rPr>
                    <w:t>氟化物（以F</w:t>
                  </w:r>
                  <w:r>
                    <w:rPr>
                      <w:rFonts w:hint="eastAsia" w:ascii="Times New Roman" w:hAnsi="Times New Roman" w:cs="Times New Roman"/>
                      <w:color w:val="auto"/>
                      <w:sz w:val="21"/>
                      <w:szCs w:val="21"/>
                      <w:vertAlign w:val="superscript"/>
                    </w:rPr>
                    <w:t>-</w:t>
                  </w:r>
                  <w:r>
                    <w:rPr>
                      <w:rFonts w:hint="eastAsia" w:ascii="Times New Roman" w:hAnsi="Times New Roman" w:cs="Times New Roman"/>
                      <w:color w:val="auto"/>
                      <w:sz w:val="21"/>
                      <w:szCs w:val="21"/>
                    </w:rPr>
                    <w:t>计）</w:t>
                  </w:r>
                </w:p>
              </w:tc>
              <w:tc>
                <w:tcPr>
                  <w:tcW w:w="835" w:type="pct"/>
                  <w:tcBorders>
                    <w:tl2br w:val="nil"/>
                    <w:tr2bl w:val="nil"/>
                  </w:tcBorders>
                  <w:shd w:val="clear" w:color="auto" w:fill="auto"/>
                  <w:noWrap w:val="0"/>
                  <w:vAlign w:val="center"/>
                </w:tcPr>
                <w:p w14:paraId="2FE8BAD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5640377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1.0</w:t>
                  </w:r>
                </w:p>
              </w:tc>
              <w:tc>
                <w:tcPr>
                  <w:tcW w:w="701" w:type="pct"/>
                  <w:tcBorders>
                    <w:tl2br w:val="nil"/>
                    <w:tr2bl w:val="nil"/>
                  </w:tcBorders>
                  <w:noWrap w:val="0"/>
                  <w:vAlign w:val="center"/>
                </w:tcPr>
                <w:p w14:paraId="0412277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0.83</w:t>
                  </w:r>
                </w:p>
              </w:tc>
              <w:tc>
                <w:tcPr>
                  <w:tcW w:w="713" w:type="pct"/>
                  <w:tcBorders>
                    <w:tl2br w:val="nil"/>
                    <w:tr2bl w:val="nil"/>
                  </w:tcBorders>
                  <w:noWrap w:val="0"/>
                  <w:vAlign w:val="center"/>
                </w:tcPr>
                <w:p w14:paraId="0A8669C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0.830</w:t>
                  </w:r>
                </w:p>
              </w:tc>
            </w:tr>
            <w:tr w14:paraId="579C0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583E9478">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9</w:t>
                  </w:r>
                </w:p>
              </w:tc>
              <w:tc>
                <w:tcPr>
                  <w:tcW w:w="1335" w:type="pct"/>
                  <w:tcBorders>
                    <w:tl2br w:val="nil"/>
                    <w:tr2bl w:val="nil"/>
                  </w:tcBorders>
                  <w:noWrap w:val="0"/>
                  <w:vAlign w:val="center"/>
                </w:tcPr>
                <w:p w14:paraId="0E70A1D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eastAsia="宋体" w:cs="Times New Roman"/>
                      <w:bCs/>
                      <w:snapToGrid w:val="0"/>
                      <w:color w:val="auto"/>
                      <w:sz w:val="21"/>
                      <w:szCs w:val="21"/>
                      <w:lang w:val="en-US" w:eastAsia="zh-CN"/>
                    </w:rPr>
                  </w:pPr>
                  <w:r>
                    <w:rPr>
                      <w:rFonts w:hint="eastAsia" w:cs="Times New Roman"/>
                      <w:bCs/>
                      <w:snapToGrid w:val="0"/>
                      <w:color w:val="auto"/>
                      <w:sz w:val="21"/>
                      <w:szCs w:val="21"/>
                      <w:lang w:val="en-US" w:eastAsia="zh-CN"/>
                    </w:rPr>
                    <w:t>氯化物</w:t>
                  </w:r>
                </w:p>
              </w:tc>
              <w:tc>
                <w:tcPr>
                  <w:tcW w:w="835" w:type="pct"/>
                  <w:tcBorders>
                    <w:tl2br w:val="nil"/>
                    <w:tr2bl w:val="nil"/>
                  </w:tcBorders>
                  <w:noWrap w:val="0"/>
                  <w:vAlign w:val="center"/>
                </w:tcPr>
                <w:p w14:paraId="5A6B4AC4">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2167EA32">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snapToGrid w:val="0"/>
                      <w:color w:val="auto"/>
                      <w:sz w:val="21"/>
                      <w:szCs w:val="21"/>
                      <w:lang w:val="en-US" w:eastAsia="zh-CN"/>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250</w:t>
                  </w:r>
                </w:p>
              </w:tc>
              <w:tc>
                <w:tcPr>
                  <w:tcW w:w="701" w:type="pct"/>
                  <w:tcBorders>
                    <w:tl2br w:val="nil"/>
                    <w:tr2bl w:val="nil"/>
                  </w:tcBorders>
                  <w:noWrap w:val="0"/>
                  <w:vAlign w:val="center"/>
                </w:tcPr>
                <w:p w14:paraId="3796ECD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160</w:t>
                  </w:r>
                </w:p>
              </w:tc>
              <w:tc>
                <w:tcPr>
                  <w:tcW w:w="713" w:type="pct"/>
                  <w:tcBorders>
                    <w:tl2br w:val="nil"/>
                    <w:tr2bl w:val="nil"/>
                  </w:tcBorders>
                  <w:noWrap w:val="0"/>
                  <w:vAlign w:val="center"/>
                </w:tcPr>
                <w:p w14:paraId="50412C6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0.640</w:t>
                  </w:r>
                </w:p>
              </w:tc>
            </w:tr>
            <w:tr w14:paraId="2D21B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2D095BBC">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10</w:t>
                  </w:r>
                </w:p>
              </w:tc>
              <w:tc>
                <w:tcPr>
                  <w:tcW w:w="1335" w:type="pct"/>
                  <w:tcBorders>
                    <w:tl2br w:val="nil"/>
                    <w:tr2bl w:val="nil"/>
                  </w:tcBorders>
                  <w:noWrap w:val="0"/>
                  <w:vAlign w:val="center"/>
                </w:tcPr>
                <w:p w14:paraId="34AC7C4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eastAsia="宋体" w:cs="Times New Roman"/>
                      <w:bCs/>
                      <w:snapToGrid w:val="0"/>
                      <w:color w:val="auto"/>
                      <w:sz w:val="21"/>
                      <w:szCs w:val="21"/>
                      <w:lang w:val="en-US" w:eastAsia="zh-CN"/>
                    </w:rPr>
                  </w:pPr>
                  <w:r>
                    <w:rPr>
                      <w:rFonts w:hint="eastAsia" w:cs="Times New Roman"/>
                      <w:bCs/>
                      <w:snapToGrid w:val="0"/>
                      <w:color w:val="auto"/>
                      <w:sz w:val="21"/>
                      <w:szCs w:val="21"/>
                      <w:lang w:val="en-US" w:eastAsia="zh-CN"/>
                    </w:rPr>
                    <w:t>硫酸盐</w:t>
                  </w:r>
                </w:p>
              </w:tc>
              <w:tc>
                <w:tcPr>
                  <w:tcW w:w="835" w:type="pct"/>
                  <w:tcBorders>
                    <w:tl2br w:val="nil"/>
                    <w:tr2bl w:val="nil"/>
                  </w:tcBorders>
                  <w:noWrap w:val="0"/>
                  <w:vAlign w:val="center"/>
                </w:tcPr>
                <w:p w14:paraId="6A45294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34B67BD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snapToGrid w:val="0"/>
                      <w:color w:val="auto"/>
                      <w:sz w:val="21"/>
                      <w:szCs w:val="21"/>
                      <w:lang w:val="en-US" w:eastAsia="zh-CN"/>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250</w:t>
                  </w:r>
                </w:p>
              </w:tc>
              <w:tc>
                <w:tcPr>
                  <w:tcW w:w="701" w:type="pct"/>
                  <w:tcBorders>
                    <w:tl2br w:val="nil"/>
                    <w:tr2bl w:val="nil"/>
                  </w:tcBorders>
                  <w:noWrap w:val="0"/>
                  <w:vAlign w:val="center"/>
                </w:tcPr>
                <w:p w14:paraId="567FC31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236</w:t>
                  </w:r>
                </w:p>
              </w:tc>
              <w:tc>
                <w:tcPr>
                  <w:tcW w:w="713" w:type="pct"/>
                  <w:tcBorders>
                    <w:tl2br w:val="nil"/>
                    <w:tr2bl w:val="nil"/>
                  </w:tcBorders>
                  <w:noWrap w:val="0"/>
                  <w:vAlign w:val="center"/>
                </w:tcPr>
                <w:p w14:paraId="52E7AE5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0.944</w:t>
                  </w:r>
                </w:p>
              </w:tc>
            </w:tr>
            <w:tr w14:paraId="007949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74567B2">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11</w:t>
                  </w:r>
                </w:p>
              </w:tc>
              <w:tc>
                <w:tcPr>
                  <w:tcW w:w="1335" w:type="pct"/>
                  <w:tcBorders>
                    <w:tl2br w:val="nil"/>
                    <w:tr2bl w:val="nil"/>
                  </w:tcBorders>
                  <w:noWrap w:val="0"/>
                  <w:vAlign w:val="center"/>
                </w:tcPr>
                <w:p w14:paraId="055E30F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eastAsia="宋体" w:cs="Times New Roman"/>
                      <w:bCs/>
                      <w:snapToGrid w:val="0"/>
                      <w:color w:val="auto"/>
                      <w:sz w:val="21"/>
                      <w:szCs w:val="21"/>
                      <w:lang w:val="en-US" w:eastAsia="zh-CN"/>
                    </w:rPr>
                  </w:pPr>
                  <w:r>
                    <w:rPr>
                      <w:rFonts w:hint="eastAsia" w:cs="Times New Roman"/>
                      <w:bCs/>
                      <w:snapToGrid w:val="0"/>
                      <w:color w:val="auto"/>
                      <w:sz w:val="21"/>
                      <w:szCs w:val="21"/>
                      <w:lang w:val="en-US" w:eastAsia="zh-CN"/>
                    </w:rPr>
                    <w:t>硝酸盐</w:t>
                  </w:r>
                </w:p>
              </w:tc>
              <w:tc>
                <w:tcPr>
                  <w:tcW w:w="835" w:type="pct"/>
                  <w:tcBorders>
                    <w:tl2br w:val="nil"/>
                    <w:tr2bl w:val="nil"/>
                  </w:tcBorders>
                  <w:noWrap w:val="0"/>
                  <w:vAlign w:val="center"/>
                </w:tcPr>
                <w:p w14:paraId="7E1409F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5D26577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bCs/>
                      <w:snapToGrid w:val="0"/>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10</w:t>
                  </w:r>
                </w:p>
              </w:tc>
              <w:tc>
                <w:tcPr>
                  <w:tcW w:w="701" w:type="pct"/>
                  <w:tcBorders>
                    <w:tl2br w:val="nil"/>
                    <w:tr2bl w:val="nil"/>
                  </w:tcBorders>
                  <w:noWrap w:val="0"/>
                  <w:vAlign w:val="center"/>
                </w:tcPr>
                <w:p w14:paraId="1863CF5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0.1</w:t>
                  </w:r>
                </w:p>
              </w:tc>
              <w:tc>
                <w:tcPr>
                  <w:tcW w:w="713" w:type="pct"/>
                  <w:tcBorders>
                    <w:tl2br w:val="nil"/>
                    <w:tr2bl w:val="nil"/>
                  </w:tcBorders>
                  <w:noWrap w:val="0"/>
                  <w:vAlign w:val="center"/>
                </w:tcPr>
                <w:p w14:paraId="2AF345B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0.010</w:t>
                  </w:r>
                </w:p>
              </w:tc>
            </w:tr>
            <w:tr w14:paraId="0F1B18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69830879">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12</w:t>
                  </w:r>
                </w:p>
              </w:tc>
              <w:tc>
                <w:tcPr>
                  <w:tcW w:w="1335" w:type="pct"/>
                  <w:tcBorders>
                    <w:tl2br w:val="nil"/>
                    <w:tr2bl w:val="nil"/>
                  </w:tcBorders>
                  <w:shd w:val="clear" w:color="auto" w:fill="auto"/>
                  <w:noWrap w:val="0"/>
                  <w:vAlign w:val="center"/>
                </w:tcPr>
                <w:p w14:paraId="00DD05C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挥发酚</w:t>
                  </w:r>
                </w:p>
              </w:tc>
              <w:tc>
                <w:tcPr>
                  <w:tcW w:w="835" w:type="pct"/>
                  <w:tcBorders>
                    <w:tl2br w:val="nil"/>
                    <w:tr2bl w:val="nil"/>
                  </w:tcBorders>
                  <w:shd w:val="clear" w:color="auto" w:fill="auto"/>
                  <w:noWrap w:val="0"/>
                  <w:vAlign w:val="center"/>
                </w:tcPr>
                <w:p w14:paraId="3A9E300C">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3A34F18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0.005</w:t>
                  </w:r>
                </w:p>
              </w:tc>
              <w:tc>
                <w:tcPr>
                  <w:tcW w:w="701" w:type="pct"/>
                  <w:tcBorders>
                    <w:tl2br w:val="nil"/>
                    <w:tr2bl w:val="nil"/>
                  </w:tcBorders>
                  <w:noWrap w:val="0"/>
                  <w:vAlign w:val="center"/>
                </w:tcPr>
                <w:p w14:paraId="1B426A36">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0.005L</w:t>
                  </w:r>
                </w:p>
              </w:tc>
              <w:tc>
                <w:tcPr>
                  <w:tcW w:w="713" w:type="pct"/>
                  <w:tcBorders>
                    <w:tl2br w:val="nil"/>
                    <w:tr2bl w:val="nil"/>
                  </w:tcBorders>
                  <w:noWrap w:val="0"/>
                  <w:vAlign w:val="center"/>
                </w:tcPr>
                <w:p w14:paraId="44B781F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0.030</w:t>
                  </w:r>
                </w:p>
              </w:tc>
            </w:tr>
            <w:tr w14:paraId="282E67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601061AB">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13</w:t>
                  </w:r>
                </w:p>
              </w:tc>
              <w:tc>
                <w:tcPr>
                  <w:tcW w:w="1335" w:type="pct"/>
                  <w:tcBorders>
                    <w:tl2br w:val="nil"/>
                    <w:tr2bl w:val="nil"/>
                  </w:tcBorders>
                  <w:shd w:val="clear" w:color="auto" w:fill="auto"/>
                  <w:noWrap w:val="0"/>
                  <w:vAlign w:val="center"/>
                </w:tcPr>
                <w:p w14:paraId="65214A81">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氰化物</w:t>
                  </w:r>
                </w:p>
              </w:tc>
              <w:tc>
                <w:tcPr>
                  <w:tcW w:w="835" w:type="pct"/>
                  <w:tcBorders>
                    <w:tl2br w:val="nil"/>
                    <w:tr2bl w:val="nil"/>
                  </w:tcBorders>
                  <w:shd w:val="clear" w:color="auto" w:fill="auto"/>
                  <w:noWrap w:val="0"/>
                  <w:vAlign w:val="center"/>
                </w:tcPr>
                <w:p w14:paraId="5BC8913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0FB2A99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0.02</w:t>
                  </w:r>
                </w:p>
              </w:tc>
              <w:tc>
                <w:tcPr>
                  <w:tcW w:w="701" w:type="pct"/>
                  <w:tcBorders>
                    <w:tl2br w:val="nil"/>
                    <w:tr2bl w:val="nil"/>
                  </w:tcBorders>
                  <w:noWrap w:val="0"/>
                  <w:vAlign w:val="center"/>
                </w:tcPr>
                <w:p w14:paraId="1E3AAD5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0.02L</w:t>
                  </w:r>
                </w:p>
              </w:tc>
              <w:tc>
                <w:tcPr>
                  <w:tcW w:w="713" w:type="pct"/>
                  <w:tcBorders>
                    <w:tl2br w:val="nil"/>
                    <w:tr2bl w:val="nil"/>
                  </w:tcBorders>
                  <w:noWrap w:val="0"/>
                  <w:vAlign w:val="center"/>
                </w:tcPr>
                <w:p w14:paraId="105978C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0.010</w:t>
                  </w:r>
                </w:p>
              </w:tc>
            </w:tr>
            <w:tr w14:paraId="5A74F7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505AC084">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14</w:t>
                  </w:r>
                </w:p>
              </w:tc>
              <w:tc>
                <w:tcPr>
                  <w:tcW w:w="1335" w:type="pct"/>
                  <w:tcBorders>
                    <w:tl2br w:val="nil"/>
                    <w:tr2bl w:val="nil"/>
                  </w:tcBorders>
                  <w:shd w:val="clear" w:color="auto" w:fill="auto"/>
                  <w:noWrap w:val="0"/>
                  <w:vAlign w:val="center"/>
                </w:tcPr>
                <w:p w14:paraId="332737E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铬（六价）</w:t>
                  </w:r>
                </w:p>
              </w:tc>
              <w:tc>
                <w:tcPr>
                  <w:tcW w:w="835" w:type="pct"/>
                  <w:tcBorders>
                    <w:tl2br w:val="nil"/>
                    <w:tr2bl w:val="nil"/>
                  </w:tcBorders>
                  <w:shd w:val="clear" w:color="auto" w:fill="auto"/>
                  <w:noWrap w:val="0"/>
                  <w:vAlign w:val="center"/>
                </w:tcPr>
                <w:p w14:paraId="1EC6ABD2">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55C9FEB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0.05</w:t>
                  </w:r>
                </w:p>
              </w:tc>
              <w:tc>
                <w:tcPr>
                  <w:tcW w:w="701" w:type="pct"/>
                  <w:tcBorders>
                    <w:tl2br w:val="nil"/>
                    <w:tr2bl w:val="nil"/>
                  </w:tcBorders>
                  <w:noWrap w:val="0"/>
                  <w:vAlign w:val="center"/>
                </w:tcPr>
                <w:p w14:paraId="661F651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0.01</w:t>
                  </w:r>
                </w:p>
              </w:tc>
              <w:tc>
                <w:tcPr>
                  <w:tcW w:w="713" w:type="pct"/>
                  <w:tcBorders>
                    <w:tl2br w:val="nil"/>
                    <w:tr2bl w:val="nil"/>
                  </w:tcBorders>
                  <w:noWrap w:val="0"/>
                  <w:vAlign w:val="center"/>
                </w:tcPr>
                <w:p w14:paraId="014E8AE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0.200</w:t>
                  </w:r>
                </w:p>
              </w:tc>
            </w:tr>
            <w:tr w14:paraId="344B6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FCEBF42">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15</w:t>
                  </w:r>
                </w:p>
              </w:tc>
              <w:tc>
                <w:tcPr>
                  <w:tcW w:w="1335" w:type="pct"/>
                  <w:tcBorders>
                    <w:tl2br w:val="nil"/>
                    <w:tr2bl w:val="nil"/>
                  </w:tcBorders>
                  <w:shd w:val="clear" w:color="auto" w:fill="auto"/>
                  <w:noWrap w:val="0"/>
                  <w:vAlign w:val="center"/>
                </w:tcPr>
                <w:p w14:paraId="5A3E093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硫化物</w:t>
                  </w:r>
                </w:p>
              </w:tc>
              <w:tc>
                <w:tcPr>
                  <w:tcW w:w="835" w:type="pct"/>
                  <w:tcBorders>
                    <w:tl2br w:val="nil"/>
                    <w:tr2bl w:val="nil"/>
                  </w:tcBorders>
                  <w:shd w:val="clear" w:color="auto" w:fill="auto"/>
                  <w:noWrap w:val="0"/>
                  <w:vAlign w:val="center"/>
                </w:tcPr>
                <w:p w14:paraId="0AAF13D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6D7AC74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0.2</w:t>
                  </w:r>
                </w:p>
              </w:tc>
              <w:tc>
                <w:tcPr>
                  <w:tcW w:w="701" w:type="pct"/>
                  <w:tcBorders>
                    <w:tl2br w:val="nil"/>
                    <w:tr2bl w:val="nil"/>
                  </w:tcBorders>
                  <w:noWrap w:val="0"/>
                  <w:vAlign w:val="center"/>
                </w:tcPr>
                <w:p w14:paraId="56A91142">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0.02</w:t>
                  </w:r>
                </w:p>
              </w:tc>
              <w:tc>
                <w:tcPr>
                  <w:tcW w:w="713" w:type="pct"/>
                  <w:tcBorders>
                    <w:tl2br w:val="nil"/>
                    <w:tr2bl w:val="nil"/>
                  </w:tcBorders>
                  <w:noWrap w:val="0"/>
                  <w:vAlign w:val="center"/>
                </w:tcPr>
                <w:p w14:paraId="7D5749C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0.100</w:t>
                  </w:r>
                </w:p>
              </w:tc>
            </w:tr>
            <w:tr w14:paraId="6082B1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4644EC5">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16</w:t>
                  </w:r>
                </w:p>
              </w:tc>
              <w:tc>
                <w:tcPr>
                  <w:tcW w:w="1335" w:type="pct"/>
                  <w:tcBorders>
                    <w:tl2br w:val="nil"/>
                    <w:tr2bl w:val="nil"/>
                  </w:tcBorders>
                  <w:noWrap w:val="0"/>
                  <w:vAlign w:val="center"/>
                </w:tcPr>
                <w:p w14:paraId="73EC8E5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Cs/>
                      <w:snapToGrid w:val="0"/>
                      <w:color w:val="auto"/>
                      <w:sz w:val="21"/>
                      <w:szCs w:val="21"/>
                    </w:rPr>
                  </w:pPr>
                  <w:r>
                    <w:rPr>
                      <w:rFonts w:hint="eastAsia" w:ascii="Times New Roman" w:hAnsi="Times New Roman" w:cs="Times New Roman"/>
                      <w:color w:val="auto"/>
                      <w:sz w:val="21"/>
                      <w:szCs w:val="21"/>
                    </w:rPr>
                    <w:t>总磷</w:t>
                  </w:r>
                </w:p>
              </w:tc>
              <w:tc>
                <w:tcPr>
                  <w:tcW w:w="835" w:type="pct"/>
                  <w:tcBorders>
                    <w:tl2br w:val="nil"/>
                    <w:tr2bl w:val="nil"/>
                  </w:tcBorders>
                  <w:noWrap w:val="0"/>
                  <w:vAlign w:val="center"/>
                </w:tcPr>
                <w:p w14:paraId="4E23CBB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5778BB66">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bCs/>
                      <w:snapToGrid w:val="0"/>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0.2</w:t>
                  </w:r>
                </w:p>
              </w:tc>
              <w:tc>
                <w:tcPr>
                  <w:tcW w:w="701" w:type="pct"/>
                  <w:tcBorders>
                    <w:tl2br w:val="nil"/>
                    <w:tr2bl w:val="nil"/>
                  </w:tcBorders>
                  <w:noWrap w:val="0"/>
                  <w:vAlign w:val="center"/>
                </w:tcPr>
                <w:p w14:paraId="39064D0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0.02</w:t>
                  </w:r>
                </w:p>
              </w:tc>
              <w:tc>
                <w:tcPr>
                  <w:tcW w:w="713" w:type="pct"/>
                  <w:tcBorders>
                    <w:tl2br w:val="nil"/>
                    <w:tr2bl w:val="nil"/>
                  </w:tcBorders>
                  <w:noWrap w:val="0"/>
                  <w:vAlign w:val="center"/>
                </w:tcPr>
                <w:p w14:paraId="0743C5C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0.100</w:t>
                  </w:r>
                </w:p>
              </w:tc>
            </w:tr>
            <w:tr w14:paraId="7BD7C2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1565C9B">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17</w:t>
                  </w:r>
                </w:p>
              </w:tc>
              <w:tc>
                <w:tcPr>
                  <w:tcW w:w="1335" w:type="pct"/>
                  <w:tcBorders>
                    <w:tl2br w:val="nil"/>
                    <w:tr2bl w:val="nil"/>
                  </w:tcBorders>
                  <w:noWrap w:val="0"/>
                  <w:vAlign w:val="center"/>
                </w:tcPr>
                <w:p w14:paraId="6F58D4D4">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Cs/>
                      <w:snapToGrid w:val="0"/>
                      <w:color w:val="auto"/>
                      <w:sz w:val="21"/>
                      <w:szCs w:val="21"/>
                    </w:rPr>
                  </w:pPr>
                  <w:r>
                    <w:rPr>
                      <w:rFonts w:hint="eastAsia" w:ascii="Times New Roman" w:hAnsi="Times New Roman" w:cs="Times New Roman"/>
                      <w:color w:val="auto"/>
                      <w:sz w:val="21"/>
                      <w:szCs w:val="21"/>
                    </w:rPr>
                    <w:t>总氮</w:t>
                  </w:r>
                </w:p>
              </w:tc>
              <w:tc>
                <w:tcPr>
                  <w:tcW w:w="835" w:type="pct"/>
                  <w:tcBorders>
                    <w:tl2br w:val="nil"/>
                    <w:tr2bl w:val="nil"/>
                  </w:tcBorders>
                  <w:noWrap w:val="0"/>
                  <w:vAlign w:val="center"/>
                </w:tcPr>
                <w:p w14:paraId="2496D561">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cs="Times New Roman"/>
                      <w:b w:val="0"/>
                      <w:bCs w:val="0"/>
                      <w:color w:val="auto"/>
                      <w:sz w:val="21"/>
                      <w:szCs w:val="21"/>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79FC942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bCs/>
                      <w:snapToGrid w:val="0"/>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1.0</w:t>
                  </w:r>
                </w:p>
              </w:tc>
              <w:tc>
                <w:tcPr>
                  <w:tcW w:w="701" w:type="pct"/>
                  <w:tcBorders>
                    <w:tl2br w:val="nil"/>
                    <w:tr2bl w:val="nil"/>
                  </w:tcBorders>
                  <w:noWrap w:val="0"/>
                  <w:vAlign w:val="center"/>
                </w:tcPr>
                <w:p w14:paraId="41245BE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0.93</w:t>
                  </w:r>
                </w:p>
              </w:tc>
              <w:tc>
                <w:tcPr>
                  <w:tcW w:w="713" w:type="pct"/>
                  <w:tcBorders>
                    <w:tl2br w:val="nil"/>
                    <w:tr2bl w:val="nil"/>
                  </w:tcBorders>
                  <w:noWrap w:val="0"/>
                  <w:vAlign w:val="center"/>
                </w:tcPr>
                <w:p w14:paraId="768A2CB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0.930</w:t>
                  </w:r>
                </w:p>
                <w:bookmarkEnd w:id="7"/>
              </w:tc>
            </w:tr>
            <w:tr w14:paraId="18DBC6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0EBECDF0">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18</w:t>
                  </w:r>
                </w:p>
              </w:tc>
              <w:tc>
                <w:tcPr>
                  <w:tcW w:w="1335" w:type="pct"/>
                  <w:tcBorders>
                    <w:tl2br w:val="nil"/>
                    <w:tr2bl w:val="nil"/>
                  </w:tcBorders>
                  <w:shd w:val="clear" w:color="auto" w:fill="auto"/>
                  <w:noWrap w:val="0"/>
                  <w:vAlign w:val="center"/>
                </w:tcPr>
                <w:p w14:paraId="7F0CBD7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石油类</w:t>
                  </w:r>
                </w:p>
              </w:tc>
              <w:tc>
                <w:tcPr>
                  <w:tcW w:w="835" w:type="pct"/>
                  <w:tcBorders>
                    <w:tl2br w:val="nil"/>
                    <w:tr2bl w:val="nil"/>
                  </w:tcBorders>
                  <w:shd w:val="clear" w:color="auto" w:fill="auto"/>
                  <w:noWrap w:val="0"/>
                  <w:vAlign w:val="center"/>
                </w:tcPr>
                <w:p w14:paraId="41D1E06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5A83112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0.05</w:t>
                  </w:r>
                </w:p>
              </w:tc>
              <w:tc>
                <w:tcPr>
                  <w:tcW w:w="701" w:type="pct"/>
                  <w:tcBorders>
                    <w:tl2br w:val="nil"/>
                    <w:tr2bl w:val="nil"/>
                  </w:tcBorders>
                  <w:noWrap w:val="0"/>
                  <w:vAlign w:val="center"/>
                </w:tcPr>
                <w:p w14:paraId="6A1ADC4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cs="Times New Roman"/>
                      <w:color w:val="auto"/>
                      <w:kern w:val="0"/>
                      <w:sz w:val="21"/>
                      <w:szCs w:val="21"/>
                      <w:lang w:val="en-US" w:eastAsia="zh-CN"/>
                    </w:rPr>
                  </w:pPr>
                  <w:r>
                    <w:rPr>
                      <w:rFonts w:hint="eastAsia" w:cs="Times New Roman"/>
                      <w:color w:val="auto"/>
                      <w:kern w:val="0"/>
                      <w:sz w:val="21"/>
                      <w:szCs w:val="21"/>
                      <w:lang w:val="en-US" w:eastAsia="zh-CN"/>
                    </w:rPr>
                    <w:t>0.03</w:t>
                  </w:r>
                </w:p>
              </w:tc>
              <w:tc>
                <w:tcPr>
                  <w:tcW w:w="713" w:type="pct"/>
                  <w:tcBorders>
                    <w:tl2br w:val="nil"/>
                    <w:tr2bl w:val="nil"/>
                  </w:tcBorders>
                  <w:noWrap w:val="0"/>
                  <w:vAlign w:val="center"/>
                </w:tcPr>
                <w:p w14:paraId="18737B31">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0.600</w:t>
                  </w:r>
                </w:p>
              </w:tc>
            </w:tr>
            <w:tr w14:paraId="533A0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1608CBB">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19</w:t>
                  </w:r>
                </w:p>
              </w:tc>
              <w:tc>
                <w:tcPr>
                  <w:tcW w:w="1335" w:type="pct"/>
                  <w:tcBorders>
                    <w:tl2br w:val="nil"/>
                    <w:tr2bl w:val="nil"/>
                  </w:tcBorders>
                  <w:shd w:val="clear" w:color="auto" w:fill="auto"/>
                  <w:noWrap w:val="0"/>
                  <w:vAlign w:val="center"/>
                </w:tcPr>
                <w:p w14:paraId="6525E72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汞</w:t>
                  </w:r>
                </w:p>
              </w:tc>
              <w:tc>
                <w:tcPr>
                  <w:tcW w:w="835" w:type="pct"/>
                  <w:tcBorders>
                    <w:tl2br w:val="nil"/>
                    <w:tr2bl w:val="nil"/>
                  </w:tcBorders>
                  <w:shd w:val="clear" w:color="auto" w:fill="auto"/>
                  <w:noWrap w:val="0"/>
                  <w:vAlign w:val="center"/>
                </w:tcPr>
                <w:p w14:paraId="6004440F">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6FD5C62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0.0001</w:t>
                  </w:r>
                </w:p>
              </w:tc>
              <w:tc>
                <w:tcPr>
                  <w:tcW w:w="701" w:type="pct"/>
                  <w:tcBorders>
                    <w:tl2br w:val="nil"/>
                    <w:tr2bl w:val="nil"/>
                  </w:tcBorders>
                  <w:shd w:val="clear" w:color="auto" w:fill="auto"/>
                  <w:noWrap w:val="0"/>
                  <w:vAlign w:val="center"/>
                </w:tcPr>
                <w:p w14:paraId="708B1C4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0.0001</w:t>
                  </w:r>
                  <w:r>
                    <w:rPr>
                      <w:rFonts w:hint="eastAsia" w:cs="Times New Roman"/>
                      <w:color w:val="auto"/>
                      <w:sz w:val="21"/>
                      <w:szCs w:val="21"/>
                      <w:lang w:val="en-US" w:eastAsia="zh-CN"/>
                    </w:rPr>
                    <w:t>L</w:t>
                  </w:r>
                </w:p>
              </w:tc>
              <w:tc>
                <w:tcPr>
                  <w:tcW w:w="713" w:type="pct"/>
                  <w:tcBorders>
                    <w:tl2br w:val="nil"/>
                    <w:tr2bl w:val="nil"/>
                  </w:tcBorders>
                  <w:noWrap w:val="0"/>
                  <w:vAlign w:val="center"/>
                </w:tcPr>
                <w:p w14:paraId="15640C0F">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0.200</w:t>
                  </w:r>
                </w:p>
              </w:tc>
            </w:tr>
            <w:tr w14:paraId="05D8B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66177B5B">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20</w:t>
                  </w:r>
                </w:p>
              </w:tc>
              <w:tc>
                <w:tcPr>
                  <w:tcW w:w="1335" w:type="pct"/>
                  <w:tcBorders>
                    <w:tl2br w:val="nil"/>
                    <w:tr2bl w:val="nil"/>
                  </w:tcBorders>
                  <w:shd w:val="clear" w:color="auto" w:fill="auto"/>
                  <w:noWrap w:val="0"/>
                  <w:vAlign w:val="center"/>
                </w:tcPr>
                <w:p w14:paraId="3211EC54">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砷</w:t>
                  </w:r>
                </w:p>
              </w:tc>
              <w:tc>
                <w:tcPr>
                  <w:tcW w:w="835" w:type="pct"/>
                  <w:tcBorders>
                    <w:tl2br w:val="nil"/>
                    <w:tr2bl w:val="nil"/>
                  </w:tcBorders>
                  <w:shd w:val="clear" w:color="auto" w:fill="auto"/>
                  <w:noWrap w:val="0"/>
                  <w:vAlign w:val="center"/>
                </w:tcPr>
                <w:p w14:paraId="2EAAC6C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4E06FFE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0.05</w:t>
                  </w:r>
                </w:p>
              </w:tc>
              <w:tc>
                <w:tcPr>
                  <w:tcW w:w="701" w:type="pct"/>
                  <w:tcBorders>
                    <w:tl2br w:val="nil"/>
                    <w:tr2bl w:val="nil"/>
                  </w:tcBorders>
                  <w:shd w:val="clear" w:color="auto" w:fill="auto"/>
                  <w:noWrap w:val="0"/>
                  <w:vAlign w:val="center"/>
                </w:tcPr>
                <w:p w14:paraId="252EFE8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0.05</w:t>
                  </w:r>
                  <w:r>
                    <w:rPr>
                      <w:rFonts w:hint="eastAsia" w:cs="Times New Roman"/>
                      <w:color w:val="auto"/>
                      <w:sz w:val="21"/>
                      <w:szCs w:val="21"/>
                      <w:lang w:val="en-US" w:eastAsia="zh-CN"/>
                    </w:rPr>
                    <w:t>L</w:t>
                  </w:r>
                </w:p>
              </w:tc>
              <w:tc>
                <w:tcPr>
                  <w:tcW w:w="713" w:type="pct"/>
                  <w:tcBorders>
                    <w:tl2br w:val="nil"/>
                    <w:tr2bl w:val="nil"/>
                  </w:tcBorders>
                  <w:noWrap w:val="0"/>
                  <w:vAlign w:val="center"/>
                </w:tcPr>
                <w:p w14:paraId="16823D0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0.003</w:t>
                  </w:r>
                </w:p>
              </w:tc>
            </w:tr>
            <w:tr w14:paraId="48CF2D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0403568">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21</w:t>
                  </w:r>
                </w:p>
              </w:tc>
              <w:tc>
                <w:tcPr>
                  <w:tcW w:w="1335" w:type="pct"/>
                  <w:tcBorders>
                    <w:tl2br w:val="nil"/>
                    <w:tr2bl w:val="nil"/>
                  </w:tcBorders>
                  <w:shd w:val="clear" w:color="auto" w:fill="auto"/>
                  <w:noWrap w:val="0"/>
                  <w:vAlign w:val="center"/>
                </w:tcPr>
                <w:p w14:paraId="2E752D96">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Cs/>
                      <w:snapToGrid w:val="0"/>
                      <w:color w:val="auto"/>
                      <w:kern w:val="2"/>
                      <w:sz w:val="21"/>
                      <w:szCs w:val="21"/>
                      <w:lang w:val="en-US" w:eastAsia="zh-CN" w:bidi="ar-SA"/>
                    </w:rPr>
                  </w:pPr>
                  <w:r>
                    <w:rPr>
                      <w:rFonts w:hint="eastAsia" w:ascii="Times New Roman" w:hAnsi="Times New Roman" w:cs="Times New Roman"/>
                      <w:color w:val="auto"/>
                      <w:sz w:val="21"/>
                      <w:szCs w:val="21"/>
                    </w:rPr>
                    <w:t>硒</w:t>
                  </w:r>
                </w:p>
              </w:tc>
              <w:tc>
                <w:tcPr>
                  <w:tcW w:w="835" w:type="pct"/>
                  <w:tcBorders>
                    <w:tl2br w:val="nil"/>
                    <w:tr2bl w:val="nil"/>
                  </w:tcBorders>
                  <w:shd w:val="clear" w:color="auto" w:fill="auto"/>
                  <w:noWrap w:val="0"/>
                  <w:vAlign w:val="center"/>
                </w:tcPr>
                <w:p w14:paraId="6F3B1B7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05BE7344">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0.01</w:t>
                  </w:r>
                </w:p>
              </w:tc>
              <w:tc>
                <w:tcPr>
                  <w:tcW w:w="701" w:type="pct"/>
                  <w:tcBorders>
                    <w:tl2br w:val="nil"/>
                    <w:tr2bl w:val="nil"/>
                  </w:tcBorders>
                  <w:shd w:val="clear" w:color="auto" w:fill="auto"/>
                  <w:noWrap w:val="0"/>
                  <w:vAlign w:val="center"/>
                </w:tcPr>
                <w:p w14:paraId="75D2E73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Cs/>
                      <w:snapToGrid w:val="0"/>
                      <w:color w:val="auto"/>
                      <w:kern w:val="2"/>
                      <w:sz w:val="21"/>
                      <w:szCs w:val="21"/>
                      <w:lang w:val="en-US" w:eastAsia="zh-CN" w:bidi="ar-SA"/>
                    </w:rPr>
                  </w:pPr>
                  <w:r>
                    <w:rPr>
                      <w:rFonts w:hint="eastAsia" w:ascii="Times New Roman" w:hAnsi="Times New Roman" w:cs="Times New Roman"/>
                      <w:color w:val="auto"/>
                      <w:sz w:val="21"/>
                      <w:szCs w:val="21"/>
                    </w:rPr>
                    <w:t>0.01</w:t>
                  </w:r>
                  <w:r>
                    <w:rPr>
                      <w:rFonts w:hint="eastAsia" w:cs="Times New Roman"/>
                      <w:color w:val="auto"/>
                      <w:sz w:val="21"/>
                      <w:szCs w:val="21"/>
                      <w:lang w:val="en-US" w:eastAsia="zh-CN"/>
                    </w:rPr>
                    <w:t>L</w:t>
                  </w:r>
                </w:p>
              </w:tc>
              <w:tc>
                <w:tcPr>
                  <w:tcW w:w="713" w:type="pct"/>
                  <w:tcBorders>
                    <w:tl2br w:val="nil"/>
                    <w:tr2bl w:val="nil"/>
                  </w:tcBorders>
                  <w:noWrap w:val="0"/>
                  <w:vAlign w:val="center"/>
                </w:tcPr>
                <w:p w14:paraId="36E2F43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0.020</w:t>
                  </w:r>
                </w:p>
              </w:tc>
            </w:tr>
            <w:tr w14:paraId="631429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158A92AB">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22</w:t>
                  </w:r>
                </w:p>
              </w:tc>
              <w:tc>
                <w:tcPr>
                  <w:tcW w:w="1335" w:type="pct"/>
                  <w:tcBorders>
                    <w:tl2br w:val="nil"/>
                    <w:tr2bl w:val="nil"/>
                  </w:tcBorders>
                  <w:shd w:val="clear" w:color="auto" w:fill="auto"/>
                  <w:noWrap w:val="0"/>
                  <w:vAlign w:val="center"/>
                </w:tcPr>
                <w:p w14:paraId="290480F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铁</w:t>
                  </w:r>
                </w:p>
              </w:tc>
              <w:tc>
                <w:tcPr>
                  <w:tcW w:w="835" w:type="pct"/>
                  <w:tcBorders>
                    <w:tl2br w:val="nil"/>
                    <w:tr2bl w:val="nil"/>
                  </w:tcBorders>
                  <w:shd w:val="clear" w:color="auto" w:fill="auto"/>
                  <w:noWrap w:val="0"/>
                  <w:vAlign w:val="center"/>
                </w:tcPr>
                <w:p w14:paraId="1401AAC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07E4118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0.3</w:t>
                  </w:r>
                </w:p>
              </w:tc>
              <w:tc>
                <w:tcPr>
                  <w:tcW w:w="701" w:type="pct"/>
                  <w:tcBorders>
                    <w:tl2br w:val="nil"/>
                    <w:tr2bl w:val="nil"/>
                  </w:tcBorders>
                  <w:shd w:val="clear" w:color="auto" w:fill="auto"/>
                  <w:noWrap w:val="0"/>
                  <w:vAlign w:val="center"/>
                </w:tcPr>
                <w:p w14:paraId="4AC61FA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0.3L</w:t>
                  </w:r>
                </w:p>
              </w:tc>
              <w:tc>
                <w:tcPr>
                  <w:tcW w:w="713" w:type="pct"/>
                  <w:tcBorders>
                    <w:tl2br w:val="nil"/>
                    <w:tr2bl w:val="nil"/>
                  </w:tcBorders>
                  <w:noWrap w:val="0"/>
                  <w:vAlign w:val="center"/>
                </w:tcPr>
                <w:p w14:paraId="1EB03CE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0.050</w:t>
                  </w:r>
                </w:p>
              </w:tc>
            </w:tr>
            <w:tr w14:paraId="6DD9ED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03E423BB">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23</w:t>
                  </w:r>
                </w:p>
              </w:tc>
              <w:tc>
                <w:tcPr>
                  <w:tcW w:w="1335" w:type="pct"/>
                  <w:tcBorders>
                    <w:tl2br w:val="nil"/>
                    <w:tr2bl w:val="nil"/>
                  </w:tcBorders>
                  <w:shd w:val="clear" w:color="auto" w:fill="auto"/>
                  <w:noWrap w:val="0"/>
                  <w:vAlign w:val="center"/>
                </w:tcPr>
                <w:p w14:paraId="3D5DD4D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锰</w:t>
                  </w:r>
                </w:p>
              </w:tc>
              <w:tc>
                <w:tcPr>
                  <w:tcW w:w="835" w:type="pct"/>
                  <w:tcBorders>
                    <w:tl2br w:val="nil"/>
                    <w:tr2bl w:val="nil"/>
                  </w:tcBorders>
                  <w:shd w:val="clear" w:color="auto" w:fill="auto"/>
                  <w:noWrap w:val="0"/>
                  <w:vAlign w:val="center"/>
                </w:tcPr>
                <w:p w14:paraId="468576E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3E78D7E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0.1</w:t>
                  </w:r>
                </w:p>
              </w:tc>
              <w:tc>
                <w:tcPr>
                  <w:tcW w:w="701" w:type="pct"/>
                  <w:tcBorders>
                    <w:tl2br w:val="nil"/>
                    <w:tr2bl w:val="nil"/>
                  </w:tcBorders>
                  <w:shd w:val="clear" w:color="auto" w:fill="auto"/>
                  <w:noWrap w:val="0"/>
                  <w:vAlign w:val="center"/>
                </w:tcPr>
                <w:p w14:paraId="21389D81">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0.1L</w:t>
                  </w:r>
                </w:p>
              </w:tc>
              <w:tc>
                <w:tcPr>
                  <w:tcW w:w="713" w:type="pct"/>
                  <w:tcBorders>
                    <w:tl2br w:val="nil"/>
                    <w:tr2bl w:val="nil"/>
                  </w:tcBorders>
                  <w:noWrap w:val="0"/>
                  <w:vAlign w:val="center"/>
                </w:tcPr>
                <w:p w14:paraId="62885CC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0.050</w:t>
                  </w:r>
                </w:p>
              </w:tc>
            </w:tr>
            <w:tr w14:paraId="738FA4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6E169A3F">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24</w:t>
                  </w:r>
                </w:p>
              </w:tc>
              <w:tc>
                <w:tcPr>
                  <w:tcW w:w="1335" w:type="pct"/>
                  <w:tcBorders>
                    <w:tl2br w:val="nil"/>
                    <w:tr2bl w:val="nil"/>
                  </w:tcBorders>
                  <w:shd w:val="clear" w:color="auto" w:fill="auto"/>
                  <w:noWrap w:val="0"/>
                  <w:vAlign w:val="center"/>
                </w:tcPr>
                <w:p w14:paraId="42344E1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镉</w:t>
                  </w:r>
                </w:p>
              </w:tc>
              <w:tc>
                <w:tcPr>
                  <w:tcW w:w="835" w:type="pct"/>
                  <w:tcBorders>
                    <w:tl2br w:val="nil"/>
                    <w:tr2bl w:val="nil"/>
                  </w:tcBorders>
                  <w:shd w:val="clear" w:color="auto" w:fill="auto"/>
                  <w:noWrap w:val="0"/>
                  <w:vAlign w:val="center"/>
                </w:tcPr>
                <w:p w14:paraId="5BB41084">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0A00C0B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0.005</w:t>
                  </w:r>
                </w:p>
              </w:tc>
              <w:tc>
                <w:tcPr>
                  <w:tcW w:w="701" w:type="pct"/>
                  <w:tcBorders>
                    <w:tl2br w:val="nil"/>
                    <w:tr2bl w:val="nil"/>
                  </w:tcBorders>
                  <w:shd w:val="clear" w:color="auto" w:fill="auto"/>
                  <w:noWrap w:val="0"/>
                  <w:vAlign w:val="center"/>
                </w:tcPr>
                <w:p w14:paraId="0C167B6F">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0.005</w:t>
                  </w:r>
                  <w:r>
                    <w:rPr>
                      <w:rFonts w:hint="eastAsia" w:cs="Times New Roman"/>
                      <w:color w:val="auto"/>
                      <w:sz w:val="21"/>
                      <w:szCs w:val="21"/>
                      <w:lang w:val="en-US" w:eastAsia="zh-CN"/>
                    </w:rPr>
                    <w:t>L</w:t>
                  </w:r>
                </w:p>
              </w:tc>
              <w:tc>
                <w:tcPr>
                  <w:tcW w:w="713" w:type="pct"/>
                  <w:tcBorders>
                    <w:tl2br w:val="nil"/>
                    <w:tr2bl w:val="nil"/>
                  </w:tcBorders>
                  <w:noWrap w:val="0"/>
                  <w:vAlign w:val="center"/>
                </w:tcPr>
                <w:p w14:paraId="7008BC8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0.050</w:t>
                  </w:r>
                </w:p>
              </w:tc>
            </w:tr>
            <w:tr w14:paraId="584508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0F404E3D">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25</w:t>
                  </w:r>
                </w:p>
              </w:tc>
              <w:tc>
                <w:tcPr>
                  <w:tcW w:w="1335" w:type="pct"/>
                  <w:tcBorders>
                    <w:tl2br w:val="nil"/>
                    <w:tr2bl w:val="nil"/>
                  </w:tcBorders>
                  <w:shd w:val="clear" w:color="auto" w:fill="auto"/>
                  <w:noWrap w:val="0"/>
                  <w:vAlign w:val="center"/>
                </w:tcPr>
                <w:p w14:paraId="0F29115C">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Cs/>
                      <w:snapToGrid w:val="0"/>
                      <w:color w:val="auto"/>
                      <w:kern w:val="2"/>
                      <w:sz w:val="21"/>
                      <w:szCs w:val="21"/>
                      <w:lang w:val="en-US" w:eastAsia="zh-CN" w:bidi="ar-SA"/>
                    </w:rPr>
                  </w:pPr>
                  <w:r>
                    <w:rPr>
                      <w:rFonts w:hint="eastAsia" w:ascii="Times New Roman" w:hAnsi="Times New Roman" w:cs="Times New Roman"/>
                      <w:color w:val="auto"/>
                      <w:sz w:val="21"/>
                      <w:szCs w:val="21"/>
                    </w:rPr>
                    <w:t>铜</w:t>
                  </w:r>
                </w:p>
              </w:tc>
              <w:tc>
                <w:tcPr>
                  <w:tcW w:w="835" w:type="pct"/>
                  <w:tcBorders>
                    <w:tl2br w:val="nil"/>
                    <w:tr2bl w:val="nil"/>
                  </w:tcBorders>
                  <w:shd w:val="clear" w:color="auto" w:fill="auto"/>
                  <w:noWrap w:val="0"/>
                  <w:vAlign w:val="center"/>
                </w:tcPr>
                <w:p w14:paraId="646FABD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18662F0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1.0</w:t>
                  </w:r>
                </w:p>
              </w:tc>
              <w:tc>
                <w:tcPr>
                  <w:tcW w:w="701" w:type="pct"/>
                  <w:tcBorders>
                    <w:tl2br w:val="nil"/>
                    <w:tr2bl w:val="nil"/>
                  </w:tcBorders>
                  <w:shd w:val="clear" w:color="auto" w:fill="auto"/>
                  <w:noWrap w:val="0"/>
                  <w:vAlign w:val="center"/>
                </w:tcPr>
                <w:p w14:paraId="37A7FB5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Cs/>
                      <w:snapToGrid w:val="0"/>
                      <w:color w:val="auto"/>
                      <w:kern w:val="2"/>
                      <w:sz w:val="21"/>
                      <w:szCs w:val="21"/>
                      <w:lang w:val="en-US" w:eastAsia="zh-CN" w:bidi="ar-SA"/>
                    </w:rPr>
                  </w:pPr>
                  <w:r>
                    <w:rPr>
                      <w:rFonts w:hint="eastAsia" w:ascii="Times New Roman" w:hAnsi="Times New Roman" w:cs="Times New Roman"/>
                      <w:color w:val="auto"/>
                      <w:sz w:val="21"/>
                      <w:szCs w:val="21"/>
                    </w:rPr>
                    <w:t>1.0</w:t>
                  </w:r>
                  <w:r>
                    <w:rPr>
                      <w:rFonts w:hint="eastAsia" w:cs="Times New Roman"/>
                      <w:color w:val="auto"/>
                      <w:sz w:val="21"/>
                      <w:szCs w:val="21"/>
                      <w:lang w:val="en-US" w:eastAsia="zh-CN"/>
                    </w:rPr>
                    <w:t>L</w:t>
                  </w:r>
                </w:p>
              </w:tc>
              <w:tc>
                <w:tcPr>
                  <w:tcW w:w="713" w:type="pct"/>
                  <w:tcBorders>
                    <w:tl2br w:val="nil"/>
                    <w:tr2bl w:val="nil"/>
                  </w:tcBorders>
                  <w:noWrap w:val="0"/>
                  <w:vAlign w:val="center"/>
                </w:tcPr>
                <w:p w14:paraId="6AB0A1B4">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0.025</w:t>
                  </w:r>
                </w:p>
              </w:tc>
            </w:tr>
            <w:tr w14:paraId="31B3B1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036C36B8">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eastAsia" w:cs="Times New Roman"/>
                      <w:bCs/>
                      <w:snapToGrid w:val="0"/>
                      <w:color w:val="auto"/>
                      <w:sz w:val="21"/>
                      <w:szCs w:val="21"/>
                      <w:lang w:val="en-US" w:eastAsia="zh-CN"/>
                    </w:rPr>
                    <w:t>26</w:t>
                  </w:r>
                </w:p>
              </w:tc>
              <w:tc>
                <w:tcPr>
                  <w:tcW w:w="1335" w:type="pct"/>
                  <w:tcBorders>
                    <w:tl2br w:val="nil"/>
                    <w:tr2bl w:val="nil"/>
                  </w:tcBorders>
                  <w:shd w:val="clear" w:color="auto" w:fill="auto"/>
                  <w:noWrap w:val="0"/>
                  <w:vAlign w:val="center"/>
                </w:tcPr>
                <w:p w14:paraId="6A8117E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铅</w:t>
                  </w:r>
                </w:p>
              </w:tc>
              <w:tc>
                <w:tcPr>
                  <w:tcW w:w="835" w:type="pct"/>
                  <w:tcBorders>
                    <w:tl2br w:val="nil"/>
                    <w:tr2bl w:val="nil"/>
                  </w:tcBorders>
                  <w:shd w:val="clear" w:color="auto" w:fill="auto"/>
                  <w:noWrap w:val="0"/>
                  <w:vAlign w:val="center"/>
                </w:tcPr>
                <w:p w14:paraId="41DA88B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2E57459C">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0.05</w:t>
                  </w:r>
                </w:p>
              </w:tc>
              <w:tc>
                <w:tcPr>
                  <w:tcW w:w="701" w:type="pct"/>
                  <w:tcBorders>
                    <w:tl2br w:val="nil"/>
                    <w:tr2bl w:val="nil"/>
                  </w:tcBorders>
                  <w:shd w:val="clear" w:color="auto" w:fill="auto"/>
                  <w:noWrap w:val="0"/>
                  <w:vAlign w:val="center"/>
                </w:tcPr>
                <w:p w14:paraId="5274C67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0.05</w:t>
                  </w:r>
                  <w:r>
                    <w:rPr>
                      <w:rFonts w:hint="eastAsia" w:cs="Times New Roman"/>
                      <w:color w:val="auto"/>
                      <w:sz w:val="21"/>
                      <w:szCs w:val="21"/>
                      <w:lang w:val="en-US" w:eastAsia="zh-CN"/>
                    </w:rPr>
                    <w:t>L</w:t>
                  </w:r>
                </w:p>
              </w:tc>
              <w:tc>
                <w:tcPr>
                  <w:tcW w:w="713" w:type="pct"/>
                  <w:tcBorders>
                    <w:tl2br w:val="nil"/>
                    <w:tr2bl w:val="nil"/>
                  </w:tcBorders>
                  <w:noWrap w:val="0"/>
                  <w:vAlign w:val="center"/>
                </w:tcPr>
                <w:p w14:paraId="187777B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cs="Times New Roman"/>
                      <w:bCs/>
                      <w:color w:val="auto"/>
                      <w:sz w:val="21"/>
                      <w:szCs w:val="21"/>
                      <w:lang w:val="en-US" w:eastAsia="zh-CN"/>
                    </w:rPr>
                  </w:pPr>
                  <w:r>
                    <w:rPr>
                      <w:rFonts w:hint="eastAsia" w:cs="Times New Roman"/>
                      <w:bCs/>
                      <w:color w:val="auto"/>
                      <w:sz w:val="21"/>
                      <w:szCs w:val="21"/>
                      <w:lang w:val="en-US" w:eastAsia="zh-CN"/>
                    </w:rPr>
                    <w:t>0.025</w:t>
                  </w:r>
                </w:p>
              </w:tc>
            </w:tr>
            <w:tr w14:paraId="7627BE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7C7294D6">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eastAsia" w:cs="Times New Roman"/>
                      <w:bCs/>
                      <w:snapToGrid w:val="0"/>
                      <w:color w:val="auto"/>
                      <w:sz w:val="21"/>
                      <w:szCs w:val="21"/>
                      <w:lang w:val="en-US" w:eastAsia="zh-CN"/>
                    </w:rPr>
                    <w:t>27</w:t>
                  </w:r>
                </w:p>
              </w:tc>
              <w:tc>
                <w:tcPr>
                  <w:tcW w:w="1335" w:type="pct"/>
                  <w:tcBorders>
                    <w:tl2br w:val="nil"/>
                    <w:tr2bl w:val="nil"/>
                  </w:tcBorders>
                  <w:shd w:val="clear" w:color="auto" w:fill="auto"/>
                  <w:noWrap w:val="0"/>
                  <w:vAlign w:val="center"/>
                </w:tcPr>
                <w:p w14:paraId="5F36E26F">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Cs/>
                      <w:snapToGrid w:val="0"/>
                      <w:color w:val="auto"/>
                      <w:kern w:val="2"/>
                      <w:sz w:val="21"/>
                      <w:szCs w:val="21"/>
                      <w:lang w:val="en-US" w:eastAsia="zh-CN" w:bidi="ar-SA"/>
                    </w:rPr>
                  </w:pPr>
                  <w:r>
                    <w:rPr>
                      <w:rFonts w:hint="eastAsia" w:ascii="Times New Roman" w:hAnsi="Times New Roman" w:cs="Times New Roman"/>
                      <w:color w:val="auto"/>
                      <w:sz w:val="21"/>
                      <w:szCs w:val="21"/>
                    </w:rPr>
                    <w:t>锌</w:t>
                  </w:r>
                </w:p>
              </w:tc>
              <w:tc>
                <w:tcPr>
                  <w:tcW w:w="835" w:type="pct"/>
                  <w:tcBorders>
                    <w:tl2br w:val="nil"/>
                    <w:tr2bl w:val="nil"/>
                  </w:tcBorders>
                  <w:shd w:val="clear" w:color="auto" w:fill="auto"/>
                  <w:noWrap w:val="0"/>
                  <w:vAlign w:val="center"/>
                </w:tcPr>
                <w:p w14:paraId="3C6AD2B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52A28C0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≤1.0</w:t>
                  </w:r>
                </w:p>
              </w:tc>
              <w:tc>
                <w:tcPr>
                  <w:tcW w:w="701" w:type="pct"/>
                  <w:tcBorders>
                    <w:tl2br w:val="nil"/>
                    <w:tr2bl w:val="nil"/>
                  </w:tcBorders>
                  <w:shd w:val="clear" w:color="auto" w:fill="auto"/>
                  <w:noWrap w:val="0"/>
                  <w:vAlign w:val="center"/>
                </w:tcPr>
                <w:p w14:paraId="27AB330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Cs/>
                      <w:snapToGrid w:val="0"/>
                      <w:color w:val="auto"/>
                      <w:kern w:val="2"/>
                      <w:sz w:val="21"/>
                      <w:szCs w:val="21"/>
                      <w:lang w:val="en-US" w:eastAsia="zh-CN" w:bidi="ar-SA"/>
                    </w:rPr>
                  </w:pPr>
                  <w:r>
                    <w:rPr>
                      <w:rFonts w:hint="default" w:ascii="Times New Roman" w:hAnsi="Times New Roman" w:cs="Times New Roman"/>
                      <w:color w:val="auto"/>
                      <w:sz w:val="21"/>
                      <w:szCs w:val="21"/>
                    </w:rPr>
                    <w:t>1.0</w:t>
                  </w:r>
                  <w:r>
                    <w:rPr>
                      <w:rFonts w:hint="eastAsia" w:cs="Times New Roman"/>
                      <w:color w:val="auto"/>
                      <w:sz w:val="21"/>
                      <w:szCs w:val="21"/>
                      <w:lang w:val="en-US" w:eastAsia="zh-CN"/>
                    </w:rPr>
                    <w:t>L</w:t>
                  </w:r>
                </w:p>
              </w:tc>
              <w:tc>
                <w:tcPr>
                  <w:tcW w:w="713" w:type="pct"/>
                  <w:tcBorders>
                    <w:tl2br w:val="nil"/>
                    <w:tr2bl w:val="nil"/>
                  </w:tcBorders>
                  <w:noWrap w:val="0"/>
                  <w:vAlign w:val="center"/>
                </w:tcPr>
                <w:p w14:paraId="31FCA42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0.025</w:t>
                  </w:r>
                </w:p>
              </w:tc>
            </w:tr>
            <w:tr w14:paraId="16F2FC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52396E16">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eastAsia" w:cs="Times New Roman"/>
                      <w:bCs/>
                      <w:snapToGrid w:val="0"/>
                      <w:color w:val="auto"/>
                      <w:sz w:val="21"/>
                      <w:szCs w:val="21"/>
                      <w:lang w:val="en-US" w:eastAsia="zh-CN"/>
                    </w:rPr>
                    <w:t>28</w:t>
                  </w:r>
                </w:p>
              </w:tc>
              <w:tc>
                <w:tcPr>
                  <w:tcW w:w="1335" w:type="pct"/>
                  <w:tcBorders>
                    <w:tl2br w:val="nil"/>
                    <w:tr2bl w:val="nil"/>
                  </w:tcBorders>
                  <w:shd w:val="clear" w:color="auto" w:fill="auto"/>
                  <w:noWrap w:val="0"/>
                  <w:vAlign w:val="center"/>
                </w:tcPr>
                <w:p w14:paraId="3DA66662">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阴离子表面活性剂</w:t>
                  </w:r>
                </w:p>
              </w:tc>
              <w:tc>
                <w:tcPr>
                  <w:tcW w:w="835" w:type="pct"/>
                  <w:tcBorders>
                    <w:tl2br w:val="nil"/>
                    <w:tr2bl w:val="nil"/>
                  </w:tcBorders>
                  <w:shd w:val="clear" w:color="auto" w:fill="auto"/>
                  <w:noWrap w:val="0"/>
                  <w:vAlign w:val="center"/>
                </w:tcPr>
                <w:p w14:paraId="15E97469">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shd w:val="clear" w:color="auto" w:fill="auto"/>
                  <w:noWrap w:val="0"/>
                  <w:vAlign w:val="center"/>
                </w:tcPr>
                <w:p w14:paraId="2846034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0.2</w:t>
                  </w:r>
                </w:p>
              </w:tc>
              <w:tc>
                <w:tcPr>
                  <w:tcW w:w="701" w:type="pct"/>
                  <w:tcBorders>
                    <w:tl2br w:val="nil"/>
                    <w:tr2bl w:val="nil"/>
                  </w:tcBorders>
                  <w:shd w:val="clear" w:color="auto" w:fill="auto"/>
                  <w:noWrap w:val="0"/>
                  <w:vAlign w:val="center"/>
                </w:tcPr>
                <w:p w14:paraId="6601DE2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0.2</w:t>
                  </w:r>
                  <w:r>
                    <w:rPr>
                      <w:rFonts w:hint="eastAsia" w:cs="Times New Roman"/>
                      <w:color w:val="auto"/>
                      <w:sz w:val="21"/>
                      <w:szCs w:val="21"/>
                      <w:lang w:val="en-US" w:eastAsia="zh-CN"/>
                    </w:rPr>
                    <w:t>L</w:t>
                  </w:r>
                </w:p>
              </w:tc>
              <w:tc>
                <w:tcPr>
                  <w:tcW w:w="713" w:type="pct"/>
                  <w:tcBorders>
                    <w:tl2br w:val="nil"/>
                    <w:tr2bl w:val="nil"/>
                  </w:tcBorders>
                  <w:noWrap w:val="0"/>
                  <w:vAlign w:val="center"/>
                </w:tcPr>
                <w:p w14:paraId="6CDAA46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0.125</w:t>
                  </w:r>
                </w:p>
              </w:tc>
            </w:tr>
            <w:tr w14:paraId="45032E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2C995522">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bCs/>
                      <w:snapToGrid w:val="0"/>
                      <w:color w:val="auto"/>
                      <w:kern w:val="2"/>
                      <w:sz w:val="21"/>
                      <w:szCs w:val="21"/>
                      <w:lang w:val="en-US" w:eastAsia="zh-CN" w:bidi="ar-SA"/>
                    </w:rPr>
                  </w:pPr>
                  <w:r>
                    <w:rPr>
                      <w:rFonts w:hint="eastAsia" w:cs="Times New Roman"/>
                      <w:bCs/>
                      <w:snapToGrid w:val="0"/>
                      <w:color w:val="auto"/>
                      <w:sz w:val="21"/>
                      <w:szCs w:val="21"/>
                      <w:lang w:val="en-US" w:eastAsia="zh-CN"/>
                    </w:rPr>
                    <w:t>29</w:t>
                  </w:r>
                </w:p>
              </w:tc>
              <w:tc>
                <w:tcPr>
                  <w:tcW w:w="1335" w:type="pct"/>
                  <w:tcBorders>
                    <w:tl2br w:val="nil"/>
                    <w:tr2bl w:val="nil"/>
                  </w:tcBorders>
                  <w:shd w:val="clear" w:color="auto" w:fill="auto"/>
                  <w:noWrap w:val="0"/>
                  <w:vAlign w:val="center"/>
                </w:tcPr>
                <w:p w14:paraId="470905F6">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粪大肠菌群（个/L）</w:t>
                  </w:r>
                </w:p>
              </w:tc>
              <w:tc>
                <w:tcPr>
                  <w:tcW w:w="835" w:type="pct"/>
                  <w:tcBorders>
                    <w:tl2br w:val="nil"/>
                    <w:tr2bl w:val="nil"/>
                  </w:tcBorders>
                  <w:shd w:val="clear" w:color="auto" w:fill="auto"/>
                  <w:noWrap w:val="0"/>
                  <w:vAlign w:val="center"/>
                </w:tcPr>
                <w:p w14:paraId="04551826">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无量纲</w:t>
                  </w:r>
                </w:p>
              </w:tc>
              <w:tc>
                <w:tcPr>
                  <w:tcW w:w="988" w:type="pct"/>
                  <w:tcBorders>
                    <w:tl2br w:val="nil"/>
                    <w:tr2bl w:val="nil"/>
                  </w:tcBorders>
                  <w:shd w:val="clear" w:color="auto" w:fill="auto"/>
                  <w:noWrap w:val="0"/>
                  <w:vAlign w:val="center"/>
                </w:tcPr>
                <w:p w14:paraId="29303DA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10000</w:t>
                  </w:r>
                </w:p>
              </w:tc>
              <w:tc>
                <w:tcPr>
                  <w:tcW w:w="701" w:type="pct"/>
                  <w:tcBorders>
                    <w:tl2br w:val="nil"/>
                    <w:tr2bl w:val="nil"/>
                  </w:tcBorders>
                  <w:shd w:val="clear" w:color="auto" w:fill="auto"/>
                  <w:noWrap w:val="0"/>
                  <w:vAlign w:val="center"/>
                </w:tcPr>
                <w:p w14:paraId="05431B7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rPr>
                    <w:t>10000</w:t>
                  </w:r>
                  <w:r>
                    <w:rPr>
                      <w:rFonts w:hint="eastAsia" w:cs="Times New Roman"/>
                      <w:color w:val="auto"/>
                      <w:sz w:val="21"/>
                      <w:szCs w:val="21"/>
                      <w:lang w:val="en-US" w:eastAsia="zh-CN"/>
                    </w:rPr>
                    <w:t>L</w:t>
                  </w:r>
                </w:p>
              </w:tc>
              <w:tc>
                <w:tcPr>
                  <w:tcW w:w="713" w:type="pct"/>
                  <w:tcBorders>
                    <w:tl2br w:val="nil"/>
                    <w:tr2bl w:val="nil"/>
                  </w:tcBorders>
                  <w:noWrap w:val="0"/>
                  <w:vAlign w:val="center"/>
                </w:tcPr>
                <w:p w14:paraId="29EAF77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w:t>
                  </w:r>
                </w:p>
              </w:tc>
            </w:tr>
            <w:tr w14:paraId="7405E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4C0E345D">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30</w:t>
                  </w:r>
                </w:p>
              </w:tc>
              <w:tc>
                <w:tcPr>
                  <w:tcW w:w="1335" w:type="pct"/>
                  <w:tcBorders>
                    <w:tl2br w:val="nil"/>
                    <w:tr2bl w:val="nil"/>
                  </w:tcBorders>
                  <w:noWrap w:val="0"/>
                  <w:vAlign w:val="center"/>
                </w:tcPr>
                <w:p w14:paraId="5B7FB19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eastAsia="宋体" w:cs="Times New Roman"/>
                      <w:bCs/>
                      <w:snapToGrid w:val="0"/>
                      <w:color w:val="auto"/>
                      <w:sz w:val="21"/>
                      <w:szCs w:val="21"/>
                      <w:lang w:val="en-US" w:eastAsia="zh-CN"/>
                    </w:rPr>
                  </w:pPr>
                  <w:r>
                    <w:rPr>
                      <w:rFonts w:hint="eastAsia" w:cs="Times New Roman"/>
                      <w:bCs/>
                      <w:snapToGrid w:val="0"/>
                      <w:color w:val="auto"/>
                      <w:sz w:val="21"/>
                      <w:szCs w:val="21"/>
                      <w:lang w:val="en-US" w:eastAsia="zh-CN"/>
                    </w:rPr>
                    <w:t>苯</w:t>
                  </w:r>
                </w:p>
              </w:tc>
              <w:tc>
                <w:tcPr>
                  <w:tcW w:w="835" w:type="pct"/>
                  <w:tcBorders>
                    <w:tl2br w:val="nil"/>
                    <w:tr2bl w:val="nil"/>
                  </w:tcBorders>
                  <w:shd w:val="clear" w:color="auto" w:fill="auto"/>
                  <w:noWrap w:val="0"/>
                  <w:vAlign w:val="center"/>
                </w:tcPr>
                <w:p w14:paraId="0CAD609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0EA37E93">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bCs/>
                      <w:snapToGrid w:val="0"/>
                      <w:color w:val="auto"/>
                      <w:sz w:val="21"/>
                      <w:szCs w:val="21"/>
                      <w:lang w:val="en-US" w:eastAsia="zh-CN"/>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0.01</w:t>
                  </w:r>
                </w:p>
              </w:tc>
              <w:tc>
                <w:tcPr>
                  <w:tcW w:w="701" w:type="pct"/>
                  <w:tcBorders>
                    <w:tl2br w:val="nil"/>
                    <w:tr2bl w:val="nil"/>
                  </w:tcBorders>
                  <w:shd w:val="clear" w:color="auto" w:fill="auto"/>
                  <w:noWrap w:val="0"/>
                  <w:vAlign w:val="center"/>
                </w:tcPr>
                <w:p w14:paraId="1332F8F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bCs/>
                      <w:snapToGrid w:val="0"/>
                      <w:color w:val="auto"/>
                      <w:kern w:val="2"/>
                      <w:sz w:val="21"/>
                      <w:szCs w:val="21"/>
                      <w:lang w:val="en-US" w:eastAsia="zh-CN" w:bidi="ar-SA"/>
                    </w:rPr>
                  </w:pPr>
                  <w:r>
                    <w:rPr>
                      <w:rFonts w:hint="eastAsia" w:cs="Times New Roman"/>
                      <w:color w:val="auto"/>
                      <w:sz w:val="21"/>
                      <w:szCs w:val="21"/>
                      <w:lang w:val="en-US" w:eastAsia="zh-CN"/>
                    </w:rPr>
                    <w:t>0.01L</w:t>
                  </w:r>
                </w:p>
              </w:tc>
              <w:tc>
                <w:tcPr>
                  <w:tcW w:w="713" w:type="pct"/>
                  <w:tcBorders>
                    <w:tl2br w:val="nil"/>
                    <w:tr2bl w:val="nil"/>
                  </w:tcBorders>
                  <w:noWrap w:val="0"/>
                  <w:vAlign w:val="center"/>
                </w:tcPr>
                <w:p w14:paraId="12D94092">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0.100</w:t>
                  </w:r>
                </w:p>
              </w:tc>
            </w:tr>
            <w:tr w14:paraId="0DA6DE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1D69399D">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31</w:t>
                  </w:r>
                </w:p>
              </w:tc>
              <w:tc>
                <w:tcPr>
                  <w:tcW w:w="1335" w:type="pct"/>
                  <w:tcBorders>
                    <w:tl2br w:val="nil"/>
                    <w:tr2bl w:val="nil"/>
                  </w:tcBorders>
                  <w:noWrap w:val="0"/>
                  <w:vAlign w:val="center"/>
                </w:tcPr>
                <w:p w14:paraId="34C8499E">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甲苯</w:t>
                  </w:r>
                </w:p>
              </w:tc>
              <w:tc>
                <w:tcPr>
                  <w:tcW w:w="835" w:type="pct"/>
                  <w:tcBorders>
                    <w:tl2br w:val="nil"/>
                    <w:tr2bl w:val="nil"/>
                  </w:tcBorders>
                  <w:shd w:val="clear" w:color="auto" w:fill="auto"/>
                  <w:noWrap w:val="0"/>
                  <w:vAlign w:val="center"/>
                </w:tcPr>
                <w:p w14:paraId="7EC682A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33149561">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0.7</w:t>
                  </w:r>
                </w:p>
              </w:tc>
              <w:tc>
                <w:tcPr>
                  <w:tcW w:w="701" w:type="pct"/>
                  <w:tcBorders>
                    <w:tl2br w:val="nil"/>
                    <w:tr2bl w:val="nil"/>
                  </w:tcBorders>
                  <w:shd w:val="clear" w:color="auto" w:fill="auto"/>
                  <w:noWrap w:val="0"/>
                  <w:vAlign w:val="center"/>
                </w:tcPr>
                <w:p w14:paraId="6219233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0.7L</w:t>
                  </w:r>
                </w:p>
              </w:tc>
              <w:tc>
                <w:tcPr>
                  <w:tcW w:w="713" w:type="pct"/>
                  <w:tcBorders>
                    <w:tl2br w:val="nil"/>
                    <w:tr2bl w:val="nil"/>
                  </w:tcBorders>
                  <w:noWrap w:val="0"/>
                  <w:vAlign w:val="center"/>
                </w:tcPr>
                <w:p w14:paraId="4615E0F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0.001</w:t>
                  </w:r>
                </w:p>
              </w:tc>
            </w:tr>
            <w:tr w14:paraId="7D3D58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shd w:val="clear" w:color="auto" w:fill="auto"/>
                  <w:noWrap w:val="0"/>
                  <w:vAlign w:val="center"/>
                </w:tcPr>
                <w:p w14:paraId="6AA1B9A7">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leftChars="0" w:right="0" w:rightChars="0"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32</w:t>
                  </w:r>
                </w:p>
              </w:tc>
              <w:tc>
                <w:tcPr>
                  <w:tcW w:w="1335" w:type="pct"/>
                  <w:tcBorders>
                    <w:tl2br w:val="nil"/>
                    <w:tr2bl w:val="nil"/>
                  </w:tcBorders>
                  <w:noWrap w:val="0"/>
                  <w:vAlign w:val="center"/>
                </w:tcPr>
                <w:p w14:paraId="05AE52F1">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二甲苯</w:t>
                  </w:r>
                </w:p>
              </w:tc>
              <w:tc>
                <w:tcPr>
                  <w:tcW w:w="835" w:type="pct"/>
                  <w:tcBorders>
                    <w:tl2br w:val="nil"/>
                    <w:tr2bl w:val="nil"/>
                  </w:tcBorders>
                  <w:shd w:val="clear" w:color="auto" w:fill="auto"/>
                  <w:noWrap w:val="0"/>
                  <w:vAlign w:val="center"/>
                </w:tcPr>
                <w:p w14:paraId="07E124D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7FA44C90">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0.5</w:t>
                  </w:r>
                </w:p>
              </w:tc>
              <w:tc>
                <w:tcPr>
                  <w:tcW w:w="701" w:type="pct"/>
                  <w:tcBorders>
                    <w:tl2br w:val="nil"/>
                    <w:tr2bl w:val="nil"/>
                  </w:tcBorders>
                  <w:shd w:val="clear" w:color="auto" w:fill="auto"/>
                  <w:noWrap w:val="0"/>
                  <w:vAlign w:val="center"/>
                </w:tcPr>
                <w:p w14:paraId="425BD3E8">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0.5L</w:t>
                  </w:r>
                </w:p>
              </w:tc>
              <w:tc>
                <w:tcPr>
                  <w:tcW w:w="713" w:type="pct"/>
                  <w:tcBorders>
                    <w:tl2br w:val="nil"/>
                    <w:tr2bl w:val="nil"/>
                  </w:tcBorders>
                  <w:noWrap w:val="0"/>
                  <w:vAlign w:val="center"/>
                </w:tcPr>
                <w:p w14:paraId="524B9152">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0.006</w:t>
                  </w:r>
                </w:p>
              </w:tc>
            </w:tr>
            <w:tr w14:paraId="75AA9B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noWrap w:val="0"/>
                  <w:vAlign w:val="center"/>
                </w:tcPr>
                <w:p w14:paraId="2571F7E0">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33</w:t>
                  </w:r>
                </w:p>
              </w:tc>
              <w:tc>
                <w:tcPr>
                  <w:tcW w:w="1335" w:type="pct"/>
                  <w:tcBorders>
                    <w:tl2br w:val="nil"/>
                    <w:tr2bl w:val="nil"/>
                  </w:tcBorders>
                  <w:noWrap w:val="0"/>
                  <w:vAlign w:val="center"/>
                </w:tcPr>
                <w:p w14:paraId="7F475D6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苯并[a]芘</w:t>
                  </w:r>
                </w:p>
              </w:tc>
              <w:tc>
                <w:tcPr>
                  <w:tcW w:w="835" w:type="pct"/>
                  <w:tcBorders>
                    <w:tl2br w:val="nil"/>
                    <w:tr2bl w:val="nil"/>
                  </w:tcBorders>
                  <w:shd w:val="clear" w:color="auto" w:fill="auto"/>
                  <w:noWrap w:val="0"/>
                  <w:vAlign w:val="center"/>
                </w:tcPr>
                <w:p w14:paraId="31F6C1BD">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黑体" w:cs="Times New Roman"/>
                      <w:b w:val="0"/>
                      <w:bCs w:val="0"/>
                      <w:color w:val="auto"/>
                      <w:sz w:val="21"/>
                      <w:szCs w:val="21"/>
                    </w:rPr>
                    <w:t>mg/L</w:t>
                  </w:r>
                </w:p>
              </w:tc>
              <w:tc>
                <w:tcPr>
                  <w:tcW w:w="988" w:type="pct"/>
                  <w:tcBorders>
                    <w:tl2br w:val="nil"/>
                    <w:tr2bl w:val="nil"/>
                  </w:tcBorders>
                  <w:noWrap w:val="0"/>
                  <w:vAlign w:val="center"/>
                </w:tcPr>
                <w:p w14:paraId="461B140A">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w:t>
                  </w:r>
                  <w:r>
                    <w:rPr>
                      <w:rFonts w:hint="eastAsia" w:cs="Times New Roman"/>
                      <w:color w:val="auto"/>
                      <w:sz w:val="21"/>
                      <w:szCs w:val="21"/>
                      <w:lang w:val="en-US" w:eastAsia="zh-CN"/>
                    </w:rPr>
                    <w:t>2.8×10</w:t>
                  </w:r>
                  <w:r>
                    <w:rPr>
                      <w:rFonts w:hint="eastAsia" w:cs="Times New Roman"/>
                      <w:color w:val="auto"/>
                      <w:sz w:val="21"/>
                      <w:szCs w:val="21"/>
                      <w:vertAlign w:val="superscript"/>
                      <w:lang w:val="en-US" w:eastAsia="zh-CN"/>
                    </w:rPr>
                    <w:t>-6</w:t>
                  </w:r>
                </w:p>
              </w:tc>
              <w:tc>
                <w:tcPr>
                  <w:tcW w:w="701" w:type="pct"/>
                  <w:tcBorders>
                    <w:tl2br w:val="nil"/>
                    <w:tr2bl w:val="nil"/>
                  </w:tcBorders>
                  <w:shd w:val="clear" w:color="auto" w:fill="auto"/>
                  <w:noWrap w:val="0"/>
                  <w:vAlign w:val="center"/>
                </w:tcPr>
                <w:p w14:paraId="3FBDC75B">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leftChars="0" w:right="0" w:rightChars="0" w:firstLine="0" w:firstLineChars="0"/>
                    <w:jc w:val="center"/>
                    <w:rPr>
                      <w:rFonts w:hint="default" w:ascii="Times New Roman" w:hAnsi="Times New Roman" w:eastAsia="宋体" w:cs="Times New Roman"/>
                      <w:color w:val="auto"/>
                      <w:kern w:val="2"/>
                      <w:sz w:val="21"/>
                      <w:szCs w:val="21"/>
                      <w:vertAlign w:val="baseline"/>
                      <w:lang w:val="en-US" w:eastAsia="zh-CN" w:bidi="ar-SA"/>
                    </w:rPr>
                  </w:pPr>
                  <w:r>
                    <w:rPr>
                      <w:rFonts w:hint="eastAsia" w:cs="Times New Roman"/>
                      <w:color w:val="auto"/>
                      <w:sz w:val="21"/>
                      <w:szCs w:val="21"/>
                      <w:lang w:val="en-US" w:eastAsia="zh-CN"/>
                    </w:rPr>
                    <w:t>2.8×10</w:t>
                  </w:r>
                  <w:r>
                    <w:rPr>
                      <w:rFonts w:hint="eastAsia" w:cs="Times New Roman"/>
                      <w:color w:val="auto"/>
                      <w:sz w:val="21"/>
                      <w:szCs w:val="21"/>
                      <w:vertAlign w:val="superscript"/>
                      <w:lang w:val="en-US" w:eastAsia="zh-CN"/>
                    </w:rPr>
                    <w:t>-6</w:t>
                  </w:r>
                  <w:r>
                    <w:rPr>
                      <w:rFonts w:hint="eastAsia" w:cs="Times New Roman"/>
                      <w:color w:val="auto"/>
                      <w:sz w:val="21"/>
                      <w:szCs w:val="21"/>
                      <w:vertAlign w:val="baseline"/>
                      <w:lang w:val="en-US" w:eastAsia="zh-CN"/>
                    </w:rPr>
                    <w:t>L</w:t>
                  </w:r>
                </w:p>
              </w:tc>
              <w:tc>
                <w:tcPr>
                  <w:tcW w:w="713" w:type="pct"/>
                  <w:tcBorders>
                    <w:tl2br w:val="nil"/>
                    <w:tr2bl w:val="nil"/>
                  </w:tcBorders>
                  <w:noWrap w:val="0"/>
                  <w:vAlign w:val="center"/>
                </w:tcPr>
                <w:p w14:paraId="5FE93B85">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0.25</w:t>
                  </w:r>
                </w:p>
              </w:tc>
            </w:tr>
            <w:tr w14:paraId="1D87BB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9" w:hRule="atLeast"/>
              </w:trPr>
              <w:tc>
                <w:tcPr>
                  <w:tcW w:w="425" w:type="pct"/>
                  <w:tcBorders>
                    <w:tl2br w:val="nil"/>
                    <w:tr2bl w:val="nil"/>
                  </w:tcBorders>
                  <w:noWrap w:val="0"/>
                  <w:vAlign w:val="center"/>
                </w:tcPr>
                <w:p w14:paraId="66F363EF">
                  <w:pPr>
                    <w:keepNext w:val="0"/>
                    <w:keepLines w:val="0"/>
                    <w:pageBreakBefore w:val="0"/>
                    <w:widowControl w:val="0"/>
                    <w:suppressLineNumbers w:val="0"/>
                    <w:kinsoku/>
                    <w:wordWrap/>
                    <w:overflowPunct/>
                    <w:topLinePunct w:val="0"/>
                    <w:autoSpaceDE/>
                    <w:autoSpaceDN w:val="0"/>
                    <w:bidi w:val="0"/>
                    <w:adjustRightInd/>
                    <w:snapToGrid w:val="0"/>
                    <w:spacing w:before="0" w:beforeAutospacing="0" w:after="0" w:afterAutospacing="0" w:line="240" w:lineRule="atLeast"/>
                    <w:ind w:left="0" w:right="0"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注</w:t>
                  </w:r>
                </w:p>
              </w:tc>
              <w:tc>
                <w:tcPr>
                  <w:tcW w:w="4574" w:type="pct"/>
                  <w:gridSpan w:val="5"/>
                  <w:tcBorders>
                    <w:tl2br w:val="nil"/>
                    <w:tr2bl w:val="nil"/>
                  </w:tcBorders>
                  <w:noWrap w:val="0"/>
                  <w:vAlign w:val="center"/>
                </w:tcPr>
                <w:p w14:paraId="0C0E3857">
                  <w:pPr>
                    <w:keepNext w:val="0"/>
                    <w:keepLines w:val="0"/>
                    <w:pageBreakBefore w:val="0"/>
                    <w:widowControl w:val="0"/>
                    <w:suppressLineNumbers w:val="0"/>
                    <w:kinsoku/>
                    <w:wordWrap/>
                    <w:overflowPunct/>
                    <w:topLinePunct w:val="0"/>
                    <w:autoSpaceDE/>
                    <w:bidi w:val="0"/>
                    <w:adjustRightInd/>
                    <w:snapToGrid w:val="0"/>
                    <w:spacing w:before="0" w:beforeAutospacing="0" w:after="0" w:afterAutospacing="0" w:line="240" w:lineRule="atLeast"/>
                    <w:ind w:left="0" w:right="0" w:firstLine="0" w:firstLineChars="0"/>
                    <w:contextualSpacing/>
                    <w:jc w:val="center"/>
                    <w:rPr>
                      <w:rFonts w:hint="eastAsia" w:cs="Times New Roman"/>
                      <w:color w:val="auto"/>
                      <w:kern w:val="0"/>
                      <w:sz w:val="21"/>
                      <w:szCs w:val="21"/>
                      <w:lang w:val="en-US" w:eastAsia="zh-CN"/>
                    </w:rPr>
                  </w:pPr>
                  <w:r>
                    <w:rPr>
                      <w:rFonts w:hint="eastAsia" w:cs="Times New Roman"/>
                      <w:color w:val="auto"/>
                      <w:sz w:val="21"/>
                      <w:szCs w:val="21"/>
                      <w:lang w:val="en-US" w:eastAsia="zh-CN"/>
                    </w:rPr>
                    <w:t>数据加L，表示低于检出限，结果减半计。</w:t>
                  </w:r>
                </w:p>
              </w:tc>
            </w:tr>
            <w:bookmarkEnd w:id="8"/>
          </w:tbl>
          <w:p w14:paraId="6AF0502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color w:val="auto"/>
                <w:lang w:val="en-US"/>
              </w:rPr>
            </w:pPr>
            <w:r>
              <w:rPr>
                <w:rFonts w:hint="default" w:ascii="Times New Roman" w:hAnsi="Times New Roman" w:cs="Times New Roman"/>
                <w:color w:val="auto"/>
                <w:sz w:val="24"/>
                <w:szCs w:val="24"/>
              </w:rPr>
              <w:t>由上表可知，</w:t>
            </w:r>
            <w:r>
              <w:rPr>
                <w:rFonts w:hint="eastAsia" w:cs="Times New Roman"/>
                <w:color w:val="auto"/>
                <w:sz w:val="24"/>
                <w:szCs w:val="24"/>
                <w:lang w:val="en-US" w:eastAsia="zh-CN"/>
              </w:rPr>
              <w:t>奎屯</w:t>
            </w:r>
            <w:r>
              <w:rPr>
                <w:rFonts w:hint="eastAsia" w:ascii="Times New Roman" w:hAnsi="Times New Roman" w:cs="Times New Roman"/>
                <w:color w:val="auto"/>
                <w:sz w:val="24"/>
                <w:szCs w:val="24"/>
              </w:rPr>
              <w:t>河</w:t>
            </w:r>
            <w:r>
              <w:rPr>
                <w:rFonts w:hint="default" w:ascii="Times New Roman" w:hAnsi="Times New Roman" w:cs="Times New Roman"/>
                <w:color w:val="auto"/>
                <w:sz w:val="24"/>
                <w:szCs w:val="24"/>
              </w:rPr>
              <w:t>各监测因子均未超过《地表水环境质量标准》（GB3838-2002）Ⅲ类标准限值，该河段水质良好。</w:t>
            </w:r>
          </w:p>
          <w:p w14:paraId="4F9CEA5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textAlignment w:val="auto"/>
              <w:rPr>
                <w:rFonts w:hint="default"/>
                <w:b/>
                <w:bCs/>
                <w:color w:val="auto"/>
                <w:sz w:val="24"/>
              </w:rPr>
            </w:pPr>
            <w:r>
              <w:rPr>
                <w:rFonts w:hint="default"/>
                <w:b/>
                <w:bCs/>
                <w:color w:val="auto"/>
                <w:sz w:val="24"/>
              </w:rPr>
              <w:t>3</w:t>
            </w:r>
            <w:r>
              <w:rPr>
                <w:rFonts w:hint="eastAsia"/>
                <w:b/>
                <w:bCs/>
                <w:color w:val="auto"/>
                <w:sz w:val="24"/>
              </w:rPr>
              <w:t>、</w:t>
            </w:r>
            <w:r>
              <w:rPr>
                <w:rFonts w:hint="default"/>
                <w:b/>
                <w:bCs/>
                <w:color w:val="auto"/>
                <w:sz w:val="24"/>
              </w:rPr>
              <w:t>地下水</w:t>
            </w:r>
            <w:r>
              <w:rPr>
                <w:rFonts w:hint="eastAsia"/>
                <w:b/>
                <w:bCs/>
                <w:color w:val="auto"/>
                <w:sz w:val="24"/>
              </w:rPr>
              <w:t>、土壤</w:t>
            </w:r>
            <w:r>
              <w:rPr>
                <w:rFonts w:hint="default"/>
                <w:b/>
                <w:bCs/>
                <w:color w:val="auto"/>
                <w:sz w:val="24"/>
              </w:rPr>
              <w:t>环境现状调查及评价</w:t>
            </w:r>
          </w:p>
          <w:p w14:paraId="26B07BA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eastAsia" w:eastAsia="宋体"/>
                <w:color w:val="auto"/>
                <w:sz w:val="24"/>
                <w:lang w:eastAsia="zh-CN"/>
              </w:rPr>
            </w:pPr>
            <w:r>
              <w:rPr>
                <w:rFonts w:hint="eastAsia"/>
                <w:color w:val="auto"/>
                <w:sz w:val="24"/>
              </w:rPr>
              <w:t>根据《建设项目环境影响报告表编制技术指南（污染影响类</w:t>
            </w:r>
            <w:r>
              <w:rPr>
                <w:rFonts w:hint="eastAsia"/>
                <w:color w:val="auto"/>
                <w:sz w:val="24"/>
                <w:lang w:eastAsia="zh-CN"/>
              </w:rPr>
              <w:t>）</w:t>
            </w:r>
            <w:r>
              <w:rPr>
                <w:rFonts w:hint="eastAsia"/>
                <w:color w:val="auto"/>
                <w:sz w:val="24"/>
              </w:rPr>
              <w:t>（试行</w:t>
            </w:r>
            <w:r>
              <w:rPr>
                <w:rFonts w:hint="eastAsia"/>
                <w:color w:val="auto"/>
                <w:sz w:val="24"/>
                <w:lang w:eastAsia="zh-CN"/>
              </w:rPr>
              <w:t>）</w:t>
            </w:r>
            <w:r>
              <w:rPr>
                <w:rFonts w:hint="eastAsia"/>
                <w:color w:val="auto"/>
                <w:sz w:val="24"/>
              </w:rPr>
              <w:t>》，</w:t>
            </w:r>
            <w:r>
              <w:rPr>
                <w:rFonts w:hint="eastAsia"/>
                <w:color w:val="auto"/>
                <w:sz w:val="24"/>
                <w:lang w:eastAsia="zh-CN"/>
              </w:rPr>
              <w:t>“</w:t>
            </w:r>
            <w:r>
              <w:rPr>
                <w:rFonts w:hint="eastAsia"/>
                <w:color w:val="auto"/>
                <w:sz w:val="24"/>
              </w:rPr>
              <w:t>地下水、土壤环境。原则上不开展环境质量现状调查。建设项目存在土壤、地下水环境污染途径的，应结合污染源、保护目标分布情况开展现状调查以留作背景值。</w:t>
            </w:r>
            <w:r>
              <w:rPr>
                <w:rFonts w:hint="eastAsia"/>
                <w:color w:val="auto"/>
                <w:sz w:val="24"/>
                <w:lang w:eastAsia="zh-CN"/>
              </w:rPr>
              <w:t>”</w:t>
            </w:r>
          </w:p>
          <w:p w14:paraId="65AFA9B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color w:val="auto"/>
                <w:sz w:val="24"/>
              </w:rPr>
            </w:pPr>
            <w:r>
              <w:rPr>
                <w:rFonts w:hint="eastAsia"/>
                <w:color w:val="auto"/>
                <w:sz w:val="24"/>
              </w:rPr>
              <w:t>本项目</w:t>
            </w:r>
            <w:r>
              <w:rPr>
                <w:rFonts w:hint="eastAsia"/>
                <w:color w:val="auto"/>
                <w:sz w:val="24"/>
                <w:lang w:val="en-US" w:eastAsia="zh-CN"/>
              </w:rPr>
              <w:t>主要污染为生物质热风炉</w:t>
            </w:r>
            <w:r>
              <w:rPr>
                <w:rFonts w:hint="eastAsia"/>
                <w:color w:val="auto"/>
                <w:sz w:val="24"/>
              </w:rPr>
              <w:t>，属于</w:t>
            </w:r>
            <w:r>
              <w:rPr>
                <w:rFonts w:hint="default"/>
                <w:color w:val="auto"/>
                <w:sz w:val="24"/>
              </w:rPr>
              <w:t>热力生产和供应业</w:t>
            </w:r>
            <w:r>
              <w:rPr>
                <w:rFonts w:hint="eastAsia"/>
                <w:color w:val="auto"/>
                <w:sz w:val="24"/>
              </w:rPr>
              <w:t>，不存在土壤、地下水环境污染途径</w:t>
            </w:r>
            <w:r>
              <w:rPr>
                <w:rFonts w:hint="eastAsia"/>
                <w:b w:val="0"/>
                <w:bCs/>
                <w:color w:val="auto"/>
                <w:sz w:val="24"/>
                <w:highlight w:val="none"/>
                <w:lang w:val="en-US" w:eastAsia="zh-CN"/>
              </w:rPr>
              <w:t>，因此，本评价不再对地下水、土壤环境进行现状评价。</w:t>
            </w:r>
          </w:p>
          <w:p w14:paraId="06FD114F">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textAlignment w:val="auto"/>
              <w:rPr>
                <w:rFonts w:hint="default"/>
                <w:b/>
                <w:bCs/>
                <w:color w:val="auto"/>
                <w:kern w:val="0"/>
                <w:sz w:val="24"/>
              </w:rPr>
            </w:pPr>
            <w:r>
              <w:rPr>
                <w:rFonts w:hint="default"/>
                <w:b/>
                <w:bCs/>
                <w:color w:val="auto"/>
                <w:kern w:val="0"/>
                <w:sz w:val="24"/>
              </w:rPr>
              <w:t>4</w:t>
            </w:r>
            <w:r>
              <w:rPr>
                <w:rFonts w:hint="eastAsia"/>
                <w:b/>
                <w:bCs/>
                <w:color w:val="auto"/>
                <w:kern w:val="0"/>
                <w:sz w:val="24"/>
              </w:rPr>
              <w:t>、</w:t>
            </w:r>
            <w:r>
              <w:rPr>
                <w:rFonts w:hint="default"/>
                <w:b/>
                <w:bCs/>
                <w:color w:val="auto"/>
                <w:kern w:val="0"/>
                <w:sz w:val="24"/>
              </w:rPr>
              <w:t>声环境质量现状监测及评价</w:t>
            </w:r>
          </w:p>
          <w:p w14:paraId="376A347B">
            <w:pPr>
              <w:pStyle w:val="32"/>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color w:val="auto"/>
                <w:sz w:val="24"/>
              </w:rPr>
            </w:pPr>
            <w:r>
              <w:rPr>
                <w:rFonts w:hint="eastAsia"/>
                <w:color w:val="auto"/>
                <w:sz w:val="24"/>
              </w:rPr>
              <w:t>依据《建设项目环境影响报告表编制技术指南（污染影响类</w:t>
            </w:r>
            <w:r>
              <w:rPr>
                <w:rFonts w:hint="eastAsia"/>
                <w:color w:val="auto"/>
                <w:sz w:val="24"/>
                <w:lang w:eastAsia="zh-CN"/>
              </w:rPr>
              <w:t>）</w:t>
            </w:r>
            <w:r>
              <w:rPr>
                <w:rFonts w:hint="eastAsia"/>
                <w:color w:val="auto"/>
                <w:sz w:val="24"/>
              </w:rPr>
              <w:t>（试行</w:t>
            </w:r>
            <w:r>
              <w:rPr>
                <w:rFonts w:hint="eastAsia"/>
                <w:color w:val="auto"/>
                <w:sz w:val="24"/>
                <w:lang w:eastAsia="zh-CN"/>
              </w:rPr>
              <w:t>）</w:t>
            </w:r>
            <w:r>
              <w:rPr>
                <w:rFonts w:hint="eastAsia"/>
                <w:color w:val="auto"/>
                <w:sz w:val="24"/>
              </w:rPr>
              <w:t>》：厂界外周边50m范围内存在声环境保护目标的建设项目，应监测保护目标声环境质量现状并评价达标情况。本项目周边50m范围内无环境敏感目标，本次环评不再对声环境质量现状进行监测评价。</w:t>
            </w:r>
          </w:p>
          <w:p w14:paraId="2606D8EF">
            <w:pPr>
              <w:pStyle w:val="69"/>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0"/>
              <w:textAlignment w:val="auto"/>
              <w:rPr>
                <w:rFonts w:hint="default" w:ascii="Times New Roman" w:hAnsi="Times New Roman" w:eastAsia="宋体" w:cs="Times New Roman"/>
                <w:b/>
                <w:bCs/>
                <w:color w:val="auto"/>
                <w:sz w:val="24"/>
                <w:lang w:val="en-US"/>
              </w:rPr>
            </w:pPr>
            <w:r>
              <w:rPr>
                <w:rFonts w:hint="default" w:ascii="Times New Roman" w:hAnsi="Times New Roman" w:eastAsia="宋体" w:cs="Times New Roman"/>
                <w:b/>
                <w:bCs/>
                <w:color w:val="auto"/>
                <w:sz w:val="24"/>
                <w:lang w:val="en-US"/>
              </w:rPr>
              <w:t>5、生态环境质量现状调查与评价</w:t>
            </w:r>
          </w:p>
          <w:p w14:paraId="5A507B06">
            <w:pPr>
              <w:keepNext w:val="0"/>
              <w:keepLines w:val="0"/>
              <w:suppressLineNumbers w:val="0"/>
              <w:autoSpaceDE w:val="0"/>
              <w:spacing w:before="0" w:beforeAutospacing="0" w:after="0" w:afterAutospacing="0" w:line="360" w:lineRule="auto"/>
              <w:ind w:left="0" w:right="0" w:firstLine="480" w:firstLineChars="200"/>
              <w:rPr>
                <w:rFonts w:hint="eastAsia"/>
                <w:color w:val="auto"/>
                <w:sz w:val="24"/>
                <w:szCs w:val="24"/>
                <w:lang w:val="en-US" w:eastAsia="zh-CN"/>
              </w:rPr>
            </w:pPr>
            <w:r>
              <w:rPr>
                <w:rFonts w:hint="eastAsia"/>
                <w:color w:val="auto"/>
                <w:sz w:val="24"/>
                <w:szCs w:val="24"/>
                <w:lang w:val="en-US" w:eastAsia="zh-CN"/>
              </w:rPr>
              <w:t>根据《建设项目环境影响报告表编制技术指南（污染影响类）（试行）》，选址于产业园区外建设项目新增用地且用地范围内含有生态环境保护目标时，应进行生态现状调查。</w:t>
            </w:r>
          </w:p>
          <w:p w14:paraId="77D7011D">
            <w:pPr>
              <w:keepNext w:val="0"/>
              <w:keepLines w:val="0"/>
              <w:suppressLineNumbers w:val="0"/>
              <w:autoSpaceDE w:val="0"/>
              <w:spacing w:before="0" w:beforeAutospacing="0" w:after="0" w:afterAutospacing="0" w:line="360" w:lineRule="auto"/>
              <w:ind w:left="0" w:right="0" w:firstLine="480" w:firstLineChars="200"/>
              <w:rPr>
                <w:rFonts w:hint="default"/>
                <w:color w:val="auto"/>
                <w:lang w:val="en-US"/>
              </w:rPr>
            </w:pPr>
            <w:r>
              <w:rPr>
                <w:rFonts w:hint="eastAsia"/>
                <w:color w:val="auto"/>
                <w:sz w:val="24"/>
                <w:szCs w:val="24"/>
                <w:lang w:val="en-US" w:eastAsia="zh-CN"/>
              </w:rPr>
              <w:t>本项目占地属于工业用地，用地范围内不含有生态环境保护目标，</w:t>
            </w:r>
            <w:r>
              <w:rPr>
                <w:rFonts w:hint="default"/>
                <w:color w:val="auto"/>
                <w:sz w:val="24"/>
                <w:szCs w:val="24"/>
              </w:rPr>
              <w:t>评价区域周边无风景名胜区、自然保护区及文化遗产等特殊保护目标，生态环境不属于敏感区，生态环境一般。根据《建设项目环境影响报告表编制技术指南</w:t>
            </w:r>
            <w:r>
              <w:rPr>
                <w:rFonts w:hint="eastAsia"/>
                <w:color w:val="auto"/>
                <w:sz w:val="24"/>
                <w:szCs w:val="24"/>
                <w:lang w:eastAsia="zh-CN"/>
              </w:rPr>
              <w:t>（</w:t>
            </w:r>
            <w:r>
              <w:rPr>
                <w:rFonts w:hint="default"/>
                <w:color w:val="auto"/>
                <w:sz w:val="24"/>
                <w:szCs w:val="24"/>
              </w:rPr>
              <w:t>污染影响类</w:t>
            </w:r>
            <w:r>
              <w:rPr>
                <w:rFonts w:hint="eastAsia"/>
                <w:color w:val="auto"/>
                <w:sz w:val="24"/>
                <w:szCs w:val="24"/>
                <w:lang w:eastAsia="zh-CN"/>
              </w:rPr>
              <w:t>）（</w:t>
            </w:r>
            <w:r>
              <w:rPr>
                <w:rFonts w:hint="default"/>
                <w:color w:val="auto"/>
                <w:sz w:val="24"/>
                <w:szCs w:val="24"/>
              </w:rPr>
              <w:t>试行</w:t>
            </w:r>
            <w:r>
              <w:rPr>
                <w:rFonts w:hint="eastAsia"/>
                <w:color w:val="auto"/>
                <w:sz w:val="24"/>
                <w:szCs w:val="24"/>
                <w:lang w:eastAsia="zh-CN"/>
              </w:rPr>
              <w:t>）</w:t>
            </w:r>
            <w:r>
              <w:rPr>
                <w:rFonts w:hint="default"/>
                <w:color w:val="auto"/>
                <w:sz w:val="24"/>
                <w:szCs w:val="24"/>
              </w:rPr>
              <w:t>》要求，无需进行生态现状调查。</w:t>
            </w:r>
          </w:p>
        </w:tc>
      </w:tr>
      <w:tr w14:paraId="7BD3CE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noWrap w:val="0"/>
            <w:vAlign w:val="center"/>
          </w:tcPr>
          <w:p w14:paraId="19AC44A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w:t>
            </w:r>
          </w:p>
          <w:p w14:paraId="6B2D81D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保护</w:t>
            </w:r>
          </w:p>
          <w:p w14:paraId="7E2C2B2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目标</w:t>
            </w:r>
          </w:p>
        </w:tc>
        <w:tc>
          <w:tcPr>
            <w:tcW w:w="8442" w:type="dxa"/>
            <w:noWrap w:val="0"/>
            <w:vAlign w:val="top"/>
          </w:tcPr>
          <w:p w14:paraId="0F3745AC">
            <w:pPr>
              <w:pStyle w:val="2"/>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（1</w:t>
            </w:r>
            <w:r>
              <w:rPr>
                <w:rFonts w:hint="eastAsia" w:ascii="Times New Roman" w:hAnsi="Times New Roman" w:cs="Times New Roman"/>
                <w:color w:val="auto"/>
                <w:kern w:val="2"/>
                <w:sz w:val="24"/>
                <w:szCs w:val="24"/>
                <w:lang w:eastAsia="zh-CN"/>
              </w:rPr>
              <w:t>）</w:t>
            </w:r>
            <w:r>
              <w:rPr>
                <w:rFonts w:hint="default" w:ascii="Times New Roman" w:hAnsi="Times New Roman" w:eastAsia="宋体" w:cs="Times New Roman"/>
                <w:color w:val="auto"/>
                <w:kern w:val="2"/>
                <w:sz w:val="24"/>
                <w:szCs w:val="24"/>
              </w:rPr>
              <w:t>大气环境：根据现场踏勘和卫星图定位结果可知，本项目厂界外500m范围内无自然保护区、风景名胜区、居住区、文化区和农村地区中人群较集中区域。</w:t>
            </w:r>
          </w:p>
          <w:p w14:paraId="1D90E24D">
            <w:pPr>
              <w:pStyle w:val="2"/>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（2</w:t>
            </w:r>
            <w:r>
              <w:rPr>
                <w:rFonts w:hint="eastAsia" w:ascii="Times New Roman" w:hAnsi="Times New Roman" w:cs="Times New Roman"/>
                <w:color w:val="auto"/>
                <w:kern w:val="2"/>
                <w:sz w:val="24"/>
                <w:szCs w:val="24"/>
                <w:lang w:eastAsia="zh-CN"/>
              </w:rPr>
              <w:t>）</w:t>
            </w:r>
            <w:r>
              <w:rPr>
                <w:rFonts w:hint="default" w:ascii="Times New Roman" w:hAnsi="Times New Roman" w:eastAsia="宋体" w:cs="Times New Roman"/>
                <w:color w:val="auto"/>
                <w:kern w:val="2"/>
                <w:sz w:val="24"/>
                <w:szCs w:val="24"/>
              </w:rPr>
              <w:t>水环境：本项目厂界外500m范围内无地下水集中式饮用水源和热水、矿泉水、温泉等特殊地下水水源，确保项目建设不对区域地下水环境造成影响，地下水环境功能满足《地下水质量标准》（GB/T</w:t>
            </w:r>
            <w:r>
              <w:rPr>
                <w:rFonts w:hint="eastAsia" w:ascii="Times New Roman" w:hAnsi="Times New Roman" w:cs="Times New Roman"/>
                <w:color w:val="auto"/>
                <w:kern w:val="2"/>
                <w:sz w:val="24"/>
                <w:szCs w:val="24"/>
                <w:lang w:val="en-US" w:eastAsia="zh-CN"/>
              </w:rPr>
              <w:t xml:space="preserve"> </w:t>
            </w:r>
            <w:r>
              <w:rPr>
                <w:rFonts w:hint="default" w:ascii="Times New Roman" w:hAnsi="Times New Roman" w:eastAsia="宋体" w:cs="Times New Roman"/>
                <w:color w:val="auto"/>
                <w:kern w:val="2"/>
                <w:sz w:val="24"/>
                <w:szCs w:val="24"/>
              </w:rPr>
              <w:t>14848-2017</w:t>
            </w:r>
            <w:r>
              <w:rPr>
                <w:rFonts w:hint="eastAsia" w:ascii="Times New Roman" w:hAnsi="Times New Roman" w:cs="Times New Roman"/>
                <w:color w:val="auto"/>
                <w:kern w:val="2"/>
                <w:sz w:val="24"/>
                <w:szCs w:val="24"/>
                <w:lang w:eastAsia="zh-CN"/>
              </w:rPr>
              <w:t>）</w:t>
            </w:r>
            <w:r>
              <w:rPr>
                <w:rFonts w:hint="default" w:ascii="Times New Roman" w:hAnsi="Times New Roman" w:eastAsia="宋体" w:cs="Times New Roman"/>
                <w:color w:val="auto"/>
                <w:kern w:val="2"/>
                <w:sz w:val="24"/>
                <w:szCs w:val="24"/>
              </w:rPr>
              <w:t>Ⅲ类标准。</w:t>
            </w:r>
          </w:p>
          <w:p w14:paraId="55DF5730">
            <w:pPr>
              <w:pStyle w:val="2"/>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（3</w:t>
            </w:r>
            <w:r>
              <w:rPr>
                <w:rFonts w:hint="eastAsia" w:ascii="Times New Roman" w:hAnsi="Times New Roman" w:cs="Times New Roman"/>
                <w:color w:val="auto"/>
                <w:kern w:val="2"/>
                <w:sz w:val="24"/>
                <w:szCs w:val="24"/>
                <w:lang w:eastAsia="zh-CN"/>
              </w:rPr>
              <w:t>）</w:t>
            </w:r>
            <w:r>
              <w:rPr>
                <w:rFonts w:hint="default" w:ascii="Times New Roman" w:hAnsi="Times New Roman" w:eastAsia="宋体" w:cs="Times New Roman"/>
                <w:color w:val="auto"/>
                <w:kern w:val="2"/>
                <w:sz w:val="24"/>
                <w:szCs w:val="24"/>
              </w:rPr>
              <w:t>声环境：根据现场踏勘和卫星图定位结果可知，本项目厂界外50m范围内无声环境保护目标。</w:t>
            </w:r>
          </w:p>
          <w:p w14:paraId="6D5C1AB2">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（4</w:t>
            </w:r>
            <w:r>
              <w:rPr>
                <w:rFonts w:hint="eastAsia" w:ascii="Times New Roman" w:hAnsi="Times New Roman" w:cs="Times New Roman"/>
                <w:color w:val="auto"/>
                <w:kern w:val="2"/>
                <w:sz w:val="24"/>
                <w:szCs w:val="24"/>
                <w:lang w:eastAsia="zh-CN"/>
              </w:rPr>
              <w:t>）</w:t>
            </w:r>
            <w:r>
              <w:rPr>
                <w:rFonts w:hint="default" w:ascii="Times New Roman" w:hAnsi="Times New Roman" w:eastAsia="宋体" w:cs="Times New Roman"/>
                <w:color w:val="auto"/>
                <w:kern w:val="2"/>
                <w:sz w:val="24"/>
                <w:szCs w:val="24"/>
              </w:rPr>
              <w:t>固体废物</w:t>
            </w:r>
            <w:r>
              <w:rPr>
                <w:rFonts w:hint="default" w:ascii="Times New Roman" w:hAnsi="Times New Roman" w:eastAsia="宋体" w:cs="Times New Roman"/>
                <w:color w:val="auto"/>
                <w:kern w:val="2"/>
                <w:sz w:val="24"/>
                <w:szCs w:val="24"/>
                <w:highlight w:val="none"/>
              </w:rPr>
              <w:t>：确保固体废物得到妥善处置，不对</w:t>
            </w:r>
            <w:r>
              <w:rPr>
                <w:rFonts w:hint="default" w:ascii="Times New Roman" w:hAnsi="Times New Roman" w:eastAsia="宋体" w:cs="Times New Roman"/>
                <w:color w:val="auto"/>
                <w:kern w:val="2"/>
                <w:sz w:val="24"/>
                <w:szCs w:val="24"/>
              </w:rPr>
              <w:t>周围环境造成污染。</w:t>
            </w:r>
          </w:p>
          <w:p w14:paraId="02BC55BF">
            <w:pPr>
              <w:keepNext w:val="0"/>
              <w:keepLines w:val="0"/>
              <w:pageBreakBefore w:val="0"/>
              <w:widowControl w:val="0"/>
              <w:suppressLineNumbers w:val="0"/>
              <w:kinsoku/>
              <w:wordWrap/>
              <w:overflowPunct/>
              <w:topLinePunct w:val="0"/>
              <w:bidi w:val="0"/>
              <w:adjustRightInd w:val="0"/>
              <w:snapToGrid/>
              <w:spacing w:before="0" w:beforeAutospacing="0" w:after="0" w:afterAutospacing="0" w:line="360" w:lineRule="auto"/>
              <w:ind w:left="0" w:leftChars="0" w:right="0" w:rightChars="0" w:firstLine="480" w:firstLineChars="200"/>
              <w:textAlignment w:val="auto"/>
              <w:rPr>
                <w:rFonts w:hint="eastAsia"/>
                <w:color w:val="auto"/>
              </w:rPr>
            </w:pPr>
            <w:r>
              <w:rPr>
                <w:rFonts w:hint="default" w:ascii="Times New Roman" w:hAnsi="Times New Roman" w:eastAsia="宋体" w:cs="Times New Roman"/>
                <w:color w:val="auto"/>
                <w:kern w:val="2"/>
                <w:sz w:val="24"/>
                <w:szCs w:val="24"/>
              </w:rPr>
              <w:t>（5</w:t>
            </w:r>
            <w:r>
              <w:rPr>
                <w:rFonts w:hint="eastAsia" w:cs="Times New Roman"/>
                <w:color w:val="auto"/>
                <w:kern w:val="2"/>
                <w:sz w:val="24"/>
                <w:szCs w:val="24"/>
                <w:lang w:eastAsia="zh-CN"/>
              </w:rPr>
              <w:t>）</w:t>
            </w:r>
            <w:r>
              <w:rPr>
                <w:rFonts w:hint="default" w:ascii="Times New Roman" w:hAnsi="Times New Roman" w:eastAsia="宋体" w:cs="Times New Roman"/>
                <w:color w:val="auto"/>
                <w:kern w:val="2"/>
                <w:sz w:val="24"/>
                <w:szCs w:val="24"/>
              </w:rPr>
              <w:t>生态环境：本项目</w:t>
            </w:r>
            <w:r>
              <w:rPr>
                <w:rFonts w:hint="eastAsia" w:cs="Times New Roman"/>
                <w:color w:val="auto"/>
                <w:kern w:val="2"/>
                <w:sz w:val="24"/>
                <w:szCs w:val="24"/>
                <w:lang w:val="en-US" w:eastAsia="zh-CN"/>
              </w:rPr>
              <w:t>不涉及</w:t>
            </w:r>
            <w:r>
              <w:rPr>
                <w:rFonts w:hint="default" w:ascii="Times New Roman" w:hAnsi="Times New Roman" w:eastAsia="宋体" w:cs="Times New Roman"/>
                <w:color w:val="auto"/>
                <w:kern w:val="2"/>
                <w:sz w:val="24"/>
                <w:szCs w:val="24"/>
              </w:rPr>
              <w:t>生态环境保护目标。</w:t>
            </w:r>
          </w:p>
        </w:tc>
      </w:tr>
      <w:tr w14:paraId="229A1B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noWrap w:val="0"/>
            <w:tcMar>
              <w:left w:w="28" w:type="dxa"/>
              <w:right w:w="28" w:type="dxa"/>
            </w:tcMar>
            <w:vAlign w:val="center"/>
          </w:tcPr>
          <w:p w14:paraId="5039089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污染</w:t>
            </w:r>
          </w:p>
          <w:p w14:paraId="4F72087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物排</w:t>
            </w:r>
          </w:p>
          <w:p w14:paraId="29D8603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放控</w:t>
            </w:r>
          </w:p>
          <w:p w14:paraId="3FFB4CE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制标</w:t>
            </w:r>
          </w:p>
          <w:p w14:paraId="16EE6C0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rPr>
              <w:t>准</w:t>
            </w:r>
          </w:p>
        </w:tc>
        <w:tc>
          <w:tcPr>
            <w:tcW w:w="8442" w:type="dxa"/>
            <w:noWrap w:val="0"/>
            <w:vAlign w:val="top"/>
          </w:tcPr>
          <w:p w14:paraId="4AEDD560">
            <w:pPr>
              <w:pStyle w:val="2"/>
              <w:keepNext w:val="0"/>
              <w:keepLines w:val="0"/>
              <w:suppressLineNumbers w:val="0"/>
              <w:adjustRightInd/>
              <w:spacing w:before="0" w:beforeAutospacing="0" w:after="0" w:afterAutospacing="0" w:line="360" w:lineRule="auto"/>
              <w:ind w:left="0" w:right="0"/>
              <w:jc w:val="both"/>
              <w:rPr>
                <w:rFonts w:hint="eastAsia"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b/>
                <w:bCs/>
                <w:color w:val="auto"/>
                <w:kern w:val="2"/>
                <w:sz w:val="24"/>
                <w:szCs w:val="24"/>
              </w:rPr>
              <w:t>1、</w:t>
            </w:r>
            <w:r>
              <w:rPr>
                <w:rFonts w:hint="eastAsia" w:ascii="Times New Roman" w:hAnsi="Times New Roman" w:cs="Times New Roman"/>
                <w:b/>
                <w:bCs/>
                <w:color w:val="auto"/>
                <w:kern w:val="2"/>
                <w:sz w:val="24"/>
                <w:szCs w:val="24"/>
                <w:lang w:val="en-US" w:eastAsia="zh-CN"/>
              </w:rPr>
              <w:t>废气</w:t>
            </w:r>
          </w:p>
          <w:p w14:paraId="31A9146E">
            <w:pPr>
              <w:keepNext w:val="0"/>
              <w:keepLines w:val="0"/>
              <w:pageBreakBefore w:val="0"/>
              <w:widowControl w:val="0"/>
              <w:suppressLineNumbers w:val="0"/>
              <w:kinsoku/>
              <w:wordWrap/>
              <w:overflowPunct/>
              <w:topLinePunct w:val="0"/>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rPr>
            </w:pPr>
            <w:r>
              <w:rPr>
                <w:rFonts w:hint="eastAsia" w:cs="Times New Roman"/>
                <w:color w:val="auto"/>
                <w:kern w:val="2"/>
                <w:sz w:val="24"/>
                <w:szCs w:val="24"/>
                <w:lang w:val="en-US" w:eastAsia="zh-CN"/>
              </w:rPr>
              <w:t>根据《锅炉大气污染物排放标准》（GB 13271-2014），生物质热风炉排口（DA001）执行燃气锅炉标准。</w:t>
            </w:r>
            <w:r>
              <w:rPr>
                <w:rFonts w:hint="default" w:ascii="Times New Roman" w:hAnsi="Times New Roman" w:eastAsia="宋体" w:cs="Times New Roman"/>
                <w:color w:val="auto"/>
                <w:kern w:val="2"/>
                <w:sz w:val="24"/>
                <w:szCs w:val="24"/>
              </w:rPr>
              <w:t>排放标准限值见表3-</w:t>
            </w:r>
            <w:r>
              <w:rPr>
                <w:rFonts w:hint="eastAsia" w:cs="Times New Roman"/>
                <w:color w:val="auto"/>
                <w:kern w:val="2"/>
                <w:sz w:val="24"/>
                <w:szCs w:val="24"/>
                <w:lang w:val="en-US" w:eastAsia="zh-CN"/>
              </w:rPr>
              <w:t>5</w:t>
            </w:r>
            <w:r>
              <w:rPr>
                <w:rFonts w:hint="default" w:ascii="Times New Roman" w:hAnsi="Times New Roman" w:eastAsia="宋体" w:cs="Times New Roman"/>
                <w:color w:val="auto"/>
                <w:kern w:val="2"/>
                <w:sz w:val="24"/>
                <w:szCs w:val="24"/>
              </w:rPr>
              <w:t>。</w:t>
            </w:r>
          </w:p>
          <w:p w14:paraId="018B964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422" w:firstLineChars="200"/>
              <w:jc w:val="center"/>
              <w:textAlignment w:val="auto"/>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2"/>
                <w:sz w:val="21"/>
                <w:szCs w:val="21"/>
              </w:rPr>
              <w:t>表3-</w:t>
            </w:r>
            <w:r>
              <w:rPr>
                <w:rFonts w:hint="eastAsia" w:cs="Times New Roman"/>
                <w:b/>
                <w:bCs/>
                <w:color w:val="auto"/>
                <w:kern w:val="2"/>
                <w:sz w:val="21"/>
                <w:szCs w:val="21"/>
                <w:lang w:val="en-US" w:eastAsia="zh-CN"/>
              </w:rPr>
              <w:t>5</w:t>
            </w:r>
            <w:r>
              <w:rPr>
                <w:rFonts w:hint="default" w:ascii="Times New Roman" w:hAnsi="Times New Roman" w:eastAsia="宋体" w:cs="Times New Roman"/>
                <w:b/>
                <w:bCs/>
                <w:color w:val="auto"/>
                <w:kern w:val="2"/>
                <w:sz w:val="21"/>
                <w:szCs w:val="21"/>
              </w:rPr>
              <w:t xml:space="preserve">  废气排放限值 单位：mg/m³</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719"/>
              <w:gridCol w:w="1255"/>
              <w:gridCol w:w="1507"/>
              <w:gridCol w:w="1388"/>
              <w:gridCol w:w="2462"/>
            </w:tblGrid>
            <w:tr w14:paraId="5416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33" w:type="dxa"/>
                  <w:vAlign w:val="center"/>
                </w:tcPr>
                <w:p w14:paraId="264EBE4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21"/>
                      <w:szCs w:val="24"/>
                      <w:vertAlign w:val="baseline"/>
                      <w:lang w:val="en-US" w:eastAsia="zh-CN"/>
                    </w:rPr>
                  </w:pPr>
                  <w:r>
                    <w:rPr>
                      <w:rFonts w:hint="eastAsia" w:cs="Times New Roman"/>
                      <w:b/>
                      <w:bCs/>
                      <w:color w:val="auto"/>
                      <w:kern w:val="2"/>
                      <w:sz w:val="21"/>
                      <w:szCs w:val="24"/>
                      <w:vertAlign w:val="baseline"/>
                      <w:lang w:val="en-US" w:eastAsia="zh-CN"/>
                    </w:rPr>
                    <w:t>序号</w:t>
                  </w:r>
                </w:p>
              </w:tc>
              <w:tc>
                <w:tcPr>
                  <w:tcW w:w="719" w:type="dxa"/>
                  <w:vAlign w:val="center"/>
                </w:tcPr>
                <w:p w14:paraId="38B1B9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21"/>
                      <w:szCs w:val="24"/>
                      <w:vertAlign w:val="baseline"/>
                      <w:lang w:val="en-US" w:eastAsia="zh-CN"/>
                    </w:rPr>
                  </w:pPr>
                  <w:r>
                    <w:rPr>
                      <w:rFonts w:hint="eastAsia" w:cs="Times New Roman"/>
                      <w:b/>
                      <w:bCs/>
                      <w:color w:val="auto"/>
                      <w:kern w:val="2"/>
                      <w:sz w:val="21"/>
                      <w:szCs w:val="24"/>
                      <w:vertAlign w:val="baseline"/>
                      <w:lang w:val="en-US" w:eastAsia="zh-CN"/>
                    </w:rPr>
                    <w:t>类型</w:t>
                  </w:r>
                </w:p>
              </w:tc>
              <w:tc>
                <w:tcPr>
                  <w:tcW w:w="1255" w:type="dxa"/>
                  <w:vAlign w:val="center"/>
                </w:tcPr>
                <w:p w14:paraId="0CD9F3D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21"/>
                      <w:szCs w:val="24"/>
                      <w:vertAlign w:val="baseline"/>
                      <w:lang w:val="en-US" w:eastAsia="zh-CN"/>
                    </w:rPr>
                  </w:pPr>
                  <w:r>
                    <w:rPr>
                      <w:rFonts w:hint="eastAsia" w:cs="Times New Roman"/>
                      <w:b/>
                      <w:bCs/>
                      <w:color w:val="auto"/>
                      <w:kern w:val="2"/>
                      <w:sz w:val="21"/>
                      <w:szCs w:val="24"/>
                      <w:vertAlign w:val="baseline"/>
                      <w:lang w:val="en-US" w:eastAsia="zh-CN"/>
                    </w:rPr>
                    <w:t>监测点位</w:t>
                  </w:r>
                </w:p>
              </w:tc>
              <w:tc>
                <w:tcPr>
                  <w:tcW w:w="1507" w:type="dxa"/>
                  <w:vAlign w:val="center"/>
                </w:tcPr>
                <w:p w14:paraId="6D22FD2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21"/>
                      <w:szCs w:val="24"/>
                      <w:vertAlign w:val="baseline"/>
                      <w:lang w:val="en-US" w:eastAsia="zh-CN"/>
                    </w:rPr>
                  </w:pPr>
                  <w:r>
                    <w:rPr>
                      <w:rFonts w:hint="eastAsia" w:cs="Times New Roman"/>
                      <w:b/>
                      <w:bCs/>
                      <w:color w:val="auto"/>
                      <w:kern w:val="2"/>
                      <w:sz w:val="21"/>
                      <w:szCs w:val="24"/>
                      <w:vertAlign w:val="baseline"/>
                      <w:lang w:val="en-US" w:eastAsia="zh-CN"/>
                    </w:rPr>
                    <w:t>污染物</w:t>
                  </w:r>
                </w:p>
              </w:tc>
              <w:tc>
                <w:tcPr>
                  <w:tcW w:w="1388" w:type="dxa"/>
                  <w:vAlign w:val="center"/>
                </w:tcPr>
                <w:p w14:paraId="33174C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21"/>
                      <w:szCs w:val="24"/>
                      <w:vertAlign w:val="baseline"/>
                      <w:lang w:val="en-US" w:eastAsia="zh-CN"/>
                    </w:rPr>
                  </w:pPr>
                  <w:r>
                    <w:rPr>
                      <w:rFonts w:hint="eastAsia" w:cs="Times New Roman"/>
                      <w:b/>
                      <w:bCs/>
                      <w:color w:val="auto"/>
                      <w:kern w:val="2"/>
                      <w:sz w:val="21"/>
                      <w:szCs w:val="24"/>
                      <w:vertAlign w:val="baseline"/>
                      <w:lang w:val="en-US" w:eastAsia="zh-CN"/>
                    </w:rPr>
                    <w:t>排放限值</w:t>
                  </w:r>
                </w:p>
              </w:tc>
              <w:tc>
                <w:tcPr>
                  <w:tcW w:w="2462" w:type="dxa"/>
                  <w:vAlign w:val="center"/>
                </w:tcPr>
                <w:p w14:paraId="412AB41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21"/>
                      <w:szCs w:val="24"/>
                      <w:vertAlign w:val="baseline"/>
                      <w:lang w:val="en-US" w:eastAsia="zh-CN"/>
                    </w:rPr>
                  </w:pPr>
                  <w:r>
                    <w:rPr>
                      <w:rFonts w:hint="eastAsia" w:cs="Times New Roman"/>
                      <w:b/>
                      <w:bCs/>
                      <w:color w:val="auto"/>
                      <w:kern w:val="2"/>
                      <w:sz w:val="21"/>
                      <w:szCs w:val="24"/>
                      <w:vertAlign w:val="baseline"/>
                      <w:lang w:val="en-US" w:eastAsia="zh-CN"/>
                    </w:rPr>
                    <w:t>执行标准</w:t>
                  </w:r>
                </w:p>
              </w:tc>
            </w:tr>
            <w:tr w14:paraId="0D98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633" w:type="dxa"/>
                  <w:vAlign w:val="center"/>
                </w:tcPr>
                <w:p w14:paraId="340519E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1</w:t>
                  </w:r>
                </w:p>
              </w:tc>
              <w:tc>
                <w:tcPr>
                  <w:tcW w:w="719" w:type="dxa"/>
                  <w:vMerge w:val="restart"/>
                  <w:vAlign w:val="center"/>
                </w:tcPr>
                <w:p w14:paraId="0D5602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有组织</w:t>
                  </w:r>
                </w:p>
              </w:tc>
              <w:tc>
                <w:tcPr>
                  <w:tcW w:w="1255" w:type="dxa"/>
                  <w:vMerge w:val="restart"/>
                  <w:vAlign w:val="center"/>
                </w:tcPr>
                <w:p w14:paraId="77EB98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生物质热风炉排气筒（DA001）</w:t>
                  </w:r>
                </w:p>
              </w:tc>
              <w:tc>
                <w:tcPr>
                  <w:tcW w:w="1507" w:type="dxa"/>
                  <w:vAlign w:val="center"/>
                </w:tcPr>
                <w:p w14:paraId="6E7366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颗粒物</w:t>
                  </w:r>
                </w:p>
              </w:tc>
              <w:tc>
                <w:tcPr>
                  <w:tcW w:w="1388" w:type="dxa"/>
                  <w:vAlign w:val="center"/>
                </w:tcPr>
                <w:p w14:paraId="70A6D0B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30</w:t>
                  </w:r>
                </w:p>
              </w:tc>
              <w:tc>
                <w:tcPr>
                  <w:tcW w:w="2462" w:type="dxa"/>
                  <w:vMerge w:val="restart"/>
                  <w:vAlign w:val="center"/>
                </w:tcPr>
                <w:p w14:paraId="38BC1EF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4"/>
                      <w:vertAlign w:val="baseline"/>
                      <w:lang w:eastAsia="zh-CN"/>
                    </w:rPr>
                  </w:pPr>
                  <w:r>
                    <w:rPr>
                      <w:rFonts w:hint="eastAsia"/>
                      <w:color w:val="auto"/>
                      <w:spacing w:val="-1"/>
                      <w:sz w:val="21"/>
                      <w:lang w:eastAsia="zh-CN"/>
                    </w:rPr>
                    <w:t>《锅炉大气污染物排放标准》（GB</w:t>
                  </w:r>
                  <w:r>
                    <w:rPr>
                      <w:rFonts w:hint="eastAsia"/>
                      <w:color w:val="auto"/>
                      <w:spacing w:val="-1"/>
                      <w:sz w:val="21"/>
                      <w:lang w:val="en-US" w:eastAsia="zh-CN"/>
                    </w:rPr>
                    <w:t xml:space="preserve"> </w:t>
                  </w:r>
                  <w:r>
                    <w:rPr>
                      <w:rFonts w:hint="eastAsia"/>
                      <w:color w:val="auto"/>
                      <w:spacing w:val="-1"/>
                      <w:sz w:val="21"/>
                      <w:lang w:eastAsia="zh-CN"/>
                    </w:rPr>
                    <w:t>13271-2014）</w:t>
                  </w:r>
                  <w:r>
                    <w:rPr>
                      <w:rFonts w:hint="default" w:ascii="Times New Roman" w:hAnsi="Times New Roman" w:cs="Times New Roman"/>
                      <w:color w:val="auto"/>
                      <w:kern w:val="0"/>
                      <w:szCs w:val="21"/>
                      <w:highlight w:val="none"/>
                    </w:rPr>
                    <w:t>表3燃气锅炉大气污染物特别排放限值</w:t>
                  </w:r>
                </w:p>
              </w:tc>
            </w:tr>
            <w:tr w14:paraId="375F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8430C4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2</w:t>
                  </w:r>
                </w:p>
              </w:tc>
              <w:tc>
                <w:tcPr>
                  <w:tcW w:w="719" w:type="dxa"/>
                  <w:vMerge w:val="continue"/>
                  <w:vAlign w:val="center"/>
                </w:tcPr>
                <w:p w14:paraId="3E15E1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rPr>
                  </w:pPr>
                </w:p>
              </w:tc>
              <w:tc>
                <w:tcPr>
                  <w:tcW w:w="1255" w:type="dxa"/>
                  <w:vMerge w:val="continue"/>
                  <w:vAlign w:val="center"/>
                </w:tcPr>
                <w:p w14:paraId="28606F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rPr>
                  </w:pPr>
                </w:p>
              </w:tc>
              <w:tc>
                <w:tcPr>
                  <w:tcW w:w="1507" w:type="dxa"/>
                  <w:vAlign w:val="center"/>
                </w:tcPr>
                <w:p w14:paraId="1015254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SO</w:t>
                  </w:r>
                  <w:r>
                    <w:rPr>
                      <w:rFonts w:hint="eastAsia" w:cs="Times New Roman"/>
                      <w:color w:val="auto"/>
                      <w:kern w:val="2"/>
                      <w:sz w:val="21"/>
                      <w:szCs w:val="24"/>
                      <w:vertAlign w:val="subscript"/>
                      <w:lang w:val="en-US" w:eastAsia="zh-CN"/>
                    </w:rPr>
                    <w:t>2</w:t>
                  </w:r>
                </w:p>
              </w:tc>
              <w:tc>
                <w:tcPr>
                  <w:tcW w:w="1388" w:type="dxa"/>
                  <w:vAlign w:val="center"/>
                </w:tcPr>
                <w:p w14:paraId="7DD0B1F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200</w:t>
                  </w:r>
                </w:p>
              </w:tc>
              <w:tc>
                <w:tcPr>
                  <w:tcW w:w="2462" w:type="dxa"/>
                  <w:vMerge w:val="continue"/>
                  <w:vAlign w:val="center"/>
                </w:tcPr>
                <w:p w14:paraId="685ED1E5">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color w:val="auto"/>
                      <w:kern w:val="2"/>
                      <w:sz w:val="21"/>
                      <w:szCs w:val="24"/>
                      <w:vertAlign w:val="baseline"/>
                    </w:rPr>
                  </w:pPr>
                </w:p>
              </w:tc>
            </w:tr>
            <w:tr w14:paraId="7681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shd w:val="clear" w:color="auto" w:fill="auto"/>
                  <w:vAlign w:val="center"/>
                </w:tcPr>
                <w:p w14:paraId="0D9A358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rPr>
                    <w:t>3</w:t>
                  </w:r>
                </w:p>
              </w:tc>
              <w:tc>
                <w:tcPr>
                  <w:tcW w:w="719" w:type="dxa"/>
                  <w:vMerge w:val="continue"/>
                  <w:vAlign w:val="center"/>
                </w:tcPr>
                <w:p w14:paraId="4E5CE81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rPr>
                  </w:pPr>
                </w:p>
              </w:tc>
              <w:tc>
                <w:tcPr>
                  <w:tcW w:w="1255" w:type="dxa"/>
                  <w:vMerge w:val="continue"/>
                  <w:vAlign w:val="center"/>
                </w:tcPr>
                <w:p w14:paraId="767AF94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rPr>
                  </w:pPr>
                </w:p>
              </w:tc>
              <w:tc>
                <w:tcPr>
                  <w:tcW w:w="1507" w:type="dxa"/>
                  <w:shd w:val="clear" w:color="auto" w:fill="auto"/>
                  <w:vAlign w:val="center"/>
                </w:tcPr>
                <w:p w14:paraId="0AC78AD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rPr>
                    <w:t>NOx</w:t>
                  </w:r>
                </w:p>
              </w:tc>
              <w:tc>
                <w:tcPr>
                  <w:tcW w:w="1388" w:type="dxa"/>
                  <w:shd w:val="clear" w:color="auto" w:fill="auto"/>
                  <w:vAlign w:val="center"/>
                </w:tcPr>
                <w:p w14:paraId="1940B0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bidi="ar-SA"/>
                    </w:rPr>
                    <w:t>200</w:t>
                  </w:r>
                </w:p>
              </w:tc>
              <w:tc>
                <w:tcPr>
                  <w:tcW w:w="2462" w:type="dxa"/>
                  <w:vMerge w:val="continue"/>
                  <w:vAlign w:val="center"/>
                </w:tcPr>
                <w:p w14:paraId="67BB7CD3">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color w:val="auto"/>
                      <w:kern w:val="2"/>
                      <w:sz w:val="21"/>
                      <w:szCs w:val="24"/>
                      <w:vertAlign w:val="baseline"/>
                    </w:rPr>
                  </w:pPr>
                </w:p>
              </w:tc>
            </w:tr>
            <w:tr w14:paraId="30D3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shd w:val="clear" w:color="auto" w:fill="auto"/>
                  <w:vAlign w:val="center"/>
                </w:tcPr>
                <w:p w14:paraId="78AD70B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cs="Times New Roman"/>
                      <w:color w:val="auto"/>
                      <w:kern w:val="2"/>
                      <w:sz w:val="21"/>
                      <w:szCs w:val="24"/>
                      <w:vertAlign w:val="baseline"/>
                      <w:lang w:val="en-US" w:eastAsia="zh-CN"/>
                    </w:rPr>
                    <w:t>4</w:t>
                  </w:r>
                </w:p>
              </w:tc>
              <w:tc>
                <w:tcPr>
                  <w:tcW w:w="719" w:type="dxa"/>
                  <w:vMerge w:val="continue"/>
                  <w:vAlign w:val="center"/>
                </w:tcPr>
                <w:p w14:paraId="516C39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rPr>
                  </w:pPr>
                </w:p>
              </w:tc>
              <w:tc>
                <w:tcPr>
                  <w:tcW w:w="1255" w:type="dxa"/>
                  <w:vMerge w:val="continue"/>
                  <w:vAlign w:val="center"/>
                </w:tcPr>
                <w:p w14:paraId="35E3563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rPr>
                  </w:pPr>
                </w:p>
              </w:tc>
              <w:tc>
                <w:tcPr>
                  <w:tcW w:w="1507" w:type="dxa"/>
                  <w:vAlign w:val="center"/>
                </w:tcPr>
                <w:p w14:paraId="72CBB11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林格曼黑度</w:t>
                  </w:r>
                </w:p>
              </w:tc>
              <w:tc>
                <w:tcPr>
                  <w:tcW w:w="1388" w:type="dxa"/>
                  <w:vAlign w:val="center"/>
                </w:tcPr>
                <w:p w14:paraId="76B874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4"/>
                      <w:vertAlign w:val="baseline"/>
                      <w:lang w:val="en-US" w:eastAsia="zh-CN"/>
                    </w:rPr>
                  </w:pPr>
                  <w:r>
                    <w:rPr>
                      <w:rFonts w:hint="eastAsia" w:cs="Times New Roman"/>
                      <w:color w:val="auto"/>
                      <w:kern w:val="2"/>
                      <w:sz w:val="21"/>
                      <w:szCs w:val="24"/>
                      <w:vertAlign w:val="baseline"/>
                      <w:lang w:val="en-US" w:eastAsia="zh-CN"/>
                    </w:rPr>
                    <w:t>1</w:t>
                  </w:r>
                </w:p>
              </w:tc>
              <w:tc>
                <w:tcPr>
                  <w:tcW w:w="2462" w:type="dxa"/>
                  <w:vMerge w:val="continue"/>
                  <w:vAlign w:val="center"/>
                </w:tcPr>
                <w:p w14:paraId="13C87366">
                  <w:pPr>
                    <w:keepNext w:val="0"/>
                    <w:keepLines w:val="0"/>
                    <w:widowControl w:val="0"/>
                    <w:suppressLineNumbers w:val="0"/>
                    <w:snapToGrid w:val="0"/>
                    <w:spacing w:before="0" w:beforeAutospacing="0" w:after="0" w:afterAutospacing="0" w:line="360" w:lineRule="auto"/>
                    <w:ind w:left="0" w:right="0"/>
                    <w:jc w:val="both"/>
                    <w:rPr>
                      <w:rFonts w:hint="default" w:ascii="Times New Roman" w:hAnsi="Times New Roman" w:eastAsia="宋体" w:cs="Times New Roman"/>
                      <w:color w:val="auto"/>
                      <w:kern w:val="2"/>
                      <w:sz w:val="21"/>
                      <w:szCs w:val="24"/>
                      <w:vertAlign w:val="baseline"/>
                    </w:rPr>
                  </w:pPr>
                </w:p>
              </w:tc>
            </w:tr>
          </w:tbl>
          <w:p w14:paraId="60639D2F">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本项目运营期过程中卸料、烘干、筛分除杂产生的颗粒物</w:t>
            </w:r>
            <w:r>
              <w:rPr>
                <w:rFonts w:hint="eastAsia" w:cs="Times New Roman"/>
                <w:color w:val="auto"/>
                <w:sz w:val="24"/>
                <w:szCs w:val="24"/>
                <w:lang w:val="en-US" w:eastAsia="zh-CN"/>
              </w:rPr>
              <w:t>无组织</w:t>
            </w:r>
            <w:r>
              <w:rPr>
                <w:rFonts w:hint="eastAsia" w:ascii="Times New Roman" w:hAnsi="Times New Roman" w:eastAsia="宋体" w:cs="Times New Roman"/>
                <w:color w:val="auto"/>
                <w:sz w:val="24"/>
                <w:szCs w:val="24"/>
                <w:lang w:val="en-US" w:eastAsia="zh-CN"/>
              </w:rPr>
              <w:t>排放</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执行</w:t>
            </w:r>
            <w:r>
              <w:rPr>
                <w:rFonts w:hint="eastAsia" w:cs="Times New Roman"/>
                <w:color w:val="auto"/>
                <w:kern w:val="2"/>
                <w:sz w:val="24"/>
                <w:szCs w:val="24"/>
                <w:lang w:val="en-US" w:eastAsia="zh-CN" w:bidi="ar-SA"/>
              </w:rPr>
              <w:t>《大气污染物综合排放标准》（GB 16297-1996）无组织监控浓度限值（1.0mg/m</w:t>
            </w:r>
            <w:r>
              <w:rPr>
                <w:rFonts w:hint="eastAsia" w:cs="Times New Roman"/>
                <w:color w:val="auto"/>
                <w:kern w:val="2"/>
                <w:sz w:val="24"/>
                <w:szCs w:val="24"/>
                <w:vertAlign w:val="superscript"/>
                <w:lang w:val="en-US" w:eastAsia="zh-CN" w:bidi="ar-SA"/>
              </w:rPr>
              <w:t>3</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sz w:val="24"/>
                <w:szCs w:val="24"/>
                <w:lang w:val="en-US" w:eastAsia="zh-CN"/>
              </w:rPr>
              <w:t>具体见表3-</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lang w:val="en-US" w:eastAsia="zh-CN"/>
              </w:rPr>
              <w:t>。</w:t>
            </w:r>
          </w:p>
          <w:p w14:paraId="2EA930AC">
            <w:pPr>
              <w:pStyle w:val="50"/>
              <w:keepNext w:val="0"/>
              <w:keepLines w:val="0"/>
              <w:suppressLineNumbers w:val="0"/>
              <w:spacing w:before="0" w:beforeAutospacing="0" w:after="0" w:afterAutospacing="0" w:line="240" w:lineRule="auto"/>
              <w:ind w:left="0" w:right="0"/>
              <w:jc w:val="right"/>
              <w:rPr>
                <w:rFonts w:hint="eastAsia" w:ascii="Times New Roman" w:hAnsi="Times New Roman" w:eastAsia="宋体" w:cs="Times New Roman"/>
                <w:b/>
                <w:bCs w:val="0"/>
                <w:color w:val="auto"/>
                <w:kern w:val="0"/>
                <w:sz w:val="21"/>
                <w:szCs w:val="21"/>
                <w:lang w:val="en-US" w:eastAsia="zh-CN"/>
              </w:rPr>
            </w:pPr>
          </w:p>
          <w:p w14:paraId="205DA617">
            <w:pPr>
              <w:keepNext w:val="0"/>
              <w:keepLines w:val="0"/>
              <w:suppressLineNumbers w:val="0"/>
              <w:spacing w:before="0" w:beforeAutospacing="0" w:after="0" w:afterAutospacing="0"/>
              <w:ind w:left="0" w:right="0"/>
              <w:jc w:val="right"/>
              <w:rPr>
                <w:rFonts w:hint="eastAsia"/>
                <w:color w:val="auto"/>
                <w:lang w:val="en-US" w:eastAsia="zh-CN"/>
              </w:rPr>
            </w:pPr>
          </w:p>
          <w:p w14:paraId="140032F9">
            <w:pPr>
              <w:pStyle w:val="50"/>
              <w:keepNext w:val="0"/>
              <w:keepLines w:val="0"/>
              <w:suppressLineNumbers w:val="0"/>
              <w:spacing w:before="0" w:beforeAutospacing="0" w:after="0" w:afterAutospacing="0" w:line="240" w:lineRule="auto"/>
              <w:ind w:left="0" w:right="0"/>
              <w:rPr>
                <w:rFonts w:hint="eastAsia" w:ascii="Times New Roman" w:hAnsi="Times New Roman" w:eastAsia="宋体" w:cs="Times New Roman"/>
                <w:b/>
                <w:bCs w:val="0"/>
                <w:color w:val="auto"/>
                <w:kern w:val="0"/>
                <w:sz w:val="21"/>
                <w:szCs w:val="21"/>
                <w:lang w:val="en-US" w:eastAsia="zh-CN"/>
              </w:rPr>
            </w:pPr>
            <w:r>
              <w:rPr>
                <w:rFonts w:hint="eastAsia" w:ascii="Times New Roman" w:hAnsi="Times New Roman" w:eastAsia="宋体" w:cs="Times New Roman"/>
                <w:b/>
                <w:bCs w:val="0"/>
                <w:color w:val="auto"/>
                <w:kern w:val="0"/>
                <w:sz w:val="21"/>
                <w:szCs w:val="21"/>
                <w:lang w:val="en-US" w:eastAsia="zh-CN"/>
              </w:rPr>
              <w:t>表3-</w:t>
            </w:r>
            <w:r>
              <w:rPr>
                <w:rFonts w:hint="eastAsia" w:cs="Times New Roman"/>
                <w:b/>
                <w:bCs w:val="0"/>
                <w:color w:val="auto"/>
                <w:kern w:val="0"/>
                <w:sz w:val="21"/>
                <w:szCs w:val="21"/>
                <w:highlight w:val="none"/>
                <w:lang w:val="en-US" w:eastAsia="zh-CN"/>
              </w:rPr>
              <w:t>6</w:t>
            </w:r>
            <w:r>
              <w:rPr>
                <w:rFonts w:hint="eastAsia" w:ascii="Times New Roman" w:hAnsi="Times New Roman" w:eastAsia="宋体" w:cs="Times New Roman"/>
                <w:b/>
                <w:bCs w:val="0"/>
                <w:color w:val="auto"/>
                <w:kern w:val="0"/>
                <w:sz w:val="21"/>
                <w:szCs w:val="21"/>
                <w:highlight w:val="none"/>
                <w:lang w:val="en-US" w:eastAsia="zh-CN"/>
              </w:rPr>
              <w:t xml:space="preserve"> </w:t>
            </w:r>
            <w:r>
              <w:rPr>
                <w:rFonts w:hint="eastAsia" w:ascii="Times New Roman" w:hAnsi="Times New Roman" w:eastAsia="宋体" w:cs="Times New Roman"/>
                <w:b/>
                <w:bCs w:val="0"/>
                <w:color w:val="auto"/>
                <w:kern w:val="0"/>
                <w:sz w:val="21"/>
                <w:szCs w:val="21"/>
                <w:lang w:val="en-US" w:eastAsia="zh-CN"/>
              </w:rPr>
              <w:t xml:space="preserve"> 大气污染物综合排放标准</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1534"/>
              <w:gridCol w:w="1985"/>
              <w:gridCol w:w="1388"/>
              <w:gridCol w:w="2258"/>
            </w:tblGrid>
            <w:tr w14:paraId="0B44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vMerge w:val="restart"/>
                  <w:tcBorders>
                    <w:tl2br w:val="nil"/>
                    <w:tr2bl w:val="nil"/>
                  </w:tcBorders>
                  <w:noWrap w:val="0"/>
                  <w:vAlign w:val="center"/>
                </w:tcPr>
                <w:p w14:paraId="46E65212">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污染物</w:t>
                  </w:r>
                </w:p>
              </w:tc>
              <w:tc>
                <w:tcPr>
                  <w:tcW w:w="933" w:type="pct"/>
                  <w:vMerge w:val="restart"/>
                  <w:tcBorders>
                    <w:tl2br w:val="nil"/>
                    <w:tr2bl w:val="nil"/>
                  </w:tcBorders>
                  <w:noWrap w:val="0"/>
                  <w:vAlign w:val="center"/>
                </w:tcPr>
                <w:p w14:paraId="27CBB8DB">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最高允许排放浓度（mg/m</w:t>
                  </w:r>
                  <w:r>
                    <w:rPr>
                      <w:rFonts w:hint="eastAsia" w:ascii="Times New Roman" w:hAnsi="Times New Roman" w:eastAsia="宋体" w:cs="Times New Roman"/>
                      <w:b/>
                      <w:bCs/>
                      <w:color w:val="auto"/>
                      <w:sz w:val="21"/>
                      <w:szCs w:val="21"/>
                      <w:vertAlign w:val="superscript"/>
                      <w:lang w:val="en-US" w:eastAsia="zh-CN"/>
                    </w:rPr>
                    <w:t>3</w:t>
                  </w:r>
                  <w:r>
                    <w:rPr>
                      <w:rFonts w:hint="eastAsia" w:ascii="Times New Roman" w:hAnsi="Times New Roman" w:eastAsia="宋体" w:cs="Times New Roman"/>
                      <w:b/>
                      <w:bCs/>
                      <w:color w:val="auto"/>
                      <w:sz w:val="21"/>
                      <w:szCs w:val="21"/>
                      <w:vertAlign w:val="baseline"/>
                      <w:lang w:val="en-US" w:eastAsia="zh-CN"/>
                    </w:rPr>
                    <w:t>）</w:t>
                  </w:r>
                </w:p>
              </w:tc>
              <w:tc>
                <w:tcPr>
                  <w:tcW w:w="2053" w:type="pct"/>
                  <w:gridSpan w:val="2"/>
                  <w:tcBorders>
                    <w:tl2br w:val="nil"/>
                    <w:tr2bl w:val="nil"/>
                  </w:tcBorders>
                  <w:noWrap w:val="0"/>
                  <w:vAlign w:val="center"/>
                </w:tcPr>
                <w:p w14:paraId="516378BB">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最高允许排放速率（kg/h）</w:t>
                  </w:r>
                </w:p>
              </w:tc>
              <w:tc>
                <w:tcPr>
                  <w:tcW w:w="1374" w:type="pct"/>
                  <w:vMerge w:val="restart"/>
                  <w:tcBorders>
                    <w:tl2br w:val="nil"/>
                    <w:tr2bl w:val="nil"/>
                  </w:tcBorders>
                  <w:noWrap w:val="0"/>
                  <w:vAlign w:val="center"/>
                </w:tcPr>
                <w:p w14:paraId="2A81A1C2">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无组织排放监控浓度（mg/m</w:t>
                  </w:r>
                  <w:r>
                    <w:rPr>
                      <w:rFonts w:hint="eastAsia" w:ascii="Times New Roman" w:hAnsi="Times New Roman" w:eastAsia="宋体" w:cs="Times New Roman"/>
                      <w:b/>
                      <w:bCs/>
                      <w:color w:val="auto"/>
                      <w:sz w:val="21"/>
                      <w:szCs w:val="21"/>
                      <w:vertAlign w:val="superscript"/>
                      <w:lang w:val="en-US" w:eastAsia="zh-CN"/>
                    </w:rPr>
                    <w:t>3</w:t>
                  </w:r>
                  <w:r>
                    <w:rPr>
                      <w:rFonts w:hint="eastAsia" w:ascii="Times New Roman" w:hAnsi="Times New Roman" w:eastAsia="宋体" w:cs="Times New Roman"/>
                      <w:b/>
                      <w:bCs/>
                      <w:color w:val="auto"/>
                      <w:sz w:val="21"/>
                      <w:szCs w:val="21"/>
                      <w:vertAlign w:val="baseline"/>
                      <w:lang w:val="en-US" w:eastAsia="zh-CN"/>
                    </w:rPr>
                    <w:t>）</w:t>
                  </w:r>
                </w:p>
              </w:tc>
            </w:tr>
            <w:tr w14:paraId="43CE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vMerge w:val="continue"/>
                  <w:tcBorders>
                    <w:tl2br w:val="nil"/>
                    <w:tr2bl w:val="nil"/>
                  </w:tcBorders>
                  <w:noWrap w:val="0"/>
                  <w:vAlign w:val="center"/>
                </w:tcPr>
                <w:p w14:paraId="2AAAAD94">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p>
              </w:tc>
              <w:tc>
                <w:tcPr>
                  <w:tcW w:w="933" w:type="pct"/>
                  <w:vMerge w:val="continue"/>
                  <w:tcBorders>
                    <w:tl2br w:val="nil"/>
                    <w:tr2bl w:val="nil"/>
                  </w:tcBorders>
                  <w:noWrap w:val="0"/>
                  <w:vAlign w:val="center"/>
                </w:tcPr>
                <w:p w14:paraId="1AFEC13C">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p>
              </w:tc>
              <w:tc>
                <w:tcPr>
                  <w:tcW w:w="1208" w:type="pct"/>
                  <w:tcBorders>
                    <w:tl2br w:val="nil"/>
                    <w:tr2bl w:val="nil"/>
                  </w:tcBorders>
                  <w:noWrap w:val="0"/>
                  <w:vAlign w:val="center"/>
                </w:tcPr>
                <w:p w14:paraId="2D8AF039">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排气筒高度（m）</w:t>
                  </w:r>
                </w:p>
              </w:tc>
              <w:tc>
                <w:tcPr>
                  <w:tcW w:w="845" w:type="pct"/>
                  <w:tcBorders>
                    <w:tl2br w:val="nil"/>
                    <w:tr2bl w:val="nil"/>
                  </w:tcBorders>
                  <w:noWrap w:val="0"/>
                  <w:vAlign w:val="center"/>
                </w:tcPr>
                <w:p w14:paraId="0CAE78F0">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二级</w:t>
                  </w:r>
                </w:p>
              </w:tc>
              <w:tc>
                <w:tcPr>
                  <w:tcW w:w="1374" w:type="pct"/>
                  <w:vMerge w:val="continue"/>
                  <w:tcBorders>
                    <w:tl2br w:val="nil"/>
                    <w:tr2bl w:val="nil"/>
                  </w:tcBorders>
                  <w:noWrap w:val="0"/>
                  <w:vAlign w:val="center"/>
                </w:tcPr>
                <w:p w14:paraId="4478D204">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vertAlign w:val="baseline"/>
                      <w:lang w:val="en-US" w:eastAsia="zh-CN"/>
                    </w:rPr>
                  </w:pPr>
                </w:p>
              </w:tc>
            </w:tr>
            <w:tr w14:paraId="5EC6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tcBorders>
                    <w:tl2br w:val="nil"/>
                    <w:tr2bl w:val="nil"/>
                  </w:tcBorders>
                  <w:noWrap w:val="0"/>
                  <w:vAlign w:val="center"/>
                </w:tcPr>
                <w:p w14:paraId="25B99DAA">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颗粒物</w:t>
                  </w:r>
                </w:p>
              </w:tc>
              <w:tc>
                <w:tcPr>
                  <w:tcW w:w="933" w:type="pct"/>
                  <w:tcBorders>
                    <w:tl2br w:val="nil"/>
                    <w:tr2bl w:val="nil"/>
                  </w:tcBorders>
                  <w:noWrap w:val="0"/>
                  <w:vAlign w:val="center"/>
                </w:tcPr>
                <w:p w14:paraId="301041FE">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120</w:t>
                  </w:r>
                </w:p>
              </w:tc>
              <w:tc>
                <w:tcPr>
                  <w:tcW w:w="1208" w:type="pct"/>
                  <w:tcBorders>
                    <w:tl2br w:val="nil"/>
                    <w:tr2bl w:val="nil"/>
                  </w:tcBorders>
                  <w:noWrap w:val="0"/>
                  <w:vAlign w:val="center"/>
                </w:tcPr>
                <w:p w14:paraId="4ECA4771">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15</w:t>
                  </w:r>
                </w:p>
              </w:tc>
              <w:tc>
                <w:tcPr>
                  <w:tcW w:w="845" w:type="pct"/>
                  <w:tcBorders>
                    <w:tl2br w:val="nil"/>
                    <w:tr2bl w:val="nil"/>
                  </w:tcBorders>
                  <w:noWrap w:val="0"/>
                  <w:vAlign w:val="center"/>
                </w:tcPr>
                <w:p w14:paraId="32BCF5D7">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3.5</w:t>
                  </w:r>
                </w:p>
              </w:tc>
              <w:tc>
                <w:tcPr>
                  <w:tcW w:w="1374" w:type="pct"/>
                  <w:tcBorders>
                    <w:tl2br w:val="nil"/>
                    <w:tr2bl w:val="nil"/>
                  </w:tcBorders>
                  <w:noWrap w:val="0"/>
                  <w:vAlign w:val="center"/>
                </w:tcPr>
                <w:p w14:paraId="127AFB79">
                  <w:pPr>
                    <w:pStyle w:val="3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1.0</w:t>
                  </w:r>
                </w:p>
              </w:tc>
            </w:tr>
          </w:tbl>
          <w:p w14:paraId="33512A6B">
            <w:pPr>
              <w:pStyle w:val="2"/>
              <w:keepNext w:val="0"/>
              <w:keepLines w:val="0"/>
              <w:suppressLineNumbers w:val="0"/>
              <w:adjustRightInd/>
              <w:spacing w:before="0" w:beforeAutospacing="0" w:after="0" w:afterAutospacing="0" w:line="360" w:lineRule="auto"/>
              <w:ind w:left="0" w:right="0"/>
              <w:jc w:val="both"/>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2</w:t>
            </w:r>
            <w:r>
              <w:rPr>
                <w:rFonts w:hint="default" w:ascii="Times New Roman" w:hAnsi="Times New Roman" w:eastAsia="宋体" w:cs="Times New Roman"/>
                <w:b/>
                <w:bCs/>
                <w:color w:val="auto"/>
                <w:kern w:val="2"/>
                <w:sz w:val="24"/>
                <w:szCs w:val="24"/>
              </w:rPr>
              <w:t>、</w:t>
            </w:r>
            <w:r>
              <w:rPr>
                <w:rFonts w:hint="eastAsia" w:ascii="Times New Roman" w:hAnsi="Times New Roman" w:cs="Times New Roman"/>
                <w:b/>
                <w:bCs/>
                <w:color w:val="auto"/>
                <w:kern w:val="2"/>
                <w:sz w:val="24"/>
                <w:szCs w:val="24"/>
                <w:lang w:val="en-US" w:eastAsia="zh-CN"/>
              </w:rPr>
              <w:t>废水</w:t>
            </w:r>
          </w:p>
          <w:p w14:paraId="2CC994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lang w:val="en-US"/>
              </w:rPr>
            </w:pPr>
            <w:r>
              <w:rPr>
                <w:rFonts w:hint="eastAsia" w:ascii="Times New Roman" w:hAnsi="Times New Roman" w:eastAsia="宋体" w:cs="宋体"/>
                <w:color w:val="auto"/>
                <w:kern w:val="0"/>
                <w:sz w:val="24"/>
                <w:szCs w:val="24"/>
                <w:lang w:val="en-US" w:eastAsia="zh-CN" w:bidi="ar"/>
              </w:rPr>
              <w:t>运营期废水污染物主要为</w:t>
            </w:r>
            <w:r>
              <w:rPr>
                <w:rFonts w:hint="eastAsia" w:cs="宋体"/>
                <w:color w:val="auto"/>
                <w:kern w:val="0"/>
                <w:sz w:val="24"/>
                <w:szCs w:val="24"/>
                <w:lang w:val="en-US" w:eastAsia="zh-CN" w:bidi="ar"/>
              </w:rPr>
              <w:t>生活污水</w:t>
            </w:r>
            <w:r>
              <w:rPr>
                <w:rFonts w:hint="eastAsia" w:ascii="Times New Roman" w:hAnsi="Times New Roman" w:eastAsia="宋体" w:cs="宋体"/>
                <w:color w:val="auto"/>
                <w:kern w:val="0"/>
                <w:sz w:val="24"/>
                <w:szCs w:val="24"/>
                <w:lang w:val="en-US" w:eastAsia="zh-CN" w:bidi="ar"/>
              </w:rPr>
              <w:t>。</w:t>
            </w:r>
            <w:r>
              <w:rPr>
                <w:rFonts w:hint="eastAsia" w:cs="宋体"/>
                <w:color w:val="auto"/>
                <w:kern w:val="0"/>
                <w:sz w:val="24"/>
                <w:szCs w:val="24"/>
                <w:lang w:val="en-US" w:eastAsia="zh-CN" w:bidi="ar"/>
              </w:rPr>
              <w:t>生活污水收集至化粪池中，定期吸污拉运</w:t>
            </w:r>
            <w:r>
              <w:rPr>
                <w:rFonts w:hint="eastAsia" w:ascii="Times New Roman" w:hAnsi="Times New Roman" w:cs="宋体"/>
                <w:color w:val="auto"/>
                <w:kern w:val="0"/>
                <w:sz w:val="24"/>
                <w:szCs w:val="24"/>
                <w:lang w:val="en-US" w:eastAsia="zh-CN" w:bidi="ar"/>
              </w:rPr>
              <w:t>至</w:t>
            </w:r>
            <w:r>
              <w:rPr>
                <w:rFonts w:hint="eastAsia" w:cs="宋体"/>
                <w:color w:val="auto"/>
                <w:kern w:val="0"/>
                <w:sz w:val="24"/>
                <w:szCs w:val="24"/>
                <w:lang w:val="en-US" w:eastAsia="zh-CN" w:bidi="ar"/>
              </w:rPr>
              <w:t>天北经济技术开发区污水处理厂</w:t>
            </w:r>
            <w:r>
              <w:rPr>
                <w:rFonts w:hint="eastAsia" w:ascii="Times New Roman" w:hAnsi="Times New Roman" w:cs="宋体"/>
                <w:color w:val="auto"/>
                <w:kern w:val="0"/>
                <w:sz w:val="24"/>
                <w:szCs w:val="24"/>
                <w:lang w:val="en-US" w:eastAsia="zh-CN" w:bidi="ar"/>
              </w:rPr>
              <w:t>处理。</w:t>
            </w:r>
          </w:p>
          <w:p w14:paraId="4956D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宋体"/>
                <w:color w:val="auto"/>
                <w:kern w:val="0"/>
                <w:sz w:val="24"/>
                <w:szCs w:val="24"/>
                <w:lang w:val="en-US" w:eastAsia="zh-CN" w:bidi="ar"/>
              </w:rPr>
            </w:pPr>
            <w:r>
              <w:rPr>
                <w:rFonts w:hint="eastAsia" w:ascii="Times New Roman" w:hAnsi="Times New Roman" w:eastAsia="宋体" w:cs="宋体"/>
                <w:color w:val="auto"/>
                <w:kern w:val="0"/>
                <w:sz w:val="24"/>
                <w:szCs w:val="24"/>
                <w:lang w:val="en-US" w:eastAsia="zh-CN" w:bidi="ar"/>
              </w:rPr>
              <w:t>废水排放标准《污水综合排放标准》（GB</w:t>
            </w:r>
            <w:r>
              <w:rPr>
                <w:rFonts w:hint="eastAsia" w:cs="宋体"/>
                <w:color w:val="auto"/>
                <w:kern w:val="0"/>
                <w:sz w:val="24"/>
                <w:szCs w:val="24"/>
                <w:lang w:val="en-US" w:eastAsia="zh-CN" w:bidi="ar"/>
              </w:rPr>
              <w:t xml:space="preserve"> </w:t>
            </w:r>
            <w:r>
              <w:rPr>
                <w:rFonts w:hint="eastAsia" w:ascii="Times New Roman" w:hAnsi="Times New Roman" w:eastAsia="宋体" w:cs="宋体"/>
                <w:color w:val="auto"/>
                <w:kern w:val="0"/>
                <w:sz w:val="24"/>
                <w:szCs w:val="24"/>
                <w:lang w:val="en-US" w:eastAsia="zh-CN" w:bidi="ar"/>
              </w:rPr>
              <w:t>8978-1996</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三级标准。</w:t>
            </w:r>
          </w:p>
          <w:p w14:paraId="670DB6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jc w:val="center"/>
              <w:textAlignment w:val="auto"/>
              <w:rPr>
                <w:rFonts w:hint="eastAsia" w:ascii="Times New Roman" w:hAnsi="Times New Roman" w:cs="Times New Roman"/>
                <w:b/>
                <w:color w:val="auto"/>
                <w:lang w:val="en-US" w:eastAsia="zh-CN"/>
              </w:rPr>
            </w:pPr>
            <w:r>
              <w:rPr>
                <w:rFonts w:hint="default" w:ascii="Times New Roman" w:hAnsi="Times New Roman" w:eastAsia="宋体" w:cs="Times New Roman"/>
                <w:b/>
                <w:color w:val="auto"/>
                <w:lang w:val="en-US" w:eastAsia="zh-CN"/>
              </w:rPr>
              <w:t>表3-</w:t>
            </w:r>
            <w:r>
              <w:rPr>
                <w:rFonts w:hint="eastAsia" w:cs="Times New Roman"/>
                <w:b/>
                <w:color w:val="auto"/>
                <w:lang w:val="en-US" w:eastAsia="zh-CN"/>
              </w:rPr>
              <w:t>7</w:t>
            </w:r>
            <w:r>
              <w:rPr>
                <w:rFonts w:hint="default" w:ascii="Times New Roman" w:hAnsi="Times New Roman" w:eastAsia="宋体" w:cs="Times New Roman"/>
                <w:b/>
                <w:color w:val="auto"/>
                <w:lang w:val="en-US" w:eastAsia="zh-CN"/>
              </w:rPr>
              <w:t xml:space="preserve">  </w:t>
            </w:r>
            <w:r>
              <w:rPr>
                <w:rFonts w:hint="eastAsia" w:cs="Times New Roman"/>
                <w:b/>
                <w:color w:val="auto"/>
                <w:lang w:val="en-US" w:eastAsia="zh-CN"/>
              </w:rPr>
              <w:t>《</w:t>
            </w:r>
            <w:r>
              <w:rPr>
                <w:rFonts w:hint="default" w:ascii="Times New Roman" w:hAnsi="Times New Roman" w:eastAsia="宋体" w:cs="Times New Roman"/>
                <w:b/>
                <w:color w:val="auto"/>
                <w:lang w:val="en-US" w:eastAsia="zh-CN"/>
              </w:rPr>
              <w:t>污水综合排放标准》（GB8978-1996</w:t>
            </w:r>
            <w:r>
              <w:rPr>
                <w:rFonts w:hint="eastAsia" w:cs="Times New Roman"/>
                <w:b/>
                <w:color w:val="auto"/>
                <w:lang w:val="en-US" w:eastAsia="zh-CN"/>
              </w:rPr>
              <w:t>）</w:t>
            </w:r>
            <w:r>
              <w:rPr>
                <w:rFonts w:hint="eastAsia" w:ascii="Times New Roman" w:hAnsi="Times New Roman" w:cs="Times New Roman"/>
                <w:b/>
                <w:color w:val="auto"/>
                <w:lang w:val="en-US" w:eastAsia="zh-CN"/>
              </w:rPr>
              <w:t xml:space="preserve">  单位：mg/L</w:t>
            </w:r>
          </w:p>
          <w:tbl>
            <w:tblPr>
              <w:tblStyle w:val="4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647"/>
              <w:gridCol w:w="904"/>
              <w:gridCol w:w="1324"/>
              <w:gridCol w:w="1161"/>
              <w:gridCol w:w="1088"/>
            </w:tblGrid>
            <w:tr w14:paraId="7C9D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tcPr>
                <w:p w14:paraId="59703F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color w:val="auto"/>
                      <w:sz w:val="21"/>
                      <w:szCs w:val="21"/>
                      <w:vertAlign w:val="baseline"/>
                      <w:lang w:val="en-US" w:eastAsia="zh-CN"/>
                    </w:rPr>
                  </w:pPr>
                  <w:r>
                    <w:rPr>
                      <w:rFonts w:hint="eastAsia" w:ascii="Times New Roman" w:hAnsi="Times New Roman" w:cs="Times New Roman"/>
                      <w:b/>
                      <w:color w:val="auto"/>
                      <w:sz w:val="21"/>
                      <w:szCs w:val="21"/>
                      <w:vertAlign w:val="baseline"/>
                      <w:lang w:val="en-US" w:eastAsia="zh-CN"/>
                    </w:rPr>
                    <w:t>项目</w:t>
                  </w:r>
                </w:p>
              </w:tc>
              <w:tc>
                <w:tcPr>
                  <w:tcW w:w="1611" w:type="pct"/>
                </w:tcPr>
                <w:p w14:paraId="069066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color w:val="auto"/>
                      <w:sz w:val="21"/>
                      <w:szCs w:val="21"/>
                      <w:vertAlign w:val="baseline"/>
                      <w:lang w:val="en-US" w:eastAsia="zh-CN"/>
                    </w:rPr>
                  </w:pPr>
                  <w:r>
                    <w:rPr>
                      <w:rFonts w:hint="eastAsia" w:cs="Times New Roman"/>
                      <w:b/>
                      <w:color w:val="auto"/>
                      <w:sz w:val="21"/>
                      <w:szCs w:val="21"/>
                      <w:vertAlign w:val="baseline"/>
                      <w:lang w:val="en-US" w:eastAsia="zh-CN"/>
                    </w:rPr>
                    <w:t>pH</w:t>
                  </w:r>
                  <w:r>
                    <w:rPr>
                      <w:rFonts w:hint="eastAsia" w:ascii="Times New Roman" w:hAnsi="Times New Roman" w:cs="Times New Roman"/>
                      <w:b/>
                      <w:color w:val="auto"/>
                      <w:sz w:val="21"/>
                      <w:szCs w:val="21"/>
                      <w:vertAlign w:val="baseline"/>
                      <w:lang w:val="en-US" w:eastAsia="zh-CN"/>
                    </w:rPr>
                    <w:t>（无量纲</w:t>
                  </w:r>
                  <w:r>
                    <w:rPr>
                      <w:rFonts w:hint="eastAsia" w:cs="Times New Roman"/>
                      <w:b/>
                      <w:color w:val="auto"/>
                      <w:sz w:val="21"/>
                      <w:szCs w:val="21"/>
                      <w:vertAlign w:val="baseline"/>
                      <w:lang w:val="en-US" w:eastAsia="zh-CN"/>
                    </w:rPr>
                    <w:t>）</w:t>
                  </w:r>
                </w:p>
              </w:tc>
              <w:tc>
                <w:tcPr>
                  <w:tcW w:w="550" w:type="pct"/>
                </w:tcPr>
                <w:p w14:paraId="3ABB69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color w:val="auto"/>
                      <w:sz w:val="21"/>
                      <w:szCs w:val="21"/>
                      <w:vertAlign w:val="baseline"/>
                      <w:lang w:val="en-US" w:eastAsia="zh-CN"/>
                    </w:rPr>
                  </w:pPr>
                  <w:r>
                    <w:rPr>
                      <w:rFonts w:hint="eastAsia" w:ascii="Times New Roman" w:hAnsi="Times New Roman" w:cs="Times New Roman"/>
                      <w:b/>
                      <w:color w:val="auto"/>
                      <w:sz w:val="21"/>
                      <w:szCs w:val="21"/>
                      <w:vertAlign w:val="baseline"/>
                      <w:lang w:val="en-US" w:eastAsia="zh-CN"/>
                    </w:rPr>
                    <w:t>SS</w:t>
                  </w:r>
                </w:p>
              </w:tc>
              <w:tc>
                <w:tcPr>
                  <w:tcW w:w="806" w:type="pct"/>
                </w:tcPr>
                <w:p w14:paraId="02F2A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color w:val="auto"/>
                      <w:sz w:val="21"/>
                      <w:szCs w:val="21"/>
                      <w:vertAlign w:val="baseline"/>
                      <w:lang w:val="en-US" w:eastAsia="zh-CN"/>
                    </w:rPr>
                  </w:pPr>
                  <w:r>
                    <w:rPr>
                      <w:rFonts w:hint="eastAsia" w:ascii="Times New Roman" w:hAnsi="Times New Roman" w:cs="Times New Roman"/>
                      <w:b/>
                      <w:color w:val="auto"/>
                      <w:sz w:val="21"/>
                      <w:szCs w:val="21"/>
                      <w:vertAlign w:val="baseline"/>
                      <w:lang w:val="en-US" w:eastAsia="zh-CN"/>
                    </w:rPr>
                    <w:t>BOD</w:t>
                  </w:r>
                  <w:r>
                    <w:rPr>
                      <w:rFonts w:hint="eastAsia" w:ascii="Times New Roman" w:hAnsi="Times New Roman" w:cs="Times New Roman"/>
                      <w:b/>
                      <w:color w:val="auto"/>
                      <w:sz w:val="21"/>
                      <w:szCs w:val="21"/>
                      <w:vertAlign w:val="subscript"/>
                      <w:lang w:val="en-US" w:eastAsia="zh-CN"/>
                    </w:rPr>
                    <w:t>5</w:t>
                  </w:r>
                </w:p>
              </w:tc>
              <w:tc>
                <w:tcPr>
                  <w:tcW w:w="707" w:type="pct"/>
                </w:tcPr>
                <w:p w14:paraId="32349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color w:val="auto"/>
                      <w:sz w:val="21"/>
                      <w:szCs w:val="21"/>
                      <w:vertAlign w:val="baseline"/>
                      <w:lang w:val="en-US" w:eastAsia="zh-CN"/>
                    </w:rPr>
                  </w:pPr>
                  <w:r>
                    <w:rPr>
                      <w:rFonts w:hint="eastAsia" w:ascii="Times New Roman" w:hAnsi="Times New Roman" w:cs="Times New Roman"/>
                      <w:b/>
                      <w:color w:val="auto"/>
                      <w:sz w:val="21"/>
                      <w:szCs w:val="21"/>
                      <w:vertAlign w:val="baseline"/>
                      <w:lang w:val="en-US" w:eastAsia="zh-CN"/>
                    </w:rPr>
                    <w:t>COD</w:t>
                  </w:r>
                </w:p>
              </w:tc>
              <w:tc>
                <w:tcPr>
                  <w:tcW w:w="662" w:type="pct"/>
                </w:tcPr>
                <w:p w14:paraId="645AA4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color w:val="auto"/>
                      <w:sz w:val="21"/>
                      <w:szCs w:val="21"/>
                      <w:vertAlign w:val="baseline"/>
                      <w:lang w:val="en-US" w:eastAsia="zh-CN"/>
                    </w:rPr>
                  </w:pPr>
                  <w:r>
                    <w:rPr>
                      <w:rFonts w:hint="eastAsia" w:ascii="Times New Roman" w:hAnsi="Times New Roman" w:cs="Times New Roman"/>
                      <w:b/>
                      <w:color w:val="auto"/>
                      <w:sz w:val="21"/>
                      <w:szCs w:val="21"/>
                      <w:vertAlign w:val="baseline"/>
                      <w:lang w:val="en-US" w:eastAsia="zh-CN"/>
                    </w:rPr>
                    <w:t>氨氮</w:t>
                  </w:r>
                </w:p>
              </w:tc>
            </w:tr>
            <w:tr w14:paraId="607C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tcPr>
                <w:p w14:paraId="4C0003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限值</w:t>
                  </w:r>
                </w:p>
              </w:tc>
              <w:tc>
                <w:tcPr>
                  <w:tcW w:w="1611" w:type="pct"/>
                </w:tcPr>
                <w:p w14:paraId="7CEAB0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6.0~9.0</w:t>
                  </w:r>
                </w:p>
              </w:tc>
              <w:tc>
                <w:tcPr>
                  <w:tcW w:w="550" w:type="pct"/>
                </w:tcPr>
                <w:p w14:paraId="789865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400</w:t>
                  </w:r>
                </w:p>
              </w:tc>
              <w:tc>
                <w:tcPr>
                  <w:tcW w:w="806" w:type="pct"/>
                </w:tcPr>
                <w:p w14:paraId="7885F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300</w:t>
                  </w:r>
                </w:p>
              </w:tc>
              <w:tc>
                <w:tcPr>
                  <w:tcW w:w="707" w:type="pct"/>
                </w:tcPr>
                <w:p w14:paraId="44D9FE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500</w:t>
                  </w:r>
                </w:p>
              </w:tc>
              <w:tc>
                <w:tcPr>
                  <w:tcW w:w="662" w:type="pct"/>
                </w:tcPr>
                <w:p w14:paraId="0364A6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w:t>
                  </w:r>
                </w:p>
              </w:tc>
            </w:tr>
          </w:tbl>
          <w:p w14:paraId="29A7AE4B">
            <w:pPr>
              <w:pStyle w:val="2"/>
              <w:keepNext w:val="0"/>
              <w:keepLines w:val="0"/>
              <w:suppressLineNumbers w:val="0"/>
              <w:adjustRightInd/>
              <w:spacing w:before="0" w:beforeAutospacing="0" w:after="0" w:afterAutospacing="0" w:line="360" w:lineRule="auto"/>
              <w:ind w:left="0" w:right="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3、噪声</w:t>
            </w:r>
          </w:p>
          <w:p w14:paraId="27A01FB8">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rPr>
              <w:t>施工期执行《建筑施工场界环境噪声排放标准》（GB 12523-2011</w:t>
            </w:r>
            <w:r>
              <w:rPr>
                <w:rFonts w:hint="eastAsia" w:cs="Times New Roman"/>
                <w:color w:val="auto"/>
                <w:kern w:val="2"/>
                <w:sz w:val="24"/>
                <w:szCs w:val="24"/>
                <w:lang w:val="en-US" w:eastAsia="zh-CN"/>
              </w:rPr>
              <w:t>）</w:t>
            </w:r>
            <w:r>
              <w:rPr>
                <w:rFonts w:hint="eastAsia" w:ascii="Times New Roman" w:hAnsi="Times New Roman" w:cs="Times New Roman"/>
                <w:color w:val="auto"/>
                <w:kern w:val="2"/>
                <w:sz w:val="24"/>
                <w:szCs w:val="24"/>
                <w:lang w:val="en-US" w:eastAsia="zh-CN"/>
              </w:rPr>
              <w:t>中排放限值标准；运营期执行《工业企业厂界环境噪声排放标准》（GB 12348-2008</w:t>
            </w:r>
            <w:r>
              <w:rPr>
                <w:rFonts w:hint="eastAsia" w:cs="Times New Roman"/>
                <w:color w:val="auto"/>
                <w:kern w:val="2"/>
                <w:sz w:val="24"/>
                <w:szCs w:val="24"/>
                <w:lang w:val="en-US" w:eastAsia="zh-CN"/>
              </w:rPr>
              <w:t>）</w:t>
            </w:r>
            <w:r>
              <w:rPr>
                <w:rFonts w:hint="eastAsia" w:ascii="Times New Roman" w:hAnsi="Times New Roman" w:cs="Times New Roman"/>
                <w:color w:val="auto"/>
                <w:kern w:val="2"/>
                <w:sz w:val="24"/>
                <w:szCs w:val="24"/>
                <w:lang w:val="en-US" w:eastAsia="zh-CN"/>
              </w:rPr>
              <w:t>中</w:t>
            </w:r>
            <w:r>
              <w:rPr>
                <w:rFonts w:hint="eastAsia" w:cs="Times New Roman"/>
                <w:color w:val="auto"/>
                <w:kern w:val="2"/>
                <w:sz w:val="24"/>
                <w:szCs w:val="24"/>
                <w:lang w:val="en-US" w:eastAsia="zh-CN"/>
              </w:rPr>
              <w:t>2</w:t>
            </w:r>
            <w:r>
              <w:rPr>
                <w:rFonts w:hint="eastAsia" w:ascii="Times New Roman" w:hAnsi="Times New Roman" w:cs="Times New Roman"/>
                <w:color w:val="auto"/>
                <w:kern w:val="2"/>
                <w:sz w:val="24"/>
                <w:szCs w:val="24"/>
                <w:lang w:val="en-US" w:eastAsia="zh-CN"/>
              </w:rPr>
              <w:t>类标准，排放标准限值见表3-</w:t>
            </w:r>
            <w:r>
              <w:rPr>
                <w:rFonts w:hint="eastAsia" w:cs="Times New Roman"/>
                <w:color w:val="auto"/>
                <w:kern w:val="2"/>
                <w:sz w:val="24"/>
                <w:szCs w:val="24"/>
                <w:lang w:val="en-US" w:eastAsia="zh-CN"/>
              </w:rPr>
              <w:t>8</w:t>
            </w:r>
            <w:r>
              <w:rPr>
                <w:rFonts w:hint="eastAsia" w:ascii="Times New Roman" w:hAnsi="Times New Roman" w:cs="Times New Roman"/>
                <w:color w:val="auto"/>
                <w:kern w:val="2"/>
                <w:sz w:val="24"/>
                <w:szCs w:val="24"/>
                <w:lang w:val="en-US" w:eastAsia="zh-CN"/>
              </w:rPr>
              <w:t>。</w:t>
            </w:r>
          </w:p>
          <w:p w14:paraId="765A4A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jc w:val="center"/>
              <w:textAlignment w:val="auto"/>
              <w:rPr>
                <w:rFonts w:hint="default" w:ascii="Times New Roman" w:hAnsi="Times New Roman" w:eastAsia="宋体" w:cs="Times New Roman"/>
                <w:b/>
                <w:color w:val="auto"/>
                <w:lang w:val="en-US"/>
              </w:rPr>
            </w:pPr>
            <w:r>
              <w:rPr>
                <w:rFonts w:hint="default" w:ascii="Times New Roman" w:hAnsi="Times New Roman" w:eastAsia="宋体" w:cs="Times New Roman"/>
                <w:b/>
                <w:color w:val="auto"/>
                <w:lang w:val="en-US" w:eastAsia="zh-CN"/>
              </w:rPr>
              <w:t>表3-</w:t>
            </w:r>
            <w:r>
              <w:rPr>
                <w:rFonts w:hint="eastAsia" w:cs="Times New Roman"/>
                <w:b/>
                <w:color w:val="auto"/>
                <w:lang w:val="en-US" w:eastAsia="zh-CN"/>
              </w:rPr>
              <w:t>8</w:t>
            </w:r>
            <w:r>
              <w:rPr>
                <w:rFonts w:hint="default" w:ascii="Times New Roman" w:hAnsi="Times New Roman" w:eastAsia="宋体" w:cs="Times New Roman"/>
                <w:b/>
                <w:color w:val="auto"/>
                <w:lang w:val="en-US" w:eastAsia="zh-CN"/>
              </w:rPr>
              <w:t xml:space="preserve">  工业企业厂界环境噪声排放标准</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4806"/>
              <w:gridCol w:w="1216"/>
              <w:gridCol w:w="1216"/>
            </w:tblGrid>
            <w:tr w14:paraId="71D6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exact"/>
                <w:jc w:val="center"/>
              </w:trPr>
              <w:tc>
                <w:tcPr>
                  <w:tcW w:w="594" w:type="pct"/>
                  <w:noWrap w:val="0"/>
                  <w:vAlign w:val="center"/>
                </w:tcPr>
                <w:p w14:paraId="1ECB1060">
                  <w:pPr>
                    <w:keepNext w:val="0"/>
                    <w:keepLines w:val="0"/>
                    <w:widowControl w:val="0"/>
                    <w:suppressLineNumbers w:val="0"/>
                    <w:snapToGrid w:val="0"/>
                    <w:spacing w:before="0" w:beforeAutospacing="0" w:after="0" w:afterAutospacing="0"/>
                    <w:ind w:left="0" w:right="0"/>
                    <w:jc w:val="center"/>
                    <w:rPr>
                      <w:rFonts w:hint="eastAsia" w:ascii="Times New Roman" w:hAnsi="Times New Roman" w:eastAsia="宋体" w:cs="Times New Roman"/>
                      <w:b/>
                      <w:bCs w:val="0"/>
                      <w:color w:val="auto"/>
                      <w:szCs w:val="21"/>
                      <w:lang w:val="en-US" w:eastAsia="zh-CN"/>
                    </w:rPr>
                  </w:pPr>
                  <w:r>
                    <w:rPr>
                      <w:rFonts w:hint="eastAsia" w:cs="Times New Roman"/>
                      <w:b/>
                      <w:bCs w:val="0"/>
                      <w:color w:val="auto"/>
                      <w:szCs w:val="21"/>
                      <w:lang w:val="en-US" w:eastAsia="zh-CN"/>
                    </w:rPr>
                    <w:t>时期</w:t>
                  </w:r>
                </w:p>
              </w:tc>
              <w:tc>
                <w:tcPr>
                  <w:tcW w:w="2925" w:type="pct"/>
                  <w:noWrap w:val="0"/>
                  <w:vAlign w:val="center"/>
                </w:tcPr>
                <w:p w14:paraId="2FC184BE">
                  <w:pPr>
                    <w:keepNext w:val="0"/>
                    <w:keepLines w:val="0"/>
                    <w:widowControl w:val="0"/>
                    <w:suppressLineNumbers w:val="0"/>
                    <w:snapToGrid w:val="0"/>
                    <w:spacing w:before="0" w:beforeAutospacing="0" w:after="0" w:afterAutospacing="0"/>
                    <w:ind w:left="0" w:right="0"/>
                    <w:jc w:val="center"/>
                    <w:rPr>
                      <w:rFonts w:hint="default" w:ascii="Times New Roman" w:hAnsi="Times New Roman" w:eastAsia="宋体" w:cs="Times New Roman"/>
                      <w:b/>
                      <w:bCs w:val="0"/>
                      <w:color w:val="auto"/>
                      <w:kern w:val="2"/>
                      <w:sz w:val="21"/>
                      <w:szCs w:val="21"/>
                      <w:lang w:val="en-US" w:eastAsia="zh-CN" w:bidi="ar"/>
                    </w:rPr>
                  </w:pPr>
                  <w:r>
                    <w:rPr>
                      <w:rFonts w:hint="eastAsia" w:cs="Times New Roman"/>
                      <w:b/>
                      <w:bCs w:val="0"/>
                      <w:color w:val="auto"/>
                      <w:kern w:val="2"/>
                      <w:sz w:val="21"/>
                      <w:szCs w:val="21"/>
                      <w:lang w:val="en-US" w:eastAsia="zh-CN" w:bidi="ar"/>
                    </w:rPr>
                    <w:t>标准</w:t>
                  </w:r>
                </w:p>
              </w:tc>
              <w:tc>
                <w:tcPr>
                  <w:tcW w:w="740" w:type="pct"/>
                  <w:noWrap w:val="0"/>
                  <w:vAlign w:val="center"/>
                </w:tcPr>
                <w:p w14:paraId="3CCF8E00">
                  <w:pPr>
                    <w:keepNext w:val="0"/>
                    <w:keepLines w:val="0"/>
                    <w:widowControl w:val="0"/>
                    <w:suppressLineNumbers w:val="0"/>
                    <w:snapToGrid w:val="0"/>
                    <w:spacing w:before="0" w:beforeAutospacing="0" w:after="0" w:afterAutospacing="0"/>
                    <w:ind w:left="0" w:right="0"/>
                    <w:jc w:val="center"/>
                    <w:rPr>
                      <w:rFonts w:hint="default" w:ascii="Times New Roman" w:hAnsi="Times New Roman" w:eastAsia="宋体" w:cs="Times New Roman"/>
                      <w:b/>
                      <w:bCs w:val="0"/>
                      <w:color w:val="auto"/>
                      <w:szCs w:val="21"/>
                      <w:lang w:val="en-US"/>
                    </w:rPr>
                  </w:pPr>
                  <w:r>
                    <w:rPr>
                      <w:rFonts w:hint="default" w:ascii="Times New Roman" w:hAnsi="Times New Roman" w:eastAsia="宋体" w:cs="Times New Roman"/>
                      <w:b/>
                      <w:bCs w:val="0"/>
                      <w:color w:val="auto"/>
                      <w:kern w:val="2"/>
                      <w:sz w:val="21"/>
                      <w:szCs w:val="21"/>
                      <w:lang w:val="en-US" w:eastAsia="zh-CN" w:bidi="ar"/>
                    </w:rPr>
                    <w:t>昼间</w:t>
                  </w:r>
                </w:p>
              </w:tc>
              <w:tc>
                <w:tcPr>
                  <w:tcW w:w="740" w:type="pct"/>
                  <w:noWrap w:val="0"/>
                  <w:vAlign w:val="center"/>
                </w:tcPr>
                <w:p w14:paraId="1FAFAA60">
                  <w:pPr>
                    <w:keepNext w:val="0"/>
                    <w:keepLines w:val="0"/>
                    <w:widowControl w:val="0"/>
                    <w:suppressLineNumbers w:val="0"/>
                    <w:snapToGrid w:val="0"/>
                    <w:spacing w:before="0" w:beforeAutospacing="0" w:after="0" w:afterAutospacing="0"/>
                    <w:ind w:left="0" w:right="0"/>
                    <w:jc w:val="center"/>
                    <w:rPr>
                      <w:rFonts w:hint="default" w:ascii="Times New Roman" w:hAnsi="Times New Roman" w:eastAsia="宋体" w:cs="Times New Roman"/>
                      <w:b/>
                      <w:bCs w:val="0"/>
                      <w:color w:val="auto"/>
                      <w:szCs w:val="21"/>
                      <w:lang w:val="en-US"/>
                    </w:rPr>
                  </w:pPr>
                  <w:r>
                    <w:rPr>
                      <w:rFonts w:hint="default" w:ascii="Times New Roman" w:hAnsi="Times New Roman" w:eastAsia="宋体" w:cs="Times New Roman"/>
                      <w:b/>
                      <w:bCs w:val="0"/>
                      <w:color w:val="auto"/>
                      <w:kern w:val="2"/>
                      <w:sz w:val="21"/>
                      <w:szCs w:val="21"/>
                      <w:lang w:val="en-US" w:eastAsia="zh-CN" w:bidi="ar"/>
                    </w:rPr>
                    <w:t>夜间</w:t>
                  </w:r>
                </w:p>
              </w:tc>
            </w:tr>
            <w:tr w14:paraId="133B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594" w:type="pct"/>
                  <w:noWrap w:val="0"/>
                  <w:vAlign w:val="center"/>
                </w:tcPr>
                <w:p w14:paraId="503BACA8">
                  <w:pPr>
                    <w:keepNext w:val="0"/>
                    <w:keepLines w:val="0"/>
                    <w:widowControl w:val="0"/>
                    <w:suppressLineNumbers w:val="0"/>
                    <w:adjustRightInd w:val="0"/>
                    <w:snapToGrid w:val="0"/>
                    <w:spacing w:before="0" w:beforeAutospacing="0" w:after="0" w:afterAutospacing="0"/>
                    <w:ind w:left="0" w:right="0"/>
                    <w:jc w:val="both"/>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施工期</w:t>
                  </w:r>
                </w:p>
              </w:tc>
              <w:tc>
                <w:tcPr>
                  <w:tcW w:w="2925" w:type="pct"/>
                  <w:noWrap w:val="0"/>
                  <w:vAlign w:val="center"/>
                </w:tcPr>
                <w:p w14:paraId="616EAE0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《建筑施工场界环境噪声排放标准》</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GB 12523-2011</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中排放限值标准</w:t>
                  </w:r>
                </w:p>
              </w:tc>
              <w:tc>
                <w:tcPr>
                  <w:tcW w:w="740" w:type="pct"/>
                  <w:noWrap w:val="0"/>
                  <w:vAlign w:val="center"/>
                </w:tcPr>
                <w:p w14:paraId="359B945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val="en-US"/>
                    </w:rPr>
                  </w:pPr>
                  <w:r>
                    <w:rPr>
                      <w:rFonts w:hint="default" w:ascii="Times New Roman" w:hAnsi="Times New Roman" w:eastAsia="宋体" w:cs="Times New Roman"/>
                      <w:color w:val="auto"/>
                      <w:kern w:val="2"/>
                      <w:sz w:val="21"/>
                      <w:szCs w:val="21"/>
                      <w:lang w:val="en-US" w:eastAsia="zh-CN" w:bidi="ar"/>
                    </w:rPr>
                    <w:t>≤</w:t>
                  </w:r>
                  <w:r>
                    <w:rPr>
                      <w:rFonts w:hint="eastAsia" w:cs="Times New Roman"/>
                      <w:color w:val="auto"/>
                      <w:kern w:val="2"/>
                      <w:sz w:val="21"/>
                      <w:szCs w:val="21"/>
                      <w:lang w:val="en-US" w:eastAsia="zh-CN" w:bidi="ar"/>
                    </w:rPr>
                    <w:t>7</w:t>
                  </w:r>
                  <w:r>
                    <w:rPr>
                      <w:rFonts w:hint="default" w:ascii="Times New Roman" w:hAnsi="Times New Roman" w:eastAsia="宋体" w:cs="Times New Roman"/>
                      <w:color w:val="auto"/>
                      <w:kern w:val="2"/>
                      <w:sz w:val="21"/>
                      <w:szCs w:val="21"/>
                      <w:lang w:val="en-US" w:eastAsia="zh-CN" w:bidi="ar"/>
                    </w:rPr>
                    <w:t>0dB</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A</w:t>
                  </w:r>
                  <w:r>
                    <w:rPr>
                      <w:rFonts w:hint="eastAsia" w:cs="Times New Roman"/>
                      <w:color w:val="auto"/>
                      <w:kern w:val="2"/>
                      <w:sz w:val="21"/>
                      <w:szCs w:val="21"/>
                      <w:lang w:val="en-US" w:eastAsia="zh-CN" w:bidi="ar"/>
                    </w:rPr>
                    <w:t>)</w:t>
                  </w:r>
                </w:p>
              </w:tc>
              <w:tc>
                <w:tcPr>
                  <w:tcW w:w="740" w:type="pct"/>
                  <w:noWrap w:val="0"/>
                  <w:vAlign w:val="center"/>
                </w:tcPr>
                <w:p w14:paraId="4DAED90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val="en-US"/>
                    </w:rPr>
                  </w:pPr>
                  <w:r>
                    <w:rPr>
                      <w:rFonts w:hint="default" w:ascii="Times New Roman" w:hAnsi="Times New Roman" w:eastAsia="宋体" w:cs="Times New Roman"/>
                      <w:color w:val="auto"/>
                      <w:kern w:val="2"/>
                      <w:sz w:val="21"/>
                      <w:szCs w:val="21"/>
                      <w:lang w:val="en-US" w:eastAsia="zh-CN" w:bidi="ar"/>
                    </w:rPr>
                    <w:t>≤5</w:t>
                  </w:r>
                  <w:r>
                    <w:rPr>
                      <w:rFonts w:hint="eastAsia" w:cs="Times New Roman"/>
                      <w:color w:val="auto"/>
                      <w:kern w:val="2"/>
                      <w:sz w:val="21"/>
                      <w:szCs w:val="21"/>
                      <w:lang w:val="en-US" w:eastAsia="zh-CN" w:bidi="ar"/>
                    </w:rPr>
                    <w:t>5</w:t>
                  </w:r>
                  <w:r>
                    <w:rPr>
                      <w:rFonts w:hint="default" w:ascii="Times New Roman" w:hAnsi="Times New Roman" w:eastAsia="宋体" w:cs="Times New Roman"/>
                      <w:color w:val="auto"/>
                      <w:kern w:val="2"/>
                      <w:sz w:val="21"/>
                      <w:szCs w:val="21"/>
                      <w:lang w:val="en-US" w:eastAsia="zh-CN" w:bidi="ar"/>
                    </w:rPr>
                    <w:t>dB</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A</w:t>
                  </w:r>
                  <w:r>
                    <w:rPr>
                      <w:rFonts w:hint="eastAsia" w:cs="Times New Roman"/>
                      <w:color w:val="auto"/>
                      <w:kern w:val="2"/>
                      <w:sz w:val="21"/>
                      <w:szCs w:val="21"/>
                      <w:lang w:val="en-US" w:eastAsia="zh-CN" w:bidi="ar"/>
                    </w:rPr>
                    <w:t>)</w:t>
                  </w:r>
                </w:p>
              </w:tc>
            </w:tr>
            <w:tr w14:paraId="6D09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594" w:type="pct"/>
                  <w:noWrap w:val="0"/>
                  <w:vAlign w:val="center"/>
                </w:tcPr>
                <w:p w14:paraId="34F49D0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运营期</w:t>
                  </w:r>
                </w:p>
              </w:tc>
              <w:tc>
                <w:tcPr>
                  <w:tcW w:w="2925" w:type="pct"/>
                  <w:noWrap w:val="0"/>
                  <w:vAlign w:val="center"/>
                </w:tcPr>
                <w:p w14:paraId="6BE8482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《工业企业厂界环境噪声排放标准》</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GB 12348-2008</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中</w:t>
                  </w:r>
                  <w:r>
                    <w:rPr>
                      <w:rFonts w:hint="eastAsia" w:cs="Times New Roman"/>
                      <w:color w:val="auto"/>
                      <w:kern w:val="2"/>
                      <w:sz w:val="21"/>
                      <w:szCs w:val="21"/>
                      <w:lang w:val="en-US" w:eastAsia="zh-CN" w:bidi="ar"/>
                    </w:rPr>
                    <w:t>2</w:t>
                  </w:r>
                  <w:r>
                    <w:rPr>
                      <w:rFonts w:hint="default" w:ascii="Times New Roman" w:hAnsi="Times New Roman" w:eastAsia="宋体" w:cs="Times New Roman"/>
                      <w:color w:val="auto"/>
                      <w:kern w:val="2"/>
                      <w:sz w:val="21"/>
                      <w:szCs w:val="21"/>
                      <w:lang w:val="en-US" w:eastAsia="zh-CN" w:bidi="ar"/>
                    </w:rPr>
                    <w:t>类标准</w:t>
                  </w:r>
                </w:p>
              </w:tc>
              <w:tc>
                <w:tcPr>
                  <w:tcW w:w="740" w:type="pct"/>
                  <w:noWrap w:val="0"/>
                  <w:vAlign w:val="center"/>
                </w:tcPr>
                <w:p w14:paraId="3558A2A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≤6</w:t>
                  </w:r>
                  <w:r>
                    <w:rPr>
                      <w:rFonts w:hint="eastAsia" w:cs="Times New Roman"/>
                      <w:color w:val="auto"/>
                      <w:kern w:val="2"/>
                      <w:sz w:val="21"/>
                      <w:szCs w:val="21"/>
                      <w:lang w:val="en-US" w:eastAsia="zh-CN" w:bidi="ar"/>
                    </w:rPr>
                    <w:t>0</w:t>
                  </w:r>
                  <w:r>
                    <w:rPr>
                      <w:rFonts w:hint="default" w:ascii="Times New Roman" w:hAnsi="Times New Roman" w:eastAsia="宋体" w:cs="Times New Roman"/>
                      <w:color w:val="auto"/>
                      <w:kern w:val="2"/>
                      <w:sz w:val="21"/>
                      <w:szCs w:val="21"/>
                      <w:lang w:val="en-US" w:eastAsia="zh-CN" w:bidi="ar"/>
                    </w:rPr>
                    <w:t>dB</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A</w:t>
                  </w:r>
                  <w:r>
                    <w:rPr>
                      <w:rFonts w:hint="eastAsia" w:cs="Times New Roman"/>
                      <w:color w:val="auto"/>
                      <w:kern w:val="2"/>
                      <w:sz w:val="21"/>
                      <w:szCs w:val="21"/>
                      <w:lang w:val="en-US" w:eastAsia="zh-CN" w:bidi="ar"/>
                    </w:rPr>
                    <w:t>)</w:t>
                  </w:r>
                </w:p>
              </w:tc>
              <w:tc>
                <w:tcPr>
                  <w:tcW w:w="740" w:type="pct"/>
                  <w:noWrap w:val="0"/>
                  <w:vAlign w:val="center"/>
                </w:tcPr>
                <w:p w14:paraId="3738A139">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≤5</w:t>
                  </w:r>
                  <w:r>
                    <w:rPr>
                      <w:rFonts w:hint="eastAsia" w:cs="Times New Roman"/>
                      <w:color w:val="auto"/>
                      <w:kern w:val="2"/>
                      <w:sz w:val="21"/>
                      <w:szCs w:val="21"/>
                      <w:lang w:val="en-US" w:eastAsia="zh-CN" w:bidi="ar"/>
                    </w:rPr>
                    <w:t>0</w:t>
                  </w:r>
                  <w:r>
                    <w:rPr>
                      <w:rFonts w:hint="default" w:ascii="Times New Roman" w:hAnsi="Times New Roman" w:eastAsia="宋体" w:cs="Times New Roman"/>
                      <w:color w:val="auto"/>
                      <w:kern w:val="2"/>
                      <w:sz w:val="21"/>
                      <w:szCs w:val="21"/>
                      <w:lang w:val="en-US" w:eastAsia="zh-CN" w:bidi="ar"/>
                    </w:rPr>
                    <w:t>dB</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A</w:t>
                  </w:r>
                  <w:r>
                    <w:rPr>
                      <w:rFonts w:hint="eastAsia" w:cs="Times New Roman"/>
                      <w:color w:val="auto"/>
                      <w:kern w:val="2"/>
                      <w:sz w:val="21"/>
                      <w:szCs w:val="21"/>
                      <w:lang w:val="en-US" w:eastAsia="zh-CN" w:bidi="ar"/>
                    </w:rPr>
                    <w:t>)</w:t>
                  </w:r>
                </w:p>
              </w:tc>
            </w:tr>
          </w:tbl>
          <w:p w14:paraId="694DBA6E">
            <w:pPr>
              <w:pStyle w:val="2"/>
              <w:keepNext w:val="0"/>
              <w:keepLines w:val="0"/>
              <w:suppressLineNumbers w:val="0"/>
              <w:adjustRightInd/>
              <w:spacing w:before="0" w:beforeAutospacing="0" w:after="0" w:afterAutospacing="0" w:line="360" w:lineRule="auto"/>
              <w:ind w:left="0" w:right="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4</w:t>
            </w:r>
            <w:r>
              <w:rPr>
                <w:rFonts w:hint="default" w:ascii="Times New Roman" w:hAnsi="Times New Roman" w:eastAsia="宋体" w:cs="Times New Roman"/>
                <w:b/>
                <w:bCs/>
                <w:color w:val="auto"/>
                <w:kern w:val="2"/>
                <w:sz w:val="24"/>
                <w:szCs w:val="24"/>
              </w:rPr>
              <w:t>、</w:t>
            </w:r>
            <w:r>
              <w:rPr>
                <w:rFonts w:hint="eastAsia" w:ascii="Times New Roman" w:hAnsi="Times New Roman" w:cs="Times New Roman"/>
                <w:b/>
                <w:bCs/>
                <w:color w:val="auto"/>
                <w:kern w:val="2"/>
                <w:sz w:val="24"/>
                <w:szCs w:val="24"/>
                <w:lang w:val="en-US" w:eastAsia="zh-CN"/>
              </w:rPr>
              <w:t>固体废物</w:t>
            </w:r>
          </w:p>
          <w:p w14:paraId="731A6D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0"/>
                <w:szCs w:val="21"/>
                <w:lang w:val="en-US" w:eastAsia="zh-CN"/>
              </w:rPr>
            </w:pPr>
            <w:r>
              <w:rPr>
                <w:rFonts w:hint="eastAsia" w:cs="Times New Roman"/>
                <w:color w:val="auto"/>
                <w:kern w:val="2"/>
                <w:sz w:val="24"/>
                <w:szCs w:val="24"/>
                <w:lang w:val="en-US" w:eastAsia="zh-CN"/>
              </w:rPr>
              <w:t>本项目产生的一般工业固废执行</w:t>
            </w:r>
            <w:r>
              <w:rPr>
                <w:rFonts w:hint="default" w:ascii="Times New Roman" w:hAnsi="Times New Roman" w:eastAsia="宋体" w:cs="Times New Roman"/>
                <w:color w:val="auto"/>
                <w:kern w:val="2"/>
                <w:sz w:val="24"/>
                <w:szCs w:val="24"/>
                <w:lang w:val="en-US" w:eastAsia="zh-CN"/>
              </w:rPr>
              <w:t>《一般工业固体废物贮存和填埋污染控制标准》</w:t>
            </w:r>
            <w:r>
              <w:rPr>
                <w:rFonts w:hint="eastAsia" w:ascii="Times New Roman" w:hAnsi="Times New Roman" w:eastAsia="宋体" w:cs="Times New Roman"/>
                <w:color w:val="auto"/>
                <w:kern w:val="2"/>
                <w:sz w:val="24"/>
                <w:szCs w:val="24"/>
                <w:lang w:val="en-US" w:eastAsia="zh-CN"/>
              </w:rPr>
              <w:t>（</w:t>
            </w:r>
            <w:r>
              <w:rPr>
                <w:rFonts w:hint="default" w:ascii="Times New Roman" w:hAnsi="Times New Roman" w:eastAsia="宋体" w:cs="Times New Roman"/>
                <w:color w:val="auto"/>
                <w:kern w:val="2"/>
                <w:sz w:val="24"/>
                <w:szCs w:val="24"/>
                <w:lang w:val="en-US" w:eastAsia="zh-CN"/>
              </w:rPr>
              <w:t>GB</w:t>
            </w:r>
            <w:r>
              <w:rPr>
                <w:rFonts w:hint="eastAsia" w:cs="Times New Roman"/>
                <w:color w:val="auto"/>
                <w:kern w:val="2"/>
                <w:sz w:val="24"/>
                <w:szCs w:val="24"/>
                <w:lang w:val="en-US" w:eastAsia="zh-CN"/>
              </w:rPr>
              <w:t xml:space="preserve"> </w:t>
            </w:r>
            <w:r>
              <w:rPr>
                <w:rFonts w:hint="default" w:ascii="Times New Roman" w:hAnsi="Times New Roman" w:eastAsia="宋体" w:cs="Times New Roman"/>
                <w:color w:val="auto"/>
                <w:kern w:val="2"/>
                <w:sz w:val="24"/>
                <w:szCs w:val="24"/>
                <w:lang w:val="en-US" w:eastAsia="zh-CN"/>
              </w:rPr>
              <w:t>18599-2020</w:t>
            </w:r>
            <w:r>
              <w:rPr>
                <w:rFonts w:hint="eastAsia" w:cs="Times New Roman"/>
                <w:color w:val="auto"/>
                <w:kern w:val="2"/>
                <w:sz w:val="24"/>
                <w:szCs w:val="24"/>
                <w:lang w:val="en-US" w:eastAsia="zh-CN"/>
              </w:rPr>
              <w:t>）</w:t>
            </w:r>
            <w:r>
              <w:rPr>
                <w:rFonts w:hint="eastAsia" w:ascii="Times New Roman" w:hAnsi="Times New Roman"/>
                <w:color w:val="auto"/>
                <w:sz w:val="24"/>
                <w:highlight w:val="none"/>
              </w:rPr>
              <w:t>；危险废物贮存执行《危险废物贮存污染控制标准》（GB 18597-2023）中有关规定</w:t>
            </w:r>
            <w:r>
              <w:rPr>
                <w:rFonts w:hint="default" w:ascii="Times New Roman" w:hAnsi="Times New Roman" w:eastAsia="宋体" w:cs="Times New Roman"/>
                <w:color w:val="auto"/>
                <w:kern w:val="2"/>
                <w:sz w:val="24"/>
                <w:szCs w:val="24"/>
                <w:highlight w:val="none"/>
                <w:lang w:val="en-US" w:eastAsia="zh-CN"/>
              </w:rPr>
              <w:t>。</w:t>
            </w:r>
          </w:p>
        </w:tc>
      </w:tr>
      <w:tr w14:paraId="6C48B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noWrap w:val="0"/>
            <w:vAlign w:val="center"/>
          </w:tcPr>
          <w:p w14:paraId="1C349BD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总量</w:t>
            </w:r>
          </w:p>
          <w:p w14:paraId="71D412F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控制</w:t>
            </w:r>
          </w:p>
          <w:p w14:paraId="72E56FC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指标</w:t>
            </w:r>
          </w:p>
        </w:tc>
        <w:tc>
          <w:tcPr>
            <w:tcW w:w="8442" w:type="dxa"/>
            <w:noWrap w:val="0"/>
            <w:vAlign w:val="center"/>
          </w:tcPr>
          <w:p w14:paraId="4322EA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jc w:val="left"/>
              <w:textAlignment w:val="auto"/>
              <w:rPr>
                <w:rFonts w:hint="default" w:ascii="Times New Roman" w:hAnsi="Times New Roman" w:eastAsia="宋体"/>
                <w:color w:val="auto"/>
                <w:sz w:val="24"/>
                <w:szCs w:val="22"/>
              </w:rPr>
            </w:pPr>
            <w:r>
              <w:rPr>
                <w:rFonts w:hint="eastAsia" w:cs="瀹嬩綋"/>
                <w:color w:val="auto"/>
                <w:kern w:val="0"/>
                <w:sz w:val="24"/>
                <w:szCs w:val="22"/>
                <w:lang w:val="en-US" w:eastAsia="zh-CN" w:bidi="ar"/>
              </w:rPr>
              <w:t>“</w:t>
            </w:r>
            <w:r>
              <w:rPr>
                <w:rFonts w:hint="default" w:ascii="Times New Roman" w:hAnsi="Times New Roman" w:eastAsia="宋体" w:cs="瀹嬩綋"/>
                <w:color w:val="auto"/>
                <w:kern w:val="0"/>
                <w:sz w:val="24"/>
                <w:szCs w:val="22"/>
                <w:lang w:val="en-US" w:eastAsia="zh-CN" w:bidi="ar"/>
              </w:rPr>
              <w:t>十四五</w:t>
            </w:r>
            <w:r>
              <w:rPr>
                <w:rFonts w:hint="eastAsia" w:cs="瀹嬩綋"/>
                <w:color w:val="auto"/>
                <w:kern w:val="0"/>
                <w:sz w:val="24"/>
                <w:szCs w:val="22"/>
                <w:lang w:val="en-US" w:eastAsia="zh-CN" w:bidi="ar"/>
              </w:rPr>
              <w:t>”</w:t>
            </w:r>
            <w:r>
              <w:rPr>
                <w:rFonts w:hint="default" w:ascii="Times New Roman" w:hAnsi="Times New Roman" w:eastAsia="宋体" w:cs="瀹嬩綋"/>
                <w:color w:val="auto"/>
                <w:kern w:val="0"/>
                <w:sz w:val="24"/>
                <w:szCs w:val="22"/>
                <w:lang w:val="en-US" w:eastAsia="zh-CN" w:bidi="ar"/>
              </w:rPr>
              <w:t>期间，国家继续实施主要污染物总量控制制度，将化学需氧量、氨氮、氮氧化物、挥发性有机物等</w:t>
            </w:r>
            <w:r>
              <w:rPr>
                <w:rFonts w:hint="default" w:ascii="Times New Roman" w:hAnsi="Times New Roman" w:eastAsia="宋体" w:cs="Times New Roman"/>
                <w:color w:val="auto"/>
                <w:kern w:val="0"/>
                <w:sz w:val="24"/>
                <w:szCs w:val="22"/>
                <w:lang w:val="en-US" w:eastAsia="zh-CN" w:bidi="ar"/>
              </w:rPr>
              <w:t>4</w:t>
            </w:r>
            <w:r>
              <w:rPr>
                <w:rFonts w:hint="default" w:ascii="Times New Roman" w:hAnsi="Times New Roman" w:eastAsia="宋体" w:cs="瀹嬩綋"/>
                <w:color w:val="auto"/>
                <w:kern w:val="0"/>
                <w:sz w:val="24"/>
                <w:szCs w:val="22"/>
                <w:lang w:val="en-US" w:eastAsia="zh-CN" w:bidi="ar"/>
              </w:rPr>
              <w:t>项污染物作为约束性指标进行考核。</w:t>
            </w:r>
          </w:p>
          <w:p w14:paraId="44AD99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8" w:lineRule="auto"/>
              <w:ind w:left="0" w:right="0"/>
              <w:jc w:val="left"/>
              <w:textAlignment w:val="auto"/>
              <w:rPr>
                <w:rFonts w:hint="default" w:ascii="Times New Roman" w:hAnsi="Times New Roman" w:eastAsia="宋体"/>
                <w:color w:val="auto"/>
                <w:sz w:val="24"/>
                <w:szCs w:val="22"/>
              </w:rPr>
            </w:pPr>
            <w:r>
              <w:rPr>
                <w:rFonts w:hint="default" w:ascii="Times New Roman" w:hAnsi="Times New Roman" w:eastAsia="宋体" w:cs="Times New Roman"/>
                <w:b/>
                <w:bCs/>
                <w:color w:val="auto"/>
                <w:kern w:val="0"/>
                <w:sz w:val="24"/>
                <w:szCs w:val="22"/>
                <w:lang w:val="en-US" w:eastAsia="zh-CN" w:bidi="ar"/>
              </w:rPr>
              <w:t>1</w:t>
            </w:r>
            <w:r>
              <w:rPr>
                <w:rFonts w:hint="default" w:ascii="Times New Roman" w:hAnsi="Times New Roman" w:eastAsia="宋体" w:cs="瀹嬩綋"/>
                <w:b/>
                <w:bCs/>
                <w:color w:val="auto"/>
                <w:kern w:val="0"/>
                <w:sz w:val="24"/>
                <w:szCs w:val="22"/>
                <w:lang w:val="en-US" w:eastAsia="zh-CN" w:bidi="ar"/>
              </w:rPr>
              <w:t>、废水总量控制指标</w:t>
            </w:r>
          </w:p>
          <w:p w14:paraId="1B1359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jc w:val="left"/>
              <w:textAlignment w:val="auto"/>
              <w:rPr>
                <w:rFonts w:hint="default" w:ascii="Times New Roman" w:hAnsi="Times New Roman" w:eastAsia="宋体"/>
                <w:color w:val="auto"/>
                <w:sz w:val="24"/>
                <w:szCs w:val="22"/>
              </w:rPr>
            </w:pPr>
            <w:r>
              <w:rPr>
                <w:rFonts w:hint="default" w:ascii="Times New Roman" w:hAnsi="Times New Roman" w:eastAsia="宋体" w:cs="瀹嬩綋"/>
                <w:color w:val="auto"/>
                <w:kern w:val="0"/>
                <w:sz w:val="24"/>
                <w:szCs w:val="22"/>
                <w:lang w:val="en-US" w:eastAsia="zh-CN" w:bidi="ar"/>
              </w:rPr>
              <w:t>本项目运营期废水主要为</w:t>
            </w:r>
            <w:r>
              <w:rPr>
                <w:rFonts w:hint="eastAsia" w:cs="瀹嬩綋"/>
                <w:color w:val="auto"/>
                <w:kern w:val="0"/>
                <w:sz w:val="24"/>
                <w:szCs w:val="22"/>
                <w:lang w:val="en-US" w:eastAsia="zh-CN" w:bidi="ar"/>
              </w:rPr>
              <w:t>生活污水</w:t>
            </w:r>
            <w:r>
              <w:rPr>
                <w:rFonts w:hint="eastAsia" w:ascii="Times New Roman" w:hAnsi="Times New Roman" w:cs="宋体"/>
                <w:color w:val="auto"/>
                <w:kern w:val="0"/>
                <w:sz w:val="24"/>
                <w:szCs w:val="24"/>
                <w:lang w:val="en-US" w:eastAsia="zh-CN" w:bidi="ar"/>
              </w:rPr>
              <w:t>，最终</w:t>
            </w:r>
            <w:r>
              <w:rPr>
                <w:rFonts w:hint="eastAsia" w:cs="宋体"/>
                <w:color w:val="auto"/>
                <w:kern w:val="0"/>
                <w:sz w:val="24"/>
                <w:szCs w:val="24"/>
                <w:lang w:val="en-US" w:eastAsia="zh-CN" w:bidi="ar"/>
              </w:rPr>
              <w:t>拉运</w:t>
            </w:r>
            <w:r>
              <w:rPr>
                <w:rFonts w:hint="eastAsia" w:ascii="Times New Roman" w:hAnsi="Times New Roman" w:cs="宋体"/>
                <w:color w:val="auto"/>
                <w:kern w:val="0"/>
                <w:sz w:val="24"/>
                <w:szCs w:val="24"/>
                <w:lang w:val="en-US" w:eastAsia="zh-CN" w:bidi="ar"/>
              </w:rPr>
              <w:t>至</w:t>
            </w:r>
            <w:r>
              <w:rPr>
                <w:rFonts w:hint="eastAsia" w:cs="宋体"/>
                <w:color w:val="auto"/>
                <w:kern w:val="0"/>
                <w:sz w:val="24"/>
                <w:szCs w:val="24"/>
                <w:lang w:val="en-US" w:eastAsia="zh-CN" w:bidi="ar"/>
              </w:rPr>
              <w:t>天北经济技术开发区污水处理厂</w:t>
            </w:r>
            <w:r>
              <w:rPr>
                <w:rFonts w:hint="eastAsia" w:ascii="Times New Roman" w:hAnsi="Times New Roman" w:cs="宋体"/>
                <w:color w:val="auto"/>
                <w:kern w:val="0"/>
                <w:sz w:val="24"/>
                <w:szCs w:val="24"/>
                <w:lang w:val="en-US" w:eastAsia="zh-CN" w:bidi="ar"/>
              </w:rPr>
              <w:t>处理。</w:t>
            </w:r>
            <w:r>
              <w:rPr>
                <w:rFonts w:hint="default" w:ascii="Times New Roman" w:hAnsi="Times New Roman" w:eastAsia="宋体" w:cs="瀹嬩綋"/>
                <w:color w:val="auto"/>
                <w:kern w:val="0"/>
                <w:sz w:val="24"/>
                <w:szCs w:val="22"/>
                <w:lang w:val="en-US" w:eastAsia="zh-CN" w:bidi="ar"/>
              </w:rPr>
              <w:t>总量控制指标已纳入污水处理厂，因此</w:t>
            </w:r>
            <w:r>
              <w:rPr>
                <w:rFonts w:hint="eastAsia" w:cs="瀹嬩綋"/>
                <w:color w:val="auto"/>
                <w:kern w:val="0"/>
                <w:sz w:val="24"/>
                <w:szCs w:val="22"/>
                <w:lang w:val="en-US" w:eastAsia="zh-CN" w:bidi="ar"/>
              </w:rPr>
              <w:t>无须设置</w:t>
            </w:r>
            <w:r>
              <w:rPr>
                <w:rFonts w:hint="default" w:ascii="Times New Roman" w:hAnsi="Times New Roman" w:eastAsia="宋体" w:cs="瀹嬩綋"/>
                <w:color w:val="auto"/>
                <w:kern w:val="0"/>
                <w:sz w:val="24"/>
                <w:szCs w:val="22"/>
                <w:lang w:val="en-US" w:eastAsia="zh-CN" w:bidi="ar"/>
              </w:rPr>
              <w:t>废水总量指标。</w:t>
            </w:r>
          </w:p>
          <w:p w14:paraId="13A436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8" w:lineRule="auto"/>
              <w:ind w:left="0" w:right="0"/>
              <w:jc w:val="left"/>
              <w:textAlignment w:val="auto"/>
              <w:rPr>
                <w:rFonts w:hint="default" w:ascii="Times New Roman" w:hAnsi="Times New Roman" w:eastAsia="宋体"/>
                <w:color w:val="auto"/>
                <w:sz w:val="24"/>
                <w:szCs w:val="22"/>
              </w:rPr>
            </w:pPr>
            <w:r>
              <w:rPr>
                <w:rFonts w:hint="default" w:ascii="Times New Roman" w:hAnsi="Times New Roman" w:eastAsia="宋体" w:cs="Times New Roman"/>
                <w:b/>
                <w:bCs/>
                <w:color w:val="auto"/>
                <w:kern w:val="0"/>
                <w:sz w:val="24"/>
                <w:szCs w:val="22"/>
                <w:lang w:val="en-US" w:eastAsia="zh-CN" w:bidi="ar"/>
              </w:rPr>
              <w:t>2</w:t>
            </w:r>
            <w:r>
              <w:rPr>
                <w:rFonts w:hint="default" w:ascii="Times New Roman" w:hAnsi="Times New Roman" w:eastAsia="宋体" w:cs="瀹嬩綋"/>
                <w:b/>
                <w:bCs/>
                <w:color w:val="auto"/>
                <w:kern w:val="0"/>
                <w:sz w:val="24"/>
                <w:szCs w:val="22"/>
                <w:lang w:val="en-US" w:eastAsia="zh-CN" w:bidi="ar"/>
              </w:rPr>
              <w:t>、废气总量控制指标</w:t>
            </w:r>
          </w:p>
          <w:p w14:paraId="50794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jc w:val="left"/>
              <w:textAlignment w:val="auto"/>
              <w:rPr>
                <w:rFonts w:hint="default" w:ascii="Times New Roman" w:hAnsi="Times New Roman" w:eastAsia="宋体"/>
                <w:color w:val="auto"/>
                <w:sz w:val="24"/>
                <w:szCs w:val="22"/>
                <w:highlight w:val="none"/>
              </w:rPr>
            </w:pPr>
            <w:r>
              <w:rPr>
                <w:rFonts w:hint="default" w:ascii="Times New Roman" w:hAnsi="Times New Roman" w:eastAsia="宋体" w:cs="瀹嬩綋"/>
                <w:color w:val="auto"/>
                <w:kern w:val="0"/>
                <w:sz w:val="24"/>
                <w:szCs w:val="22"/>
                <w:highlight w:val="none"/>
                <w:lang w:val="en-US" w:eastAsia="zh-CN" w:bidi="ar"/>
              </w:rPr>
              <w:t>本项目大气污染物总量控制建议指标为：</w:t>
            </w:r>
          </w:p>
          <w:p w14:paraId="67794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200"/>
              <w:jc w:val="left"/>
              <w:textAlignment w:val="auto"/>
              <w:rPr>
                <w:rFonts w:hint="default" w:ascii="Times New Roman" w:hAnsi="Times New Roman" w:eastAsia="宋体" w:cs="Times New Roman"/>
                <w:color w:val="auto"/>
                <w:sz w:val="24"/>
                <w:lang w:val="en-US"/>
              </w:rPr>
            </w:pPr>
            <w:r>
              <w:rPr>
                <w:rFonts w:hint="default" w:ascii="Times New Roman" w:hAnsi="Times New Roman" w:eastAsia="宋体" w:cs="瀹嬩綋"/>
                <w:color w:val="auto"/>
                <w:kern w:val="0"/>
                <w:sz w:val="24"/>
                <w:szCs w:val="22"/>
                <w:highlight w:val="none"/>
                <w:lang w:val="en-US" w:eastAsia="zh-CN" w:bidi="ar"/>
              </w:rPr>
              <w:t>氮氧化物：</w:t>
            </w:r>
            <w:r>
              <w:rPr>
                <w:rFonts w:hint="eastAsia" w:cs="瀹嬩綋"/>
                <w:color w:val="auto"/>
                <w:kern w:val="0"/>
                <w:sz w:val="24"/>
                <w:szCs w:val="22"/>
                <w:highlight w:val="none"/>
                <w:lang w:val="en-US" w:eastAsia="zh-CN" w:bidi="ar"/>
              </w:rPr>
              <w:t>1.53t/a。</w:t>
            </w:r>
          </w:p>
        </w:tc>
      </w:tr>
    </w:tbl>
    <w:p w14:paraId="198C08DD">
      <w:pPr>
        <w:pStyle w:val="48"/>
        <w:keepNext w:val="0"/>
        <w:keepLines w:val="0"/>
        <w:pageBreakBefore w:val="0"/>
        <w:widowControl/>
        <w:kinsoku/>
        <w:wordWrap/>
        <w:overflowPunct/>
        <w:topLinePunct w:val="0"/>
        <w:autoSpaceDE/>
        <w:autoSpaceDN/>
        <w:bidi w:val="0"/>
        <w:adjustRightInd/>
        <w:snapToGrid/>
        <w:spacing w:beforeAutospacing="0"/>
        <w:textAlignment w:val="auto"/>
        <w:rPr>
          <w:rFonts w:hint="default" w:ascii="Times New Roman" w:hAnsi="Times New Roman" w:eastAsia="宋体" w:cs="Times New Roman"/>
          <w:b/>
          <w:bCs/>
          <w:snapToGrid w:val="0"/>
          <w:color w:val="auto"/>
          <w:sz w:val="30"/>
          <w:szCs w:val="30"/>
        </w:rPr>
      </w:pPr>
      <w:r>
        <w:rPr>
          <w:rFonts w:hint="default" w:ascii="Times New Roman" w:hAnsi="Times New Roman" w:eastAsia="宋体" w:cs="Times New Roman"/>
          <w:snapToGrid w:val="0"/>
          <w:color w:val="auto"/>
          <w:sz w:val="36"/>
          <w:szCs w:val="36"/>
        </w:rPr>
        <w:br w:type="page"/>
      </w:r>
      <w:bookmarkStart w:id="9" w:name="_Toc19128"/>
      <w:bookmarkStart w:id="10" w:name="_Toc24859"/>
      <w:r>
        <w:rPr>
          <w:rFonts w:hint="default" w:ascii="Times New Roman" w:hAnsi="Times New Roman" w:eastAsia="宋体" w:cs="Times New Roman"/>
          <w:color w:val="auto"/>
        </w:rPr>
        <w:t>四、主要环境影响和保护措施</w:t>
      </w:r>
      <w:bookmarkEnd w:id="9"/>
      <w:bookmarkEnd w:id="10"/>
    </w:p>
    <w:tbl>
      <w:tblPr>
        <w:tblStyle w:val="39"/>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9"/>
        <w:gridCol w:w="8402"/>
      </w:tblGrid>
      <w:tr w14:paraId="5BE073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579" w:type="dxa"/>
            <w:noWrap w:val="0"/>
            <w:tcMar>
              <w:left w:w="28" w:type="dxa"/>
              <w:right w:w="28" w:type="dxa"/>
            </w:tcMar>
            <w:vAlign w:val="center"/>
          </w:tcPr>
          <w:p w14:paraId="43445193">
            <w:pPr>
              <w:pStyle w:val="34"/>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kern w:val="2"/>
                <w:szCs w:val="24"/>
              </w:rPr>
              <w:t>施工</w:t>
            </w:r>
          </w:p>
          <w:p w14:paraId="6BCA2624">
            <w:pPr>
              <w:pStyle w:val="34"/>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kern w:val="2"/>
                <w:szCs w:val="24"/>
              </w:rPr>
              <w:t>期环</w:t>
            </w:r>
          </w:p>
          <w:p w14:paraId="4B68CDE7">
            <w:pPr>
              <w:pStyle w:val="34"/>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kern w:val="2"/>
                <w:szCs w:val="24"/>
              </w:rPr>
              <w:t>境保</w:t>
            </w:r>
          </w:p>
          <w:p w14:paraId="4415D2CA">
            <w:pPr>
              <w:pStyle w:val="34"/>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kern w:val="2"/>
                <w:szCs w:val="24"/>
              </w:rPr>
              <w:t>护措</w:t>
            </w:r>
          </w:p>
          <w:p w14:paraId="1ECD08CC">
            <w:pPr>
              <w:pStyle w:val="34"/>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2"/>
                <w:szCs w:val="24"/>
              </w:rPr>
            </w:pPr>
            <w:r>
              <w:rPr>
                <w:rFonts w:hint="default" w:ascii="Times New Roman" w:hAnsi="Times New Roman" w:eastAsia="宋体" w:cs="Times New Roman"/>
                <w:color w:val="auto"/>
                <w:kern w:val="2"/>
                <w:szCs w:val="24"/>
              </w:rPr>
              <w:t>施</w:t>
            </w:r>
          </w:p>
        </w:tc>
        <w:tc>
          <w:tcPr>
            <w:tcW w:w="8402" w:type="dxa"/>
            <w:noWrap w:val="0"/>
            <w:vAlign w:val="center"/>
          </w:tcPr>
          <w:p w14:paraId="19D59E3C">
            <w:pPr>
              <w:pStyle w:val="34"/>
              <w:keepNext/>
              <w:keepLines/>
              <w:widowControl w:val="0"/>
              <w:suppressLineNumbers w:val="0"/>
              <w:tabs>
                <w:tab w:val="left" w:pos="360"/>
                <w:tab w:val="left" w:pos="900"/>
              </w:tabs>
              <w:spacing w:before="0" w:beforeAutospacing="0" w:after="0" w:afterAutospacing="0" w:line="360" w:lineRule="auto"/>
              <w:ind w:left="0" w:right="0"/>
              <w:outlineLvl w:val="2"/>
              <w:rPr>
                <w:rFonts w:hint="eastAsia" w:ascii="Times New Roman" w:hAnsi="Times New Roman" w:eastAsia="宋体" w:cs="Times New Roman"/>
                <w:b/>
                <w:bCs/>
                <w:color w:val="auto"/>
                <w:kern w:val="2"/>
                <w:sz w:val="24"/>
                <w:szCs w:val="24"/>
                <w:highlight w:val="none"/>
                <w:lang w:val="en-US" w:eastAsia="zh-CN"/>
              </w:rPr>
            </w:pPr>
            <w:r>
              <w:rPr>
                <w:rFonts w:hint="eastAsia" w:ascii="Times New Roman" w:hAnsi="Times New Roman" w:eastAsia="宋体" w:cs="Times New Roman"/>
                <w:b/>
                <w:bCs/>
                <w:color w:val="auto"/>
                <w:kern w:val="2"/>
                <w:sz w:val="24"/>
                <w:szCs w:val="24"/>
                <w:highlight w:val="none"/>
                <w:lang w:val="en-US" w:eastAsia="zh-CN"/>
              </w:rPr>
              <w:t>1、施工期大气环境影响及环保措施</w:t>
            </w:r>
          </w:p>
          <w:p w14:paraId="0018AB94">
            <w:pPr>
              <w:pStyle w:val="34"/>
              <w:keepNext/>
              <w:keepLines/>
              <w:pageBreakBefore w:val="0"/>
              <w:widowControl w:val="0"/>
              <w:suppressLineNumbers w:val="0"/>
              <w:tabs>
                <w:tab w:val="left" w:pos="360"/>
                <w:tab w:val="left" w:pos="900"/>
              </w:tabs>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2"/>
              <w:rPr>
                <w:rFonts w:hint="eastAsia" w:ascii="Times New Roman" w:hAnsi="Times New Roman" w:eastAsia="宋体" w:cs="Times New Roman"/>
                <w:color w:val="auto"/>
                <w:kern w:val="2"/>
                <w:sz w:val="24"/>
                <w:szCs w:val="24"/>
                <w:highlight w:val="none"/>
                <w:lang w:val="en-US" w:eastAsia="zh-CN"/>
              </w:rPr>
            </w:pPr>
            <w:r>
              <w:rPr>
                <w:rFonts w:hint="default" w:ascii="Times New Roman" w:hAnsi="Times New Roman"/>
                <w:color w:val="auto"/>
                <w:sz w:val="24"/>
                <w:szCs w:val="24"/>
                <w:lang w:val="en-US" w:eastAsia="zh-CN"/>
              </w:rPr>
              <w:t>本项目已开工建设，</w:t>
            </w:r>
            <w:r>
              <w:rPr>
                <w:rFonts w:hint="eastAsia" w:ascii="Times New Roman" w:hAnsi="Times New Roman"/>
                <w:color w:val="auto"/>
                <w:sz w:val="24"/>
                <w:szCs w:val="24"/>
                <w:lang w:val="en-US" w:eastAsia="zh-CN"/>
              </w:rPr>
              <w:t>截至项目环境影响评价文件上报前，仅建成建成1座10000吨粮仓、2座2000吨粮仓、厂房的钢架结构及部分硬化。</w:t>
            </w:r>
          </w:p>
          <w:p w14:paraId="592CC219">
            <w:pPr>
              <w:pStyle w:val="34"/>
              <w:keepNext/>
              <w:keepLines/>
              <w:pageBreakBefore w:val="0"/>
              <w:widowControl w:val="0"/>
              <w:suppressLineNumbers w:val="0"/>
              <w:tabs>
                <w:tab w:val="left" w:pos="360"/>
                <w:tab w:val="left" w:pos="900"/>
              </w:tabs>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2"/>
              <w:rPr>
                <w:rFonts w:hint="eastAsia" w:ascii="Times New Roman" w:hAnsi="Times New Roman" w:eastAsia="宋体" w:cs="Times New Roman"/>
                <w:color w:val="auto"/>
                <w:kern w:val="2"/>
                <w:sz w:val="24"/>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rPr>
              <w:t>施工过程中废气主要来源于施工机械驱动设备和运输及施工车辆所排放的废气。施工废气难以收集，多以无组织形式排放。类比同类项目的施工，一般施工废气经施工区上空大气稀释、扩散后对周围的空气环境影响很小。随着施工结束，影响消失。</w:t>
            </w:r>
          </w:p>
          <w:p w14:paraId="6C03B729">
            <w:pPr>
              <w:pStyle w:val="34"/>
              <w:keepNext/>
              <w:keepLines/>
              <w:pageBreakBefore w:val="0"/>
              <w:widowControl w:val="0"/>
              <w:suppressLineNumbers w:val="0"/>
              <w:tabs>
                <w:tab w:val="left" w:pos="360"/>
                <w:tab w:val="left" w:pos="900"/>
              </w:tabs>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outlineLvl w:val="2"/>
              <w:rPr>
                <w:rFonts w:hint="eastAsia" w:ascii="Times New Roman" w:hAnsi="Times New Roman" w:eastAsia="宋体" w:cs="Times New Roman"/>
                <w:b/>
                <w:bCs/>
                <w:color w:val="auto"/>
                <w:kern w:val="2"/>
                <w:sz w:val="24"/>
                <w:szCs w:val="24"/>
                <w:highlight w:val="none"/>
                <w:lang w:val="en-US" w:eastAsia="zh-CN"/>
              </w:rPr>
            </w:pPr>
            <w:r>
              <w:rPr>
                <w:rFonts w:hint="eastAsia" w:ascii="Times New Roman" w:hAnsi="Times New Roman" w:cs="Times New Roman"/>
                <w:b/>
                <w:bCs/>
                <w:color w:val="auto"/>
                <w:kern w:val="2"/>
                <w:sz w:val="24"/>
                <w:szCs w:val="24"/>
                <w:highlight w:val="none"/>
                <w:lang w:val="en-US" w:eastAsia="zh-CN"/>
              </w:rPr>
              <w:t xml:space="preserve">1.1 </w:t>
            </w:r>
            <w:r>
              <w:rPr>
                <w:rFonts w:hint="eastAsia" w:ascii="Times New Roman" w:hAnsi="Times New Roman" w:eastAsia="宋体" w:cs="Times New Roman"/>
                <w:b/>
                <w:bCs/>
                <w:color w:val="auto"/>
                <w:kern w:val="2"/>
                <w:sz w:val="24"/>
                <w:szCs w:val="24"/>
                <w:highlight w:val="none"/>
                <w:lang w:val="en-US" w:eastAsia="zh-CN"/>
              </w:rPr>
              <w:t>施工扬尘</w:t>
            </w:r>
          </w:p>
          <w:p w14:paraId="0707A04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cs="Times New Roman"/>
                <w:snapToGrid w:val="0"/>
                <w:color w:val="auto"/>
                <w:kern w:val="0"/>
                <w:sz w:val="24"/>
                <w:szCs w:val="24"/>
                <w:highlight w:val="none"/>
                <w:shd w:val="clear" w:color="auto" w:fill="auto"/>
              </w:rPr>
            </w:pPr>
            <w:r>
              <w:rPr>
                <w:rFonts w:hint="default" w:ascii="Times New Roman" w:hAnsi="Times New Roman" w:cs="Times New Roman"/>
                <w:snapToGrid w:val="0"/>
                <w:color w:val="auto"/>
                <w:kern w:val="0"/>
                <w:sz w:val="24"/>
                <w:szCs w:val="24"/>
                <w:highlight w:val="none"/>
                <w:shd w:val="clear" w:color="auto" w:fill="auto"/>
              </w:rPr>
              <w:t>工程施工期间大气污染源主要为扬尘。</w:t>
            </w:r>
            <w:r>
              <w:rPr>
                <w:rFonts w:hint="eastAsia" w:ascii="Times New Roman" w:hAnsi="Times New Roman" w:cs="Times New Roman"/>
                <w:snapToGrid w:val="0"/>
                <w:color w:val="auto"/>
                <w:kern w:val="0"/>
                <w:sz w:val="24"/>
                <w:szCs w:val="24"/>
                <w:highlight w:val="none"/>
                <w:shd w:val="clear" w:color="auto" w:fill="auto"/>
                <w:lang w:val="en-US" w:eastAsia="zh-CN"/>
              </w:rPr>
              <w:t>施工期间运送建筑材料的车辆在行驶过程中，可能有少量物料洒落进入空气中，另外车辆通过未铺衬路面或落有较多尘土的路面时会有路面二次扬尘产生，</w:t>
            </w:r>
            <w:r>
              <w:rPr>
                <w:rFonts w:hint="default" w:ascii="Times New Roman" w:hAnsi="Times New Roman" w:cs="Times New Roman"/>
                <w:snapToGrid w:val="0"/>
                <w:color w:val="auto"/>
                <w:kern w:val="0"/>
                <w:sz w:val="24"/>
                <w:szCs w:val="24"/>
                <w:highlight w:val="none"/>
                <w:shd w:val="clear" w:color="auto" w:fill="auto"/>
              </w:rPr>
              <w:t>施工起尘量的多少取决于风力大小，物料干湿程度、施工工艺、施工机械设备、作业文明程度、场地条件等因素。尤其是在风速较大或汽车行驶较快的情况下，扬尘的污染更为突出。尘土在空气紊动力的作用下</w:t>
            </w:r>
            <w:r>
              <w:rPr>
                <w:rFonts w:hint="eastAsia" w:cs="Times New Roman"/>
                <w:snapToGrid w:val="0"/>
                <w:color w:val="auto"/>
                <w:kern w:val="0"/>
                <w:sz w:val="24"/>
                <w:szCs w:val="24"/>
                <w:highlight w:val="none"/>
                <w:shd w:val="clear" w:color="auto" w:fill="auto"/>
                <w:lang w:val="en-US" w:eastAsia="zh-CN"/>
              </w:rPr>
              <w:t>飘浮</w:t>
            </w:r>
            <w:r>
              <w:rPr>
                <w:rFonts w:hint="default" w:ascii="Times New Roman" w:hAnsi="Times New Roman" w:cs="Times New Roman"/>
                <w:snapToGrid w:val="0"/>
                <w:color w:val="auto"/>
                <w:kern w:val="0"/>
                <w:sz w:val="24"/>
                <w:szCs w:val="24"/>
                <w:highlight w:val="none"/>
                <w:shd w:val="clear" w:color="auto" w:fill="auto"/>
              </w:rPr>
              <w:t>在空气中，粒径较大的尘粒在空气中滞留的时间较短，而粒径较小的尘粒，则能够在空气中滞留较长的时间。当施工尘土的含水量比较低，颗粒较小，在风速大于3m/s时，施工过程会有扬尘产生，这部分扬尘大部分在施工场地附近沉降。</w:t>
            </w:r>
            <w:r>
              <w:rPr>
                <w:rFonts w:hint="eastAsia" w:ascii="Times New Roman" w:hAnsi="Times New Roman" w:cs="Times New Roman"/>
                <w:snapToGrid w:val="0"/>
                <w:color w:val="auto"/>
                <w:kern w:val="0"/>
                <w:sz w:val="24"/>
                <w:szCs w:val="24"/>
                <w:highlight w:val="none"/>
                <w:shd w:val="clear" w:color="auto" w:fill="auto"/>
                <w:lang w:eastAsia="zh-CN"/>
              </w:rPr>
              <w:t>本项目</w:t>
            </w:r>
            <w:r>
              <w:rPr>
                <w:rFonts w:hint="default" w:ascii="Times New Roman" w:hAnsi="Times New Roman" w:cs="Times New Roman"/>
                <w:snapToGrid w:val="0"/>
                <w:color w:val="auto"/>
                <w:kern w:val="0"/>
                <w:sz w:val="24"/>
                <w:szCs w:val="24"/>
                <w:highlight w:val="none"/>
                <w:shd w:val="clear" w:color="auto" w:fill="auto"/>
              </w:rPr>
              <w:t>施工期产生的大气污染物均属无组织排放，在时间及空间上均较零散。</w:t>
            </w:r>
          </w:p>
          <w:p w14:paraId="72B00444">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cs="Times New Roman"/>
                <w:snapToGrid w:val="0"/>
                <w:color w:val="auto"/>
                <w:kern w:val="0"/>
                <w:sz w:val="24"/>
                <w:szCs w:val="24"/>
                <w:highlight w:val="none"/>
                <w:shd w:val="clear" w:color="auto" w:fill="auto"/>
              </w:rPr>
            </w:pPr>
            <w:r>
              <w:rPr>
                <w:rFonts w:hint="default" w:ascii="Times New Roman" w:hAnsi="Times New Roman" w:eastAsia="宋体" w:cs="Times New Roman"/>
                <w:snapToGrid w:val="0"/>
                <w:color w:val="auto"/>
                <w:kern w:val="0"/>
                <w:sz w:val="24"/>
                <w:szCs w:val="24"/>
                <w:highlight w:val="none"/>
                <w:shd w:val="clear" w:color="auto" w:fill="auto"/>
              </w:rPr>
              <w:t>根据有关资料，施工现场的近地面扬尘浓度可达1.5</w:t>
            </w:r>
            <w:r>
              <w:rPr>
                <w:rFonts w:hint="eastAsia" w:cs="Times New Roman"/>
                <w:snapToGrid w:val="0"/>
                <w:color w:val="auto"/>
                <w:kern w:val="0"/>
                <w:sz w:val="24"/>
                <w:szCs w:val="24"/>
                <w:highlight w:val="none"/>
                <w:shd w:val="clear" w:color="auto" w:fill="auto"/>
                <w:lang w:val="en-US" w:eastAsia="zh-CN"/>
              </w:rPr>
              <w:t>~</w:t>
            </w:r>
            <w:r>
              <w:rPr>
                <w:rFonts w:hint="default" w:ascii="Times New Roman" w:hAnsi="Times New Roman" w:eastAsia="宋体" w:cs="Times New Roman"/>
                <w:snapToGrid w:val="0"/>
                <w:color w:val="auto"/>
                <w:kern w:val="0"/>
                <w:sz w:val="24"/>
                <w:szCs w:val="24"/>
                <w:highlight w:val="none"/>
                <w:shd w:val="clear" w:color="auto" w:fill="auto"/>
              </w:rPr>
              <w:t>30mg/m</w:t>
            </w:r>
            <w:r>
              <w:rPr>
                <w:rFonts w:hint="default" w:ascii="Times New Roman" w:hAnsi="Times New Roman" w:eastAsia="宋体" w:cs="Times New Roman"/>
                <w:snapToGrid w:val="0"/>
                <w:color w:val="auto"/>
                <w:kern w:val="0"/>
                <w:sz w:val="24"/>
                <w:szCs w:val="24"/>
                <w:highlight w:val="none"/>
                <w:shd w:val="clear" w:color="auto" w:fill="auto"/>
                <w:vertAlign w:val="superscript"/>
              </w:rPr>
              <w:t>3</w:t>
            </w:r>
            <w:r>
              <w:rPr>
                <w:rFonts w:hint="default" w:ascii="Times New Roman" w:hAnsi="Times New Roman" w:eastAsia="宋体" w:cs="Times New Roman"/>
                <w:snapToGrid w:val="0"/>
                <w:color w:val="auto"/>
                <w:kern w:val="0"/>
                <w:sz w:val="24"/>
                <w:szCs w:val="24"/>
                <w:highlight w:val="none"/>
                <w:shd w:val="clear" w:color="auto" w:fill="auto"/>
              </w:rPr>
              <w:t>，</w:t>
            </w:r>
            <w:r>
              <w:rPr>
                <w:rFonts w:hint="eastAsia" w:ascii="Times New Roman" w:hAnsi="Times New Roman" w:eastAsia="宋体" w:cs="Times New Roman"/>
                <w:snapToGrid w:val="0"/>
                <w:color w:val="auto"/>
                <w:kern w:val="0"/>
                <w:sz w:val="24"/>
                <w:szCs w:val="24"/>
                <w:highlight w:val="none"/>
                <w:shd w:val="clear" w:color="auto" w:fill="auto"/>
                <w:lang w:val="en-US" w:eastAsia="zh-CN"/>
              </w:rPr>
              <w:t>施工</w:t>
            </w:r>
            <w:r>
              <w:rPr>
                <w:rFonts w:hint="default" w:ascii="Times New Roman" w:hAnsi="Times New Roman" w:eastAsia="宋体" w:cs="Times New Roman"/>
                <w:snapToGrid w:val="0"/>
                <w:color w:val="auto"/>
                <w:kern w:val="0"/>
                <w:sz w:val="24"/>
                <w:szCs w:val="24"/>
                <w:highlight w:val="none"/>
                <w:shd w:val="clear" w:color="auto" w:fill="auto"/>
              </w:rPr>
              <w:t>区域开挖的</w:t>
            </w:r>
            <w:r>
              <w:rPr>
                <w:rFonts w:hint="default" w:ascii="Times New Roman" w:hAnsi="Times New Roman" w:cs="Times New Roman"/>
                <w:snapToGrid w:val="0"/>
                <w:color w:val="auto"/>
                <w:kern w:val="0"/>
                <w:sz w:val="24"/>
                <w:szCs w:val="24"/>
                <w:highlight w:val="none"/>
                <w:shd w:val="clear" w:color="auto" w:fill="auto"/>
              </w:rPr>
              <w:t>土方湿度较大，起尘量相对较小。由于粉尘颗粒的重力沉降作用，施工工地扬尘的污染影响范围和程度随着距离的不同而有所差异，在施工场地及其下风向0</w:t>
            </w:r>
            <w:r>
              <w:rPr>
                <w:rFonts w:hint="eastAsia" w:cs="Times New Roman"/>
                <w:snapToGrid w:val="0"/>
                <w:color w:val="auto"/>
                <w:kern w:val="0"/>
                <w:sz w:val="24"/>
                <w:szCs w:val="24"/>
                <w:highlight w:val="none"/>
                <w:shd w:val="clear" w:color="auto" w:fill="auto"/>
                <w:lang w:val="en-US" w:eastAsia="zh-CN"/>
              </w:rPr>
              <w:t>~</w:t>
            </w:r>
            <w:r>
              <w:rPr>
                <w:rFonts w:hint="default" w:ascii="Times New Roman" w:hAnsi="Times New Roman" w:cs="Times New Roman"/>
                <w:snapToGrid w:val="0"/>
                <w:color w:val="auto"/>
                <w:kern w:val="0"/>
                <w:sz w:val="24"/>
                <w:szCs w:val="24"/>
                <w:highlight w:val="none"/>
                <w:shd w:val="clear" w:color="auto" w:fill="auto"/>
              </w:rPr>
              <w:t>50m为较重污染带，50</w:t>
            </w:r>
            <w:r>
              <w:rPr>
                <w:rFonts w:hint="eastAsia" w:cs="Times New Roman"/>
                <w:snapToGrid w:val="0"/>
                <w:color w:val="auto"/>
                <w:kern w:val="0"/>
                <w:sz w:val="24"/>
                <w:szCs w:val="24"/>
                <w:highlight w:val="none"/>
                <w:shd w:val="clear" w:color="auto" w:fill="auto"/>
                <w:lang w:val="en-US" w:eastAsia="zh-CN"/>
              </w:rPr>
              <w:t>~</w:t>
            </w:r>
            <w:r>
              <w:rPr>
                <w:rFonts w:hint="default" w:ascii="Times New Roman" w:hAnsi="Times New Roman" w:cs="Times New Roman"/>
                <w:snapToGrid w:val="0"/>
                <w:color w:val="auto"/>
                <w:kern w:val="0"/>
                <w:sz w:val="24"/>
                <w:szCs w:val="24"/>
                <w:highlight w:val="none"/>
                <w:shd w:val="clear" w:color="auto" w:fill="auto"/>
              </w:rPr>
              <w:t>100m为污染带，100</w:t>
            </w:r>
            <w:r>
              <w:rPr>
                <w:rFonts w:hint="eastAsia" w:cs="Times New Roman"/>
                <w:snapToGrid w:val="0"/>
                <w:color w:val="auto"/>
                <w:kern w:val="0"/>
                <w:sz w:val="24"/>
                <w:szCs w:val="24"/>
                <w:highlight w:val="none"/>
                <w:shd w:val="clear" w:color="auto" w:fill="auto"/>
                <w:lang w:val="en-US" w:eastAsia="zh-CN"/>
              </w:rPr>
              <w:t>~</w:t>
            </w:r>
            <w:r>
              <w:rPr>
                <w:rFonts w:hint="default" w:ascii="Times New Roman" w:hAnsi="Times New Roman" w:cs="Times New Roman"/>
                <w:snapToGrid w:val="0"/>
                <w:color w:val="auto"/>
                <w:kern w:val="0"/>
                <w:sz w:val="24"/>
                <w:szCs w:val="24"/>
                <w:highlight w:val="none"/>
                <w:shd w:val="clear" w:color="auto" w:fill="auto"/>
              </w:rPr>
              <w:t>200m为轻污染带，200m以外对空气影响甚微。</w:t>
            </w:r>
          </w:p>
          <w:p w14:paraId="7BC4B55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cs="Times New Roman"/>
                <w:snapToGrid w:val="0"/>
                <w:color w:val="auto"/>
                <w:kern w:val="0"/>
                <w:sz w:val="24"/>
                <w:szCs w:val="24"/>
                <w:highlight w:val="none"/>
                <w:shd w:val="clear" w:color="auto" w:fill="auto"/>
              </w:rPr>
            </w:pPr>
            <w:r>
              <w:rPr>
                <w:rFonts w:hint="default" w:ascii="Times New Roman" w:hAnsi="Times New Roman" w:cs="Times New Roman"/>
                <w:snapToGrid w:val="0"/>
                <w:color w:val="auto"/>
                <w:kern w:val="0"/>
                <w:sz w:val="24"/>
                <w:szCs w:val="24"/>
                <w:highlight w:val="none"/>
                <w:shd w:val="clear" w:color="auto" w:fill="auto"/>
              </w:rPr>
              <w:t>施工区采取</w:t>
            </w:r>
            <w:r>
              <w:rPr>
                <w:rFonts w:hint="eastAsia" w:ascii="Times New Roman" w:hAnsi="Times New Roman" w:cs="Times New Roman"/>
                <w:snapToGrid w:val="0"/>
                <w:color w:val="auto"/>
                <w:kern w:val="0"/>
                <w:sz w:val="24"/>
                <w:szCs w:val="24"/>
                <w:highlight w:val="none"/>
                <w:shd w:val="clear" w:color="auto" w:fill="auto"/>
                <w:lang w:val="en-US" w:eastAsia="zh-CN"/>
              </w:rPr>
              <w:t>施工围挡、</w:t>
            </w:r>
            <w:r>
              <w:rPr>
                <w:rFonts w:hint="default" w:ascii="Times New Roman" w:hAnsi="Times New Roman" w:cs="Times New Roman"/>
                <w:snapToGrid w:val="0"/>
                <w:color w:val="auto"/>
                <w:kern w:val="0"/>
                <w:sz w:val="24"/>
                <w:szCs w:val="24"/>
                <w:highlight w:val="none"/>
                <w:shd w:val="clear" w:color="auto" w:fill="auto"/>
              </w:rPr>
              <w:t>洒水</w:t>
            </w:r>
            <w:r>
              <w:rPr>
                <w:rFonts w:hint="eastAsia" w:ascii="Times New Roman" w:hAnsi="Times New Roman" w:cs="Times New Roman"/>
                <w:snapToGrid w:val="0"/>
                <w:color w:val="auto"/>
                <w:kern w:val="0"/>
                <w:sz w:val="24"/>
                <w:szCs w:val="24"/>
                <w:highlight w:val="none"/>
                <w:shd w:val="clear" w:color="auto" w:fill="auto"/>
                <w:lang w:val="en-US" w:eastAsia="zh-CN"/>
              </w:rPr>
              <w:t>降尘</w:t>
            </w:r>
            <w:r>
              <w:rPr>
                <w:rFonts w:hint="default" w:ascii="Times New Roman" w:hAnsi="Times New Roman" w:cs="Times New Roman"/>
                <w:snapToGrid w:val="0"/>
                <w:color w:val="auto"/>
                <w:kern w:val="0"/>
                <w:sz w:val="24"/>
                <w:szCs w:val="24"/>
                <w:highlight w:val="none"/>
                <w:shd w:val="clear" w:color="auto" w:fill="auto"/>
              </w:rPr>
              <w:t>等措施后，可大大缓解施工区及道路扬尘对周围环境的影响。</w:t>
            </w:r>
          </w:p>
          <w:p w14:paraId="2DDE85CD">
            <w:pPr>
              <w:keepNext w:val="0"/>
              <w:keepLines w:val="0"/>
              <w:suppressLineNumbers w:val="0"/>
              <w:spacing w:before="0" w:beforeAutospacing="0" w:after="0" w:afterAutospacing="0" w:line="240" w:lineRule="auto"/>
              <w:ind w:left="0" w:right="0" w:firstLine="1897" w:firstLineChars="900"/>
              <w:jc w:val="right"/>
              <w:rPr>
                <w:rFonts w:hint="default" w:ascii="Times New Roman" w:hAnsi="Times New Roman" w:eastAsia="宋体" w:cs="Times New Roman"/>
                <w:b/>
                <w:bCs/>
                <w:color w:val="auto"/>
                <w:sz w:val="21"/>
                <w:szCs w:val="21"/>
                <w:highlight w:val="none"/>
              </w:rPr>
            </w:pPr>
          </w:p>
          <w:p w14:paraId="1906CE95">
            <w:pPr>
              <w:keepNext w:val="0"/>
              <w:keepLines w:val="0"/>
              <w:suppressLineNumbers w:val="0"/>
              <w:spacing w:before="0" w:beforeAutospacing="0" w:after="0" w:afterAutospacing="0" w:line="240" w:lineRule="auto"/>
              <w:ind w:left="0" w:right="0" w:firstLine="1897" w:firstLineChars="900"/>
              <w:jc w:val="right"/>
              <w:rPr>
                <w:rFonts w:hint="default" w:ascii="Times New Roman" w:hAnsi="Times New Roman" w:eastAsia="宋体" w:cs="Times New Roman"/>
                <w:b/>
                <w:bCs/>
                <w:color w:val="auto"/>
                <w:sz w:val="21"/>
                <w:szCs w:val="21"/>
                <w:highlight w:val="none"/>
              </w:rPr>
            </w:pPr>
          </w:p>
          <w:p w14:paraId="15A26E61">
            <w:pPr>
              <w:keepNext w:val="0"/>
              <w:keepLines w:val="0"/>
              <w:suppressLineNumbers w:val="0"/>
              <w:spacing w:before="0" w:beforeAutospacing="0" w:after="0" w:afterAutospacing="0" w:line="240" w:lineRule="auto"/>
              <w:ind w:left="0" w:right="0" w:firstLine="1897" w:firstLineChars="900"/>
              <w:jc w:val="both"/>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rPr>
              <w:t>-</w:t>
            </w:r>
            <w:r>
              <w:rPr>
                <w:rFonts w:hint="eastAsia" w:cs="Times New Roman"/>
                <w:b/>
                <w:bCs/>
                <w:color w:val="auto"/>
                <w:sz w:val="21"/>
                <w:szCs w:val="21"/>
                <w:highlight w:val="none"/>
                <w:lang w:val="en-US" w:eastAsia="zh-CN"/>
              </w:rPr>
              <w:t>1</w:t>
            </w: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rPr>
              <w:t>施工场地TSP浓度变化对比表单位：mg/m³</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7"/>
              <w:gridCol w:w="1529"/>
              <w:gridCol w:w="1529"/>
              <w:gridCol w:w="1529"/>
              <w:gridCol w:w="1529"/>
            </w:tblGrid>
            <w:tr w14:paraId="5A4C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93" w:type="pct"/>
                  <w:gridSpan w:val="2"/>
                  <w:tcBorders>
                    <w:tl2br w:val="nil"/>
                    <w:tr2bl w:val="nil"/>
                  </w:tcBorders>
                  <w:noWrap w:val="0"/>
                  <w:vAlign w:val="center"/>
                </w:tcPr>
                <w:p w14:paraId="236DC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监测点位置</w:t>
                  </w:r>
                </w:p>
              </w:tc>
              <w:tc>
                <w:tcPr>
                  <w:tcW w:w="935" w:type="pct"/>
                  <w:tcBorders>
                    <w:tl2br w:val="nil"/>
                    <w:tr2bl w:val="nil"/>
                  </w:tcBorders>
                  <w:noWrap w:val="0"/>
                  <w:vAlign w:val="center"/>
                </w:tcPr>
                <w:p w14:paraId="5F0DAC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场地不洒水</w:t>
                  </w:r>
                </w:p>
              </w:tc>
              <w:tc>
                <w:tcPr>
                  <w:tcW w:w="935" w:type="pct"/>
                  <w:tcBorders>
                    <w:tl2br w:val="nil"/>
                    <w:tr2bl w:val="nil"/>
                  </w:tcBorders>
                  <w:noWrap w:val="0"/>
                  <w:vAlign w:val="center"/>
                </w:tcPr>
                <w:p w14:paraId="5B53B3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场地洒水后</w:t>
                  </w:r>
                </w:p>
              </w:tc>
              <w:tc>
                <w:tcPr>
                  <w:tcW w:w="935" w:type="pct"/>
                  <w:tcBorders>
                    <w:tl2br w:val="nil"/>
                    <w:tr2bl w:val="nil"/>
                  </w:tcBorders>
                  <w:noWrap w:val="0"/>
                  <w:vAlign w:val="center"/>
                </w:tcPr>
                <w:p w14:paraId="4072FB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抑尘率</w:t>
                  </w:r>
                </w:p>
              </w:tc>
            </w:tr>
            <w:tr w14:paraId="0E03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Merge w:val="restart"/>
                  <w:tcBorders>
                    <w:tl2br w:val="nil"/>
                    <w:tr2bl w:val="nil"/>
                  </w:tcBorders>
                  <w:noWrap w:val="0"/>
                  <w:vAlign w:val="center"/>
                </w:tcPr>
                <w:p w14:paraId="46456A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距场地不同距离</w:t>
                  </w:r>
                </w:p>
                <w:p w14:paraId="71FFC3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处TSP的浓度值</w:t>
                  </w:r>
                </w:p>
                <w:p w14:paraId="7499A8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eastAsia="zh-CN"/>
                    </w:rPr>
                    <w:t>mg/m³</w:t>
                  </w:r>
                  <w:r>
                    <w:rPr>
                      <w:rFonts w:hint="eastAsia" w:ascii="Times New Roman" w:hAnsi="Times New Roman" w:eastAsia="宋体" w:cs="Times New Roman"/>
                      <w:b w:val="0"/>
                      <w:bCs w:val="0"/>
                      <w:color w:val="auto"/>
                      <w:sz w:val="21"/>
                      <w:szCs w:val="21"/>
                      <w:highlight w:val="none"/>
                      <w:lang w:eastAsia="zh-CN"/>
                    </w:rPr>
                    <w:t>）</w:t>
                  </w:r>
                </w:p>
              </w:tc>
              <w:tc>
                <w:tcPr>
                  <w:tcW w:w="934" w:type="pct"/>
                  <w:tcBorders>
                    <w:tl2br w:val="nil"/>
                    <w:tr2bl w:val="nil"/>
                  </w:tcBorders>
                  <w:noWrap w:val="0"/>
                  <w:vAlign w:val="center"/>
                </w:tcPr>
                <w:p w14:paraId="0921E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10m</w:t>
                  </w:r>
                </w:p>
              </w:tc>
              <w:tc>
                <w:tcPr>
                  <w:tcW w:w="935" w:type="pct"/>
                  <w:tcBorders>
                    <w:tl2br w:val="nil"/>
                    <w:tr2bl w:val="nil"/>
                  </w:tcBorders>
                  <w:noWrap w:val="0"/>
                  <w:vAlign w:val="center"/>
                </w:tcPr>
                <w:p w14:paraId="435F8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1.75</w:t>
                  </w:r>
                </w:p>
              </w:tc>
              <w:tc>
                <w:tcPr>
                  <w:tcW w:w="935" w:type="pct"/>
                  <w:tcBorders>
                    <w:tl2br w:val="nil"/>
                    <w:tr2bl w:val="nil"/>
                  </w:tcBorders>
                  <w:noWrap w:val="0"/>
                  <w:vAlign w:val="center"/>
                </w:tcPr>
                <w:p w14:paraId="464EC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0.437</w:t>
                  </w:r>
                </w:p>
              </w:tc>
              <w:tc>
                <w:tcPr>
                  <w:tcW w:w="935" w:type="pct"/>
                  <w:tcBorders>
                    <w:tl2br w:val="nil"/>
                    <w:tr2bl w:val="nil"/>
                  </w:tcBorders>
                  <w:noWrap w:val="0"/>
                  <w:vAlign w:val="center"/>
                </w:tcPr>
                <w:p w14:paraId="40C63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75%</w:t>
                  </w:r>
                </w:p>
              </w:tc>
            </w:tr>
            <w:tr w14:paraId="3E90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Merge w:val="continue"/>
                  <w:tcBorders>
                    <w:tl2br w:val="nil"/>
                    <w:tr2bl w:val="nil"/>
                  </w:tcBorders>
                  <w:noWrap w:val="0"/>
                  <w:vAlign w:val="center"/>
                </w:tcPr>
                <w:p w14:paraId="06EF06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p>
              </w:tc>
              <w:tc>
                <w:tcPr>
                  <w:tcW w:w="934" w:type="pct"/>
                  <w:tcBorders>
                    <w:tl2br w:val="nil"/>
                    <w:tr2bl w:val="nil"/>
                  </w:tcBorders>
                  <w:noWrap w:val="0"/>
                  <w:vAlign w:val="center"/>
                </w:tcPr>
                <w:p w14:paraId="7C742B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20m</w:t>
                  </w:r>
                </w:p>
              </w:tc>
              <w:tc>
                <w:tcPr>
                  <w:tcW w:w="935" w:type="pct"/>
                  <w:tcBorders>
                    <w:tl2br w:val="nil"/>
                    <w:tr2bl w:val="nil"/>
                  </w:tcBorders>
                  <w:noWrap w:val="0"/>
                  <w:vAlign w:val="center"/>
                </w:tcPr>
                <w:p w14:paraId="0F8D8B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1.30</w:t>
                  </w:r>
                </w:p>
              </w:tc>
              <w:tc>
                <w:tcPr>
                  <w:tcW w:w="935" w:type="pct"/>
                  <w:tcBorders>
                    <w:tl2br w:val="nil"/>
                    <w:tr2bl w:val="nil"/>
                  </w:tcBorders>
                  <w:noWrap w:val="0"/>
                  <w:vAlign w:val="center"/>
                </w:tcPr>
                <w:p w14:paraId="13BE3A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0.350</w:t>
                  </w:r>
                </w:p>
              </w:tc>
              <w:tc>
                <w:tcPr>
                  <w:tcW w:w="935" w:type="pct"/>
                  <w:tcBorders>
                    <w:tl2br w:val="nil"/>
                    <w:tr2bl w:val="nil"/>
                  </w:tcBorders>
                  <w:noWrap w:val="0"/>
                  <w:vAlign w:val="center"/>
                </w:tcPr>
                <w:p w14:paraId="15858B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73.1%</w:t>
                  </w:r>
                </w:p>
              </w:tc>
            </w:tr>
            <w:tr w14:paraId="20A8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Merge w:val="continue"/>
                  <w:tcBorders>
                    <w:tl2br w:val="nil"/>
                    <w:tr2bl w:val="nil"/>
                  </w:tcBorders>
                  <w:noWrap w:val="0"/>
                  <w:vAlign w:val="center"/>
                </w:tcPr>
                <w:p w14:paraId="2289C2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p>
              </w:tc>
              <w:tc>
                <w:tcPr>
                  <w:tcW w:w="934" w:type="pct"/>
                  <w:tcBorders>
                    <w:tl2br w:val="nil"/>
                    <w:tr2bl w:val="nil"/>
                  </w:tcBorders>
                  <w:noWrap w:val="0"/>
                  <w:vAlign w:val="center"/>
                </w:tcPr>
                <w:p w14:paraId="65CD9E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30m</w:t>
                  </w:r>
                </w:p>
              </w:tc>
              <w:tc>
                <w:tcPr>
                  <w:tcW w:w="935" w:type="pct"/>
                  <w:tcBorders>
                    <w:tl2br w:val="nil"/>
                    <w:tr2bl w:val="nil"/>
                  </w:tcBorders>
                  <w:noWrap w:val="0"/>
                  <w:vAlign w:val="center"/>
                </w:tcPr>
                <w:p w14:paraId="74F1A0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0.78</w:t>
                  </w:r>
                </w:p>
              </w:tc>
              <w:tc>
                <w:tcPr>
                  <w:tcW w:w="935" w:type="pct"/>
                  <w:tcBorders>
                    <w:tl2br w:val="nil"/>
                    <w:tr2bl w:val="nil"/>
                  </w:tcBorders>
                  <w:noWrap w:val="0"/>
                  <w:vAlign w:val="center"/>
                </w:tcPr>
                <w:p w14:paraId="644F1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0.310</w:t>
                  </w:r>
                </w:p>
              </w:tc>
              <w:tc>
                <w:tcPr>
                  <w:tcW w:w="935" w:type="pct"/>
                  <w:tcBorders>
                    <w:tl2br w:val="nil"/>
                    <w:tr2bl w:val="nil"/>
                  </w:tcBorders>
                  <w:noWrap w:val="0"/>
                  <w:vAlign w:val="center"/>
                </w:tcPr>
                <w:p w14:paraId="71A83F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60.3%</w:t>
                  </w:r>
                </w:p>
              </w:tc>
            </w:tr>
            <w:tr w14:paraId="0DA3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Merge w:val="continue"/>
                  <w:tcBorders>
                    <w:tl2br w:val="nil"/>
                    <w:tr2bl w:val="nil"/>
                  </w:tcBorders>
                  <w:noWrap w:val="0"/>
                  <w:vAlign w:val="center"/>
                </w:tcPr>
                <w:p w14:paraId="01BABA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p>
              </w:tc>
              <w:tc>
                <w:tcPr>
                  <w:tcW w:w="934" w:type="pct"/>
                  <w:tcBorders>
                    <w:tl2br w:val="nil"/>
                    <w:tr2bl w:val="nil"/>
                  </w:tcBorders>
                  <w:noWrap w:val="0"/>
                  <w:vAlign w:val="center"/>
                </w:tcPr>
                <w:p w14:paraId="7FF24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40m</w:t>
                  </w:r>
                </w:p>
              </w:tc>
              <w:tc>
                <w:tcPr>
                  <w:tcW w:w="935" w:type="pct"/>
                  <w:tcBorders>
                    <w:tl2br w:val="nil"/>
                    <w:tr2bl w:val="nil"/>
                  </w:tcBorders>
                  <w:noWrap w:val="0"/>
                  <w:vAlign w:val="center"/>
                </w:tcPr>
                <w:p w14:paraId="718276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0.365</w:t>
                  </w:r>
                </w:p>
              </w:tc>
              <w:tc>
                <w:tcPr>
                  <w:tcW w:w="935" w:type="pct"/>
                  <w:tcBorders>
                    <w:tl2br w:val="nil"/>
                    <w:tr2bl w:val="nil"/>
                  </w:tcBorders>
                  <w:noWrap w:val="0"/>
                  <w:vAlign w:val="center"/>
                </w:tcPr>
                <w:p w14:paraId="52326C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0.265</w:t>
                  </w:r>
                </w:p>
              </w:tc>
              <w:tc>
                <w:tcPr>
                  <w:tcW w:w="935" w:type="pct"/>
                  <w:tcBorders>
                    <w:tl2br w:val="nil"/>
                    <w:tr2bl w:val="nil"/>
                  </w:tcBorders>
                  <w:noWrap w:val="0"/>
                  <w:vAlign w:val="center"/>
                </w:tcPr>
                <w:p w14:paraId="1EFDC2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27.4%</w:t>
                  </w:r>
                </w:p>
              </w:tc>
            </w:tr>
            <w:tr w14:paraId="5378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Merge w:val="continue"/>
                  <w:tcBorders>
                    <w:tl2br w:val="nil"/>
                    <w:tr2bl w:val="nil"/>
                  </w:tcBorders>
                  <w:noWrap w:val="0"/>
                  <w:vAlign w:val="center"/>
                </w:tcPr>
                <w:p w14:paraId="15B4A2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p>
              </w:tc>
              <w:tc>
                <w:tcPr>
                  <w:tcW w:w="934" w:type="pct"/>
                  <w:tcBorders>
                    <w:tl2br w:val="nil"/>
                    <w:tr2bl w:val="nil"/>
                  </w:tcBorders>
                  <w:noWrap w:val="0"/>
                  <w:vAlign w:val="center"/>
                </w:tcPr>
                <w:p w14:paraId="402A88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50m</w:t>
                  </w:r>
                </w:p>
              </w:tc>
              <w:tc>
                <w:tcPr>
                  <w:tcW w:w="935" w:type="pct"/>
                  <w:tcBorders>
                    <w:tl2br w:val="nil"/>
                    <w:tr2bl w:val="nil"/>
                  </w:tcBorders>
                  <w:noWrap w:val="0"/>
                  <w:vAlign w:val="center"/>
                </w:tcPr>
                <w:p w14:paraId="143EF5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0.345</w:t>
                  </w:r>
                </w:p>
              </w:tc>
              <w:tc>
                <w:tcPr>
                  <w:tcW w:w="935" w:type="pct"/>
                  <w:tcBorders>
                    <w:tl2br w:val="nil"/>
                    <w:tr2bl w:val="nil"/>
                  </w:tcBorders>
                  <w:noWrap w:val="0"/>
                  <w:vAlign w:val="center"/>
                </w:tcPr>
                <w:p w14:paraId="4F2417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0.250</w:t>
                  </w:r>
                </w:p>
              </w:tc>
              <w:tc>
                <w:tcPr>
                  <w:tcW w:w="935" w:type="pct"/>
                  <w:tcBorders>
                    <w:tl2br w:val="nil"/>
                    <w:tr2bl w:val="nil"/>
                  </w:tcBorders>
                  <w:noWrap w:val="0"/>
                  <w:vAlign w:val="center"/>
                </w:tcPr>
                <w:p w14:paraId="00737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27.5%</w:t>
                  </w:r>
                </w:p>
              </w:tc>
            </w:tr>
            <w:tr w14:paraId="2A20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Merge w:val="continue"/>
                  <w:tcBorders>
                    <w:tl2br w:val="nil"/>
                    <w:tr2bl w:val="nil"/>
                  </w:tcBorders>
                  <w:noWrap w:val="0"/>
                  <w:vAlign w:val="center"/>
                </w:tcPr>
                <w:p w14:paraId="51C628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p>
              </w:tc>
              <w:tc>
                <w:tcPr>
                  <w:tcW w:w="934" w:type="pct"/>
                  <w:tcBorders>
                    <w:tl2br w:val="nil"/>
                    <w:tr2bl w:val="nil"/>
                  </w:tcBorders>
                  <w:noWrap w:val="0"/>
                  <w:vAlign w:val="center"/>
                </w:tcPr>
                <w:p w14:paraId="550F8D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100m</w:t>
                  </w:r>
                </w:p>
              </w:tc>
              <w:tc>
                <w:tcPr>
                  <w:tcW w:w="935" w:type="pct"/>
                  <w:tcBorders>
                    <w:tl2br w:val="nil"/>
                    <w:tr2bl w:val="nil"/>
                  </w:tcBorders>
                  <w:noWrap w:val="0"/>
                  <w:vAlign w:val="center"/>
                </w:tcPr>
                <w:p w14:paraId="2228EE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0.330</w:t>
                  </w:r>
                </w:p>
              </w:tc>
              <w:tc>
                <w:tcPr>
                  <w:tcW w:w="935" w:type="pct"/>
                  <w:tcBorders>
                    <w:tl2br w:val="nil"/>
                    <w:tr2bl w:val="nil"/>
                  </w:tcBorders>
                  <w:noWrap w:val="0"/>
                  <w:vAlign w:val="center"/>
                </w:tcPr>
                <w:p w14:paraId="02E227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0.238</w:t>
                  </w:r>
                </w:p>
              </w:tc>
              <w:tc>
                <w:tcPr>
                  <w:tcW w:w="935" w:type="pct"/>
                  <w:tcBorders>
                    <w:tl2br w:val="nil"/>
                    <w:tr2bl w:val="nil"/>
                  </w:tcBorders>
                  <w:noWrap w:val="0"/>
                  <w:vAlign w:val="center"/>
                </w:tcPr>
                <w:p w14:paraId="596657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27.9%</w:t>
                  </w:r>
                </w:p>
              </w:tc>
            </w:tr>
          </w:tbl>
          <w:p w14:paraId="1B6F202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rightChars="0" w:firstLine="480" w:firstLineChars="200"/>
              <w:jc w:val="both"/>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eastAsia="zh-CN"/>
              </w:rPr>
            </w:pPr>
            <w:r>
              <w:rPr>
                <w:rFonts w:hint="default" w:ascii="Times New Roman" w:hAnsi="Times New Roman" w:cs="Times New Roman"/>
                <w:snapToGrid w:val="0"/>
                <w:color w:val="auto"/>
                <w:kern w:val="0"/>
                <w:sz w:val="24"/>
                <w:szCs w:val="24"/>
                <w:highlight w:val="none"/>
                <w:shd w:val="clear" w:color="auto" w:fill="auto"/>
              </w:rPr>
              <w:t>施工场地采取洒水措施后，TSP浓度明显降低，距离施工区域10m处可降低75%的扬尘，距离施工区域100m也可降低27.9%的扬尘。由表可见，分布在工程</w:t>
            </w:r>
            <w:r>
              <w:rPr>
                <w:rFonts w:hint="eastAsia" w:ascii="Times New Roman" w:hAnsi="Times New Roman" w:cs="Times New Roman"/>
                <w:snapToGrid w:val="0"/>
                <w:color w:val="auto"/>
                <w:kern w:val="0"/>
                <w:sz w:val="24"/>
                <w:szCs w:val="24"/>
                <w:highlight w:val="none"/>
                <w:shd w:val="clear" w:color="auto" w:fill="auto"/>
                <w:lang w:val="en-US" w:eastAsia="zh-CN"/>
              </w:rPr>
              <w:t>区外</w:t>
            </w:r>
            <w:r>
              <w:rPr>
                <w:rFonts w:hint="default" w:ascii="Times New Roman" w:hAnsi="Times New Roman" w:cs="Times New Roman"/>
                <w:snapToGrid w:val="0"/>
                <w:color w:val="auto"/>
                <w:kern w:val="0"/>
                <w:sz w:val="24"/>
                <w:szCs w:val="24"/>
                <w:highlight w:val="none"/>
                <w:shd w:val="clear" w:color="auto" w:fill="auto"/>
              </w:rPr>
              <w:t>100m范围内</w:t>
            </w:r>
            <w:r>
              <w:rPr>
                <w:rFonts w:hint="eastAsia" w:ascii="Times New Roman" w:hAnsi="Times New Roman" w:cs="Times New Roman"/>
                <w:snapToGrid w:val="0"/>
                <w:color w:val="auto"/>
                <w:kern w:val="0"/>
                <w:sz w:val="24"/>
                <w:szCs w:val="24"/>
                <w:highlight w:val="none"/>
                <w:shd w:val="clear" w:color="auto" w:fill="auto"/>
                <w:lang w:val="en-US" w:eastAsia="zh-CN"/>
              </w:rPr>
              <w:t>敏感目标</w:t>
            </w:r>
            <w:r>
              <w:rPr>
                <w:rFonts w:hint="default" w:ascii="Times New Roman" w:hAnsi="Times New Roman" w:cs="Times New Roman"/>
                <w:snapToGrid w:val="0"/>
                <w:color w:val="auto"/>
                <w:kern w:val="0"/>
                <w:sz w:val="24"/>
                <w:szCs w:val="24"/>
                <w:highlight w:val="none"/>
                <w:shd w:val="clear" w:color="auto" w:fill="auto"/>
              </w:rPr>
              <w:t>受TSP影响相对较大，100m以外的区域，随距离的增加其浓度逐步减小</w:t>
            </w:r>
            <w:r>
              <w:rPr>
                <w:rFonts w:hint="eastAsia" w:ascii="Times New Roman" w:hAnsi="Times New Roman" w:cs="Times New Roman"/>
                <w:snapToGrid w:val="0"/>
                <w:color w:val="auto"/>
                <w:kern w:val="0"/>
                <w:sz w:val="24"/>
                <w:szCs w:val="24"/>
                <w:highlight w:val="none"/>
                <w:shd w:val="clear" w:color="auto" w:fill="auto"/>
                <w:lang w:eastAsia="zh-CN"/>
              </w:rPr>
              <w:t>。</w:t>
            </w:r>
          </w:p>
          <w:p w14:paraId="3EFB7079">
            <w:pPr>
              <w:keepNext w:val="0"/>
              <w:keepLines w:val="0"/>
              <w:pageBreakBefore w:val="0"/>
              <w:widowControl w:val="0"/>
              <w:suppressLineNumbers w:val="0"/>
              <w:kinsoku/>
              <w:wordWrap/>
              <w:overflowPunct/>
              <w:topLinePunct/>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宋体" w:eastAsia="宋体" w:cs="Times New Roman"/>
                <w:snapToGrid w:val="0"/>
                <w:color w:val="auto"/>
                <w:kern w:val="0"/>
                <w:sz w:val="24"/>
                <w:szCs w:val="24"/>
                <w:highlight w:val="none"/>
                <w:shd w:val="clear" w:color="auto" w:fill="auto"/>
                <w:lang w:val="en-US" w:eastAsia="zh-CN"/>
              </w:rPr>
            </w:pPr>
            <w:r>
              <w:rPr>
                <w:rFonts w:hint="default" w:ascii="Times New Roman" w:hAnsi="宋体" w:eastAsia="宋体" w:cs="Times New Roman"/>
                <w:snapToGrid w:val="0"/>
                <w:color w:val="auto"/>
                <w:kern w:val="0"/>
                <w:sz w:val="24"/>
                <w:szCs w:val="24"/>
                <w:highlight w:val="none"/>
                <w:shd w:val="clear" w:color="auto" w:fill="auto"/>
                <w:lang w:val="en-US" w:eastAsia="zh-CN"/>
              </w:rPr>
              <w:t>施工扬尘的产生将影响周边环境空气的质量，从上述分析可知，施工扬尘对距离</w:t>
            </w:r>
            <w:r>
              <w:rPr>
                <w:rFonts w:hint="eastAsia" w:ascii="Times New Roman" w:hAnsi="宋体" w:eastAsia="宋体" w:cs="Times New Roman"/>
                <w:snapToGrid w:val="0"/>
                <w:color w:val="auto"/>
                <w:kern w:val="0"/>
                <w:sz w:val="24"/>
                <w:szCs w:val="24"/>
                <w:highlight w:val="none"/>
                <w:shd w:val="clear" w:color="auto" w:fill="auto"/>
                <w:lang w:val="en-US" w:eastAsia="zh-CN"/>
              </w:rPr>
              <w:t>本项目</w:t>
            </w:r>
            <w:r>
              <w:rPr>
                <w:rFonts w:hint="default" w:ascii="Times New Roman" w:hAnsi="宋体" w:eastAsia="宋体" w:cs="Times New Roman"/>
                <w:snapToGrid w:val="0"/>
                <w:color w:val="auto"/>
                <w:kern w:val="0"/>
                <w:sz w:val="24"/>
                <w:szCs w:val="24"/>
                <w:highlight w:val="none"/>
                <w:shd w:val="clear" w:color="auto" w:fill="auto"/>
                <w:lang w:val="en-US" w:eastAsia="zh-CN"/>
              </w:rPr>
              <w:t>100m范围内影响较大，</w:t>
            </w:r>
            <w:r>
              <w:rPr>
                <w:rFonts w:hint="eastAsia" w:ascii="Times New Roman" w:hAnsi="宋体" w:eastAsia="宋体" w:cs="Times New Roman"/>
                <w:snapToGrid w:val="0"/>
                <w:color w:val="auto"/>
                <w:kern w:val="0"/>
                <w:sz w:val="24"/>
                <w:szCs w:val="24"/>
                <w:highlight w:val="none"/>
                <w:shd w:val="clear" w:color="auto" w:fill="auto"/>
                <w:lang w:val="en-US" w:eastAsia="zh-CN"/>
              </w:rPr>
              <w:t>项目区周边100m范围内无居民区等敏感点</w:t>
            </w:r>
            <w:r>
              <w:rPr>
                <w:rFonts w:hint="default" w:ascii="Times New Roman" w:hAnsi="宋体" w:eastAsia="宋体" w:cs="Times New Roman"/>
                <w:snapToGrid w:val="0"/>
                <w:color w:val="auto"/>
                <w:kern w:val="0"/>
                <w:sz w:val="24"/>
                <w:szCs w:val="24"/>
                <w:highlight w:val="none"/>
                <w:shd w:val="clear" w:color="auto" w:fill="auto"/>
                <w:lang w:val="en-US" w:eastAsia="zh-CN"/>
              </w:rPr>
              <w:t>。因此建设单位时常通过洒水降尘，并设置简易隔离围屏降低扬尘浓度后，</w:t>
            </w:r>
            <w:r>
              <w:rPr>
                <w:rFonts w:hint="eastAsia" w:ascii="Times New Roman" w:hAnsi="宋体" w:eastAsia="宋体" w:cs="Times New Roman"/>
                <w:snapToGrid w:val="0"/>
                <w:color w:val="auto"/>
                <w:kern w:val="0"/>
                <w:sz w:val="24"/>
                <w:szCs w:val="24"/>
                <w:highlight w:val="none"/>
                <w:shd w:val="clear" w:color="auto" w:fill="auto"/>
                <w:lang w:val="en-US" w:eastAsia="zh-CN"/>
              </w:rPr>
              <w:t>可以有效</w:t>
            </w:r>
            <w:r>
              <w:rPr>
                <w:rFonts w:hint="default" w:ascii="Times New Roman" w:hAnsi="宋体" w:eastAsia="宋体" w:cs="Times New Roman"/>
                <w:snapToGrid w:val="0"/>
                <w:color w:val="auto"/>
                <w:kern w:val="0"/>
                <w:sz w:val="24"/>
                <w:szCs w:val="24"/>
                <w:highlight w:val="none"/>
                <w:shd w:val="clear" w:color="auto" w:fill="auto"/>
                <w:lang w:val="en-US" w:eastAsia="zh-CN"/>
              </w:rPr>
              <w:t>减轻施工扬尘对</w:t>
            </w:r>
            <w:r>
              <w:rPr>
                <w:rFonts w:hint="eastAsia" w:ascii="Times New Roman" w:hAnsi="宋体" w:eastAsia="宋体" w:cs="Times New Roman"/>
                <w:snapToGrid w:val="0"/>
                <w:color w:val="auto"/>
                <w:kern w:val="0"/>
                <w:sz w:val="24"/>
                <w:szCs w:val="24"/>
                <w:highlight w:val="none"/>
                <w:shd w:val="clear" w:color="auto" w:fill="auto"/>
                <w:lang w:val="en-US" w:eastAsia="zh-CN"/>
              </w:rPr>
              <w:t>大气环境</w:t>
            </w:r>
            <w:r>
              <w:rPr>
                <w:rFonts w:hint="default" w:ascii="Times New Roman" w:hAnsi="宋体" w:eastAsia="宋体" w:cs="Times New Roman"/>
                <w:snapToGrid w:val="0"/>
                <w:color w:val="auto"/>
                <w:kern w:val="0"/>
                <w:sz w:val="24"/>
                <w:szCs w:val="24"/>
                <w:highlight w:val="none"/>
                <w:shd w:val="clear" w:color="auto" w:fill="auto"/>
                <w:lang w:val="en-US" w:eastAsia="zh-CN"/>
              </w:rPr>
              <w:t>产生的影响；且施工扬尘影响是暂时性的，随着施工结束，影响也随之消失。</w:t>
            </w:r>
          </w:p>
          <w:p w14:paraId="2C9F2D18">
            <w:pPr>
              <w:keepNext w:val="0"/>
              <w:keepLines w:val="0"/>
              <w:pageBreakBefore w:val="0"/>
              <w:widowControl w:val="0"/>
              <w:suppressLineNumbers w:val="0"/>
              <w:kinsoku/>
              <w:wordWrap/>
              <w:overflowPunct/>
              <w:topLinePunct/>
              <w:bidi w:val="0"/>
              <w:adjustRightInd/>
              <w:snapToGrid/>
              <w:spacing w:before="0" w:beforeAutospacing="0" w:after="0" w:afterAutospacing="0" w:line="360" w:lineRule="auto"/>
              <w:ind w:left="0" w:leftChars="0" w:right="0" w:rightChars="0" w:firstLine="482" w:firstLineChars="200"/>
              <w:jc w:val="both"/>
              <w:textAlignment w:val="auto"/>
              <w:outlineLvl w:val="9"/>
              <w:rPr>
                <w:rFonts w:hint="eastAsia" w:ascii="Times New Roman" w:hAnsi="宋体" w:eastAsia="宋体" w:cs="Times New Roman"/>
                <w:b/>
                <w:bCs/>
                <w:snapToGrid w:val="0"/>
                <w:color w:val="auto"/>
                <w:kern w:val="0"/>
                <w:sz w:val="24"/>
                <w:szCs w:val="24"/>
                <w:highlight w:val="none"/>
                <w:shd w:val="clear" w:color="auto" w:fill="auto"/>
                <w:lang w:val="en-US" w:eastAsia="zh-CN"/>
              </w:rPr>
            </w:pPr>
            <w:r>
              <w:rPr>
                <w:rFonts w:hint="eastAsia" w:hAnsi="宋体" w:cs="Times New Roman"/>
                <w:b/>
                <w:bCs/>
                <w:snapToGrid w:val="0"/>
                <w:color w:val="auto"/>
                <w:kern w:val="0"/>
                <w:sz w:val="24"/>
                <w:szCs w:val="24"/>
                <w:highlight w:val="none"/>
                <w:shd w:val="clear" w:color="auto" w:fill="auto"/>
                <w:lang w:val="en-US" w:eastAsia="zh-CN"/>
              </w:rPr>
              <w:t xml:space="preserve">1.2 </w:t>
            </w:r>
            <w:r>
              <w:rPr>
                <w:rFonts w:hint="eastAsia" w:ascii="Times New Roman" w:hAnsi="宋体" w:eastAsia="宋体" w:cs="Times New Roman"/>
                <w:b/>
                <w:bCs/>
                <w:snapToGrid w:val="0"/>
                <w:color w:val="auto"/>
                <w:kern w:val="0"/>
                <w:sz w:val="24"/>
                <w:szCs w:val="24"/>
                <w:highlight w:val="none"/>
                <w:shd w:val="clear" w:color="auto" w:fill="auto"/>
                <w:lang w:val="en-US" w:eastAsia="zh-CN"/>
              </w:rPr>
              <w:t>材料堆场扬尘</w:t>
            </w:r>
          </w:p>
          <w:p w14:paraId="3F31D47C">
            <w:pPr>
              <w:keepNext w:val="0"/>
              <w:keepLines w:val="0"/>
              <w:pageBreakBefore w:val="0"/>
              <w:widowControl w:val="0"/>
              <w:suppressLineNumbers w:val="0"/>
              <w:kinsoku/>
              <w:wordWrap/>
              <w:overflowPunct/>
              <w:topLinePunct/>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宋体" w:eastAsia="宋体" w:cs="Times New Roman"/>
                <w:snapToGrid w:val="0"/>
                <w:color w:val="auto"/>
                <w:kern w:val="0"/>
                <w:sz w:val="24"/>
                <w:szCs w:val="24"/>
                <w:highlight w:val="none"/>
                <w:shd w:val="clear" w:color="auto" w:fill="auto"/>
                <w:lang w:val="en-US" w:eastAsia="zh-CN"/>
              </w:rPr>
            </w:pPr>
            <w:r>
              <w:rPr>
                <w:rFonts w:hint="default" w:ascii="Times New Roman" w:hAnsi="宋体" w:eastAsia="宋体" w:cs="Times New Roman"/>
                <w:snapToGrid w:val="0"/>
                <w:color w:val="auto"/>
                <w:kern w:val="0"/>
                <w:sz w:val="24"/>
                <w:szCs w:val="24"/>
                <w:highlight w:val="none"/>
                <w:shd w:val="clear" w:color="auto" w:fill="auto"/>
                <w:lang w:val="en-US" w:eastAsia="zh-CN"/>
              </w:rPr>
              <w:t>材料堆场的起尘量与物料种类、性质及风速有关，比重小的物料容易受扰动而起尘。堆场的扬尘包括料堆的风吹扬尘、装卸扬尘和过往车辆引起路面积尘二次扬尘，会对周围环境造成一定的影响，但通过洒水可以有效地抑制扬尘，使扬尘量减少70%。此外，对粉状物料采取遮盖防风措施也能有效减少扬尘污染。</w:t>
            </w:r>
          </w:p>
          <w:p w14:paraId="09098438">
            <w:pPr>
              <w:keepNext w:val="0"/>
              <w:keepLines w:val="0"/>
              <w:pageBreakBefore w:val="0"/>
              <w:widowControl w:val="0"/>
              <w:suppressLineNumbers w:val="0"/>
              <w:kinsoku/>
              <w:wordWrap/>
              <w:overflowPunct/>
              <w:topLinePunct/>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eastAsia" w:ascii="Times New Roman" w:hAnsi="宋体" w:eastAsia="宋体" w:cs="Times New Roman"/>
                <w:snapToGrid w:val="0"/>
                <w:color w:val="auto"/>
                <w:kern w:val="0"/>
                <w:sz w:val="24"/>
                <w:szCs w:val="24"/>
                <w:highlight w:val="none"/>
                <w:shd w:val="clear" w:color="auto" w:fill="auto"/>
                <w:lang w:val="en-US" w:eastAsia="zh-CN"/>
              </w:rPr>
            </w:pPr>
            <w:r>
              <w:rPr>
                <w:rFonts w:hint="eastAsia" w:ascii="Times New Roman" w:hAnsi="宋体" w:eastAsia="宋体" w:cs="Times New Roman"/>
                <w:snapToGrid w:val="0"/>
                <w:color w:val="auto"/>
                <w:kern w:val="0"/>
                <w:sz w:val="24"/>
                <w:szCs w:val="24"/>
                <w:highlight w:val="none"/>
                <w:shd w:val="clear" w:color="auto" w:fill="auto"/>
                <w:lang w:val="en-US" w:eastAsia="zh-CN"/>
              </w:rPr>
              <w:t>本项目</w:t>
            </w:r>
            <w:r>
              <w:rPr>
                <w:rFonts w:hint="default" w:ascii="Times New Roman" w:hAnsi="宋体" w:eastAsia="宋体" w:cs="Times New Roman"/>
                <w:snapToGrid w:val="0"/>
                <w:color w:val="auto"/>
                <w:kern w:val="0"/>
                <w:sz w:val="24"/>
                <w:szCs w:val="24"/>
                <w:highlight w:val="none"/>
                <w:shd w:val="clear" w:color="auto" w:fill="auto"/>
                <w:lang w:val="en-US" w:eastAsia="zh-CN"/>
              </w:rPr>
              <w:t>物料堆场</w:t>
            </w:r>
            <w:r>
              <w:rPr>
                <w:rFonts w:hint="eastAsia" w:ascii="Times New Roman" w:hAnsi="宋体" w:eastAsia="宋体" w:cs="Times New Roman"/>
                <w:snapToGrid w:val="0"/>
                <w:color w:val="auto"/>
                <w:kern w:val="0"/>
                <w:sz w:val="24"/>
                <w:szCs w:val="24"/>
                <w:highlight w:val="none"/>
                <w:shd w:val="clear" w:color="auto" w:fill="auto"/>
                <w:lang w:val="en-US" w:eastAsia="zh-CN"/>
              </w:rPr>
              <w:t>周围设置不低于堆放物高度的封闭性</w:t>
            </w:r>
            <w:r>
              <w:rPr>
                <w:rFonts w:hint="eastAsia" w:hAnsi="宋体" w:cs="Times New Roman"/>
                <w:snapToGrid w:val="0"/>
                <w:color w:val="auto"/>
                <w:kern w:val="0"/>
                <w:sz w:val="24"/>
                <w:szCs w:val="24"/>
                <w:highlight w:val="none"/>
                <w:shd w:val="clear" w:color="auto" w:fill="auto"/>
                <w:lang w:val="en-US" w:eastAsia="zh-CN"/>
              </w:rPr>
              <w:t>围栏</w:t>
            </w:r>
            <w:r>
              <w:rPr>
                <w:rFonts w:hint="default" w:ascii="Times New Roman" w:hAnsi="宋体" w:eastAsia="宋体" w:cs="Times New Roman"/>
                <w:snapToGrid w:val="0"/>
                <w:color w:val="auto"/>
                <w:kern w:val="0"/>
                <w:sz w:val="24"/>
                <w:szCs w:val="24"/>
                <w:highlight w:val="none"/>
                <w:shd w:val="clear" w:color="auto" w:fill="auto"/>
                <w:lang w:val="en-US" w:eastAsia="zh-CN"/>
              </w:rPr>
              <w:t>，</w:t>
            </w:r>
            <w:r>
              <w:rPr>
                <w:rFonts w:hint="eastAsia" w:ascii="Times New Roman" w:hAnsi="宋体" w:eastAsia="宋体" w:cs="Times New Roman"/>
                <w:snapToGrid w:val="0"/>
                <w:color w:val="auto"/>
                <w:kern w:val="0"/>
                <w:sz w:val="24"/>
                <w:szCs w:val="24"/>
                <w:highlight w:val="none"/>
                <w:shd w:val="clear" w:color="auto" w:fill="auto"/>
                <w:lang w:val="en-US" w:eastAsia="zh-CN"/>
              </w:rPr>
              <w:t>施工现场配备1台洒水设备，洒水频次以施工现场无明显扬尘为准，冬春季晴天一般洒水次数在4~6次，夏季晴天一般洒水8~10次。</w:t>
            </w:r>
          </w:p>
          <w:p w14:paraId="360A50E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eastAsia" w:ascii="Times New Roman" w:hAnsi="Times New Roman" w:eastAsia="宋体" w:cs="Times New Roman"/>
                <w:b w:val="0"/>
                <w:bCs w:val="0"/>
                <w:color w:val="auto"/>
                <w:kern w:val="28"/>
                <w:sz w:val="24"/>
                <w:szCs w:val="24"/>
                <w:highlight w:val="none"/>
                <w:lang w:val="en-US" w:eastAsia="zh-CN"/>
              </w:rPr>
            </w:pPr>
            <w:r>
              <w:rPr>
                <w:rFonts w:hint="eastAsia" w:ascii="Times New Roman" w:hAnsi="Times New Roman" w:eastAsia="宋体" w:cs="Times New Roman"/>
                <w:snapToGrid w:val="0"/>
                <w:color w:val="auto"/>
                <w:kern w:val="2"/>
                <w:sz w:val="24"/>
                <w:szCs w:val="24"/>
                <w:highlight w:val="none"/>
                <w:lang w:val="en-US" w:eastAsia="zh-CN" w:bidi="ar-SA"/>
              </w:rPr>
              <w:t>采取以上措施，</w:t>
            </w:r>
            <w:r>
              <w:rPr>
                <w:rFonts w:hint="default" w:ascii="Times New Roman" w:hAnsi="Times New Roman" w:eastAsia="宋体" w:cs="Times New Roman"/>
                <w:b w:val="0"/>
                <w:bCs w:val="0"/>
                <w:color w:val="auto"/>
                <w:kern w:val="28"/>
                <w:sz w:val="24"/>
                <w:szCs w:val="24"/>
                <w:highlight w:val="none"/>
                <w:lang w:val="en-US" w:eastAsia="zh-CN"/>
              </w:rPr>
              <w:t>可以有效减轻</w:t>
            </w:r>
            <w:r>
              <w:rPr>
                <w:rFonts w:hint="eastAsia" w:ascii="Times New Roman" w:hAnsi="Times New Roman" w:eastAsia="宋体" w:cs="Times New Roman"/>
                <w:b w:val="0"/>
                <w:bCs w:val="0"/>
                <w:color w:val="auto"/>
                <w:kern w:val="28"/>
                <w:sz w:val="24"/>
                <w:szCs w:val="24"/>
                <w:highlight w:val="none"/>
                <w:lang w:val="en-US" w:eastAsia="zh-CN"/>
              </w:rPr>
              <w:t>材料堆场</w:t>
            </w:r>
            <w:r>
              <w:rPr>
                <w:rFonts w:hint="default" w:ascii="Times New Roman" w:hAnsi="Times New Roman" w:eastAsia="宋体" w:cs="Times New Roman"/>
                <w:b w:val="0"/>
                <w:bCs w:val="0"/>
                <w:color w:val="auto"/>
                <w:kern w:val="28"/>
                <w:sz w:val="24"/>
                <w:szCs w:val="24"/>
                <w:highlight w:val="none"/>
                <w:lang w:val="en-US" w:eastAsia="zh-CN"/>
              </w:rPr>
              <w:t>扬尘污染</w:t>
            </w:r>
            <w:r>
              <w:rPr>
                <w:rFonts w:hint="eastAsia" w:ascii="Times New Roman" w:hAnsi="Times New Roman" w:eastAsia="宋体" w:cs="Times New Roman"/>
                <w:b w:val="0"/>
                <w:bCs w:val="0"/>
                <w:color w:val="auto"/>
                <w:kern w:val="28"/>
                <w:sz w:val="24"/>
                <w:szCs w:val="24"/>
                <w:highlight w:val="none"/>
                <w:lang w:val="en-US" w:eastAsia="zh-CN"/>
              </w:rPr>
              <w:t>。</w:t>
            </w:r>
          </w:p>
          <w:p w14:paraId="1F318EB7">
            <w:pPr>
              <w:pStyle w:val="34"/>
              <w:keepNext/>
              <w:keepLines/>
              <w:pageBreakBefore w:val="0"/>
              <w:widowControl w:val="0"/>
              <w:suppressLineNumbers w:val="0"/>
              <w:tabs>
                <w:tab w:val="left" w:pos="360"/>
                <w:tab w:val="left" w:pos="900"/>
              </w:tabs>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outlineLvl w:val="2"/>
              <w:rPr>
                <w:rFonts w:hint="eastAsia" w:ascii="Times New Roman" w:hAnsi="Times New Roman" w:eastAsia="宋体" w:cs="Times New Roman"/>
                <w:b/>
                <w:bCs/>
                <w:color w:val="auto"/>
                <w:kern w:val="2"/>
                <w:sz w:val="24"/>
                <w:szCs w:val="24"/>
                <w:highlight w:val="none"/>
                <w:lang w:val="en-US" w:eastAsia="zh-CN"/>
              </w:rPr>
            </w:pPr>
            <w:r>
              <w:rPr>
                <w:rFonts w:hint="eastAsia" w:ascii="Times New Roman" w:hAnsi="Times New Roman" w:cs="Times New Roman"/>
                <w:b/>
                <w:bCs/>
                <w:color w:val="auto"/>
                <w:kern w:val="2"/>
                <w:sz w:val="24"/>
                <w:szCs w:val="24"/>
                <w:highlight w:val="none"/>
                <w:lang w:val="en-US" w:eastAsia="zh-CN"/>
              </w:rPr>
              <w:t xml:space="preserve">1.3 </w:t>
            </w:r>
            <w:r>
              <w:rPr>
                <w:rFonts w:hint="eastAsia" w:ascii="Times New Roman" w:hAnsi="Times New Roman" w:eastAsia="宋体" w:cs="Times New Roman"/>
                <w:b/>
                <w:bCs/>
                <w:color w:val="auto"/>
                <w:kern w:val="2"/>
                <w:sz w:val="24"/>
                <w:szCs w:val="24"/>
                <w:highlight w:val="none"/>
                <w:lang w:val="en-US" w:eastAsia="zh-CN"/>
              </w:rPr>
              <w:t>机械及车辆燃油废气</w:t>
            </w:r>
          </w:p>
          <w:p w14:paraId="2AB614E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eastAsia" w:ascii="Times New Roman" w:hAnsi="Times New Roman" w:cs="Times New Roman"/>
                <w:b w:val="0"/>
                <w:bCs w:val="0"/>
                <w:color w:val="auto"/>
                <w:kern w:val="28"/>
                <w:sz w:val="24"/>
                <w:szCs w:val="24"/>
                <w:highlight w:val="none"/>
                <w:lang w:val="en-US" w:eastAsia="zh-CN"/>
              </w:rPr>
            </w:pPr>
            <w:r>
              <w:rPr>
                <w:rFonts w:hint="default" w:ascii="Times New Roman" w:hAnsi="Times New Roman" w:cs="Times New Roman"/>
                <w:b w:val="0"/>
                <w:bCs w:val="0"/>
                <w:color w:val="auto"/>
                <w:kern w:val="28"/>
                <w:sz w:val="24"/>
                <w:szCs w:val="24"/>
                <w:highlight w:val="none"/>
                <w:lang w:val="en-US" w:eastAsia="zh-CN"/>
              </w:rPr>
              <w:t>施工期间以燃油为动力的施工机械设备、施工车辆在施工场地附近排放一定量的SO</w:t>
            </w:r>
            <w:r>
              <w:rPr>
                <w:rFonts w:hint="default" w:ascii="Times New Roman" w:hAnsi="Times New Roman" w:cs="Times New Roman"/>
                <w:b w:val="0"/>
                <w:bCs w:val="0"/>
                <w:color w:val="auto"/>
                <w:kern w:val="28"/>
                <w:sz w:val="24"/>
                <w:szCs w:val="24"/>
                <w:highlight w:val="none"/>
                <w:vertAlign w:val="subscript"/>
                <w:lang w:val="en-US" w:eastAsia="zh-CN"/>
              </w:rPr>
              <w:t>2</w:t>
            </w:r>
            <w:r>
              <w:rPr>
                <w:rFonts w:hint="default" w:ascii="Times New Roman" w:hAnsi="Times New Roman" w:cs="Times New Roman"/>
                <w:b w:val="0"/>
                <w:bCs w:val="0"/>
                <w:color w:val="auto"/>
                <w:kern w:val="28"/>
                <w:sz w:val="24"/>
                <w:szCs w:val="24"/>
                <w:highlight w:val="none"/>
                <w:lang w:val="en-US" w:eastAsia="zh-CN"/>
              </w:rPr>
              <w:t>、NOx、CO和碳氢化合物等废气。</w:t>
            </w:r>
            <w:r>
              <w:rPr>
                <w:rFonts w:hint="eastAsia" w:ascii="Times New Roman" w:hAnsi="Times New Roman" w:cs="Times New Roman"/>
                <w:b w:val="0"/>
                <w:bCs w:val="0"/>
                <w:color w:val="auto"/>
                <w:kern w:val="28"/>
                <w:sz w:val="24"/>
                <w:szCs w:val="24"/>
                <w:highlight w:val="none"/>
                <w:lang w:val="en-US" w:eastAsia="zh-CN"/>
              </w:rPr>
              <w:t>施工场地汽车尾气对大气环境的影响有如下几个特点：</w:t>
            </w:r>
          </w:p>
          <w:p w14:paraId="17B6069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eastAsia" w:ascii="Times New Roman" w:hAnsi="Times New Roman" w:cs="Times New Roman"/>
                <w:b w:val="0"/>
                <w:bCs w:val="0"/>
                <w:color w:val="auto"/>
                <w:kern w:val="28"/>
                <w:sz w:val="24"/>
                <w:szCs w:val="24"/>
                <w:highlight w:val="none"/>
                <w:lang w:val="en-US" w:eastAsia="zh-CN"/>
              </w:rPr>
            </w:pPr>
            <w:r>
              <w:rPr>
                <w:rFonts w:hint="eastAsia" w:ascii="Times New Roman" w:hAnsi="Times New Roman" w:cs="Times New Roman"/>
                <w:b w:val="0"/>
                <w:bCs w:val="0"/>
                <w:color w:val="auto"/>
                <w:kern w:val="28"/>
                <w:sz w:val="24"/>
                <w:szCs w:val="24"/>
                <w:highlight w:val="none"/>
                <w:lang w:val="en-US" w:eastAsia="zh-CN"/>
              </w:rPr>
              <w:t>（1）车辆在施工范围内活动，尾气呈面源污染形式，本项目</w:t>
            </w:r>
            <w:r>
              <w:rPr>
                <w:rFonts w:hint="default" w:ascii="Times New Roman" w:hAnsi="Times New Roman" w:cs="Times New Roman"/>
                <w:b w:val="0"/>
                <w:bCs w:val="0"/>
                <w:color w:val="auto"/>
                <w:kern w:val="28"/>
                <w:sz w:val="24"/>
                <w:szCs w:val="24"/>
                <w:highlight w:val="none"/>
                <w:lang w:val="en-US" w:eastAsia="zh-CN"/>
              </w:rPr>
              <w:t>施工作业区域地形开阔，空气流动条件较好</w:t>
            </w:r>
            <w:r>
              <w:rPr>
                <w:rFonts w:hint="eastAsia" w:ascii="Times New Roman" w:hAnsi="Times New Roman" w:cs="Times New Roman"/>
                <w:b w:val="0"/>
                <w:bCs w:val="0"/>
                <w:color w:val="auto"/>
                <w:kern w:val="28"/>
                <w:sz w:val="24"/>
                <w:szCs w:val="24"/>
                <w:highlight w:val="none"/>
                <w:lang w:val="en-US" w:eastAsia="zh-CN"/>
              </w:rPr>
              <w:t>；</w:t>
            </w:r>
          </w:p>
          <w:p w14:paraId="361E145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eastAsia" w:ascii="Times New Roman" w:hAnsi="Times New Roman" w:cs="Times New Roman"/>
                <w:b w:val="0"/>
                <w:bCs w:val="0"/>
                <w:color w:val="auto"/>
                <w:kern w:val="28"/>
                <w:sz w:val="24"/>
                <w:szCs w:val="24"/>
                <w:highlight w:val="none"/>
                <w:lang w:val="en-US" w:eastAsia="zh-CN"/>
              </w:rPr>
            </w:pPr>
            <w:r>
              <w:rPr>
                <w:rFonts w:hint="eastAsia" w:ascii="Times New Roman" w:hAnsi="Times New Roman" w:cs="Times New Roman"/>
                <w:b w:val="0"/>
                <w:bCs w:val="0"/>
                <w:color w:val="auto"/>
                <w:kern w:val="28"/>
                <w:sz w:val="24"/>
                <w:szCs w:val="24"/>
                <w:highlight w:val="none"/>
                <w:lang w:val="en-US" w:eastAsia="zh-CN"/>
              </w:rPr>
              <w:t>（2）汽车排气筒高度较低，尾气扩散范围不大，对周围地区影响较小，</w:t>
            </w:r>
            <w:r>
              <w:rPr>
                <w:rFonts w:hint="default" w:ascii="Times New Roman" w:hAnsi="Times New Roman" w:cs="Times New Roman"/>
                <w:b w:val="0"/>
                <w:bCs w:val="0"/>
                <w:color w:val="auto"/>
                <w:kern w:val="28"/>
                <w:sz w:val="24"/>
                <w:szCs w:val="24"/>
                <w:highlight w:val="none"/>
                <w:lang w:val="en-US" w:eastAsia="zh-CN"/>
              </w:rPr>
              <w:t>预计工程施工作业时对局部区域环境空气影响范围仅限于下风向20m</w:t>
            </w:r>
            <w:r>
              <w:rPr>
                <w:rFonts w:hint="default" w:ascii="Times New Roman" w:hAnsi="Times New Roman" w:cs="Times New Roman"/>
                <w:snapToGrid w:val="0"/>
                <w:color w:val="auto"/>
                <w:kern w:val="0"/>
                <w:sz w:val="24"/>
                <w:szCs w:val="24"/>
                <w:highlight w:val="none"/>
                <w:shd w:val="clear" w:color="auto" w:fill="auto"/>
              </w:rPr>
              <w:t>～</w:t>
            </w:r>
            <w:r>
              <w:rPr>
                <w:rFonts w:hint="default" w:ascii="Times New Roman" w:hAnsi="Times New Roman" w:cs="Times New Roman"/>
                <w:b w:val="0"/>
                <w:bCs w:val="0"/>
                <w:color w:val="auto"/>
                <w:kern w:val="28"/>
                <w:sz w:val="24"/>
                <w:szCs w:val="24"/>
                <w:highlight w:val="none"/>
                <w:lang w:val="en-US" w:eastAsia="zh-CN"/>
              </w:rPr>
              <w:t>30m范围内，且这种影响时间短，并随施工的完成而消失</w:t>
            </w:r>
            <w:r>
              <w:rPr>
                <w:rFonts w:hint="eastAsia" w:ascii="Times New Roman" w:hAnsi="Times New Roman" w:cs="Times New Roman"/>
                <w:b w:val="0"/>
                <w:bCs w:val="0"/>
                <w:color w:val="auto"/>
                <w:kern w:val="28"/>
                <w:sz w:val="24"/>
                <w:szCs w:val="24"/>
                <w:highlight w:val="none"/>
                <w:lang w:val="en-US" w:eastAsia="zh-CN"/>
              </w:rPr>
              <w:t>；</w:t>
            </w:r>
          </w:p>
          <w:p w14:paraId="456C4B9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eastAsia" w:ascii="Times New Roman" w:hAnsi="Times New Roman" w:cs="Times New Roman"/>
                <w:b w:val="0"/>
                <w:bCs w:val="0"/>
                <w:color w:val="auto"/>
                <w:kern w:val="28"/>
                <w:sz w:val="24"/>
                <w:szCs w:val="24"/>
                <w:highlight w:val="none"/>
                <w:lang w:val="en-US" w:eastAsia="zh-CN"/>
              </w:rPr>
            </w:pPr>
            <w:r>
              <w:rPr>
                <w:rFonts w:hint="eastAsia" w:ascii="Times New Roman" w:hAnsi="Times New Roman" w:cs="Times New Roman"/>
                <w:b w:val="0"/>
                <w:bCs w:val="0"/>
                <w:color w:val="auto"/>
                <w:kern w:val="28"/>
                <w:sz w:val="24"/>
                <w:szCs w:val="24"/>
                <w:highlight w:val="none"/>
                <w:lang w:val="en-US" w:eastAsia="zh-CN"/>
              </w:rPr>
              <w:t>（3）车辆为非连续行驶状态，污染物排放时间及排放量相对较少。</w:t>
            </w:r>
          </w:p>
          <w:p w14:paraId="1AFB463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cs="Times New Roman"/>
                <w:b w:val="0"/>
                <w:bCs w:val="0"/>
                <w:color w:val="auto"/>
                <w:kern w:val="28"/>
                <w:sz w:val="24"/>
                <w:szCs w:val="24"/>
                <w:highlight w:val="none"/>
                <w:lang w:val="en-US" w:eastAsia="zh-CN"/>
              </w:rPr>
            </w:pPr>
            <w:r>
              <w:rPr>
                <w:rFonts w:hint="default" w:ascii="Times New Roman" w:hAnsi="Times New Roman" w:cs="Times New Roman"/>
                <w:b w:val="0"/>
                <w:bCs w:val="0"/>
                <w:color w:val="auto"/>
                <w:kern w:val="28"/>
                <w:sz w:val="24"/>
                <w:szCs w:val="24"/>
                <w:highlight w:val="none"/>
                <w:lang w:val="en-US" w:eastAsia="zh-CN"/>
              </w:rPr>
              <w:t>由于</w:t>
            </w:r>
            <w:r>
              <w:rPr>
                <w:rFonts w:hint="eastAsia" w:ascii="Times New Roman" w:hAnsi="Times New Roman" w:cs="Times New Roman"/>
                <w:b w:val="0"/>
                <w:bCs w:val="0"/>
                <w:color w:val="auto"/>
                <w:kern w:val="28"/>
                <w:sz w:val="24"/>
                <w:szCs w:val="24"/>
                <w:highlight w:val="none"/>
                <w:lang w:val="en-US" w:eastAsia="zh-CN"/>
              </w:rPr>
              <w:t>本项目</w:t>
            </w:r>
            <w:r>
              <w:rPr>
                <w:rFonts w:hint="default" w:ascii="Times New Roman" w:hAnsi="Times New Roman" w:cs="Times New Roman"/>
                <w:b w:val="0"/>
                <w:bCs w:val="0"/>
                <w:color w:val="auto"/>
                <w:kern w:val="28"/>
                <w:sz w:val="24"/>
                <w:szCs w:val="24"/>
                <w:highlight w:val="none"/>
                <w:lang w:val="en-US" w:eastAsia="zh-CN"/>
              </w:rPr>
              <w:t>施工作业具有间歇性的特点，同一施工时间内，施工机械、车辆数量有限，尾气排放量不大，施工作业对环境空气的影响范围主要局限于施工区内，施工机械及车辆废气使所在地区废气排放量在总量上增加不大。因此，施工机械及运输车辆排放的污染物容易扩散，只要加强设备及车辆的养护，其对周围空气环境不会有明显的影响。</w:t>
            </w:r>
          </w:p>
          <w:p w14:paraId="071F8CE3">
            <w:pPr>
              <w:pStyle w:val="163"/>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2" w:firstLineChars="200"/>
              <w:rPr>
                <w:rFonts w:hint="eastAsia"/>
                <w:b/>
                <w:bCs/>
                <w:color w:val="auto"/>
                <w:highlight w:val="none"/>
              </w:rPr>
            </w:pPr>
            <w:r>
              <w:rPr>
                <w:rFonts w:hint="eastAsia"/>
                <w:b/>
                <w:bCs/>
                <w:color w:val="auto"/>
                <w:highlight w:val="none"/>
                <w:lang w:val="en-US" w:eastAsia="zh-CN"/>
              </w:rPr>
              <w:t xml:space="preserve">1.4 </w:t>
            </w:r>
            <w:r>
              <w:rPr>
                <w:rFonts w:hint="eastAsia"/>
                <w:b/>
                <w:bCs/>
                <w:color w:val="auto"/>
                <w:highlight w:val="none"/>
              </w:rPr>
              <w:t>施工期</w:t>
            </w:r>
            <w:r>
              <w:rPr>
                <w:rFonts w:hint="eastAsia"/>
                <w:b/>
                <w:bCs/>
                <w:color w:val="auto"/>
                <w:highlight w:val="none"/>
                <w:lang w:val="en-US" w:eastAsia="zh-CN"/>
              </w:rPr>
              <w:t>大气</w:t>
            </w:r>
            <w:r>
              <w:rPr>
                <w:rFonts w:hint="eastAsia"/>
                <w:b/>
                <w:bCs/>
                <w:color w:val="auto"/>
                <w:highlight w:val="none"/>
              </w:rPr>
              <w:t>环境保护措施</w:t>
            </w:r>
          </w:p>
          <w:p w14:paraId="1ED64E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Times New Roman" w:hAnsi="Times New Roman" w:eastAsia="宋体" w:cs="Times New Roman"/>
                <w:b w:val="0"/>
                <w:bCs w:val="0"/>
                <w:color w:val="auto"/>
                <w:kern w:val="2"/>
                <w:sz w:val="24"/>
                <w:szCs w:val="24"/>
                <w:highlight w:val="none"/>
                <w:lang w:val="en-US" w:eastAsia="zh-CN" w:bidi="ar"/>
              </w:rPr>
            </w:pPr>
            <w:r>
              <w:rPr>
                <w:rFonts w:hint="eastAsia" w:ascii="宋体" w:hAnsi="宋体" w:eastAsia="宋体" w:cs="宋体"/>
                <w:color w:val="auto"/>
                <w:sz w:val="24"/>
                <w:szCs w:val="24"/>
                <w:highlight w:val="none"/>
                <w:lang w:val="en-US" w:eastAsia="zh-CN"/>
              </w:rPr>
              <w:t>本项目</w:t>
            </w:r>
            <w:r>
              <w:rPr>
                <w:rFonts w:hint="default" w:ascii="宋体" w:hAnsi="宋体" w:eastAsia="宋体" w:cs="宋体"/>
                <w:color w:val="auto"/>
                <w:sz w:val="24"/>
                <w:szCs w:val="24"/>
                <w:highlight w:val="none"/>
              </w:rPr>
              <w:t>在施工中耗用大量建筑</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材料，建材在装卸、堆放过程中会产生扬尘污染，为减缓项目地区环境空气中的</w:t>
            </w:r>
            <w:r>
              <w:rPr>
                <w:rFonts w:hint="default" w:ascii="Times New Roman" w:hAnsi="Times New Roman" w:eastAsia="宋体" w:cs="Times New Roman"/>
                <w:color w:val="auto"/>
                <w:sz w:val="24"/>
                <w:szCs w:val="24"/>
                <w:highlight w:val="none"/>
              </w:rPr>
              <w:t>TSP</w:t>
            </w:r>
            <w:r>
              <w:rPr>
                <w:rFonts w:hint="default" w:ascii="宋体" w:hAnsi="宋体" w:eastAsia="宋体" w:cs="宋体"/>
                <w:color w:val="auto"/>
                <w:sz w:val="24"/>
                <w:szCs w:val="24"/>
                <w:highlight w:val="none"/>
              </w:rPr>
              <w:t>污染</w:t>
            </w:r>
            <w:r>
              <w:rPr>
                <w:rFonts w:hint="eastAsia" w:ascii="宋体" w:hAnsi="宋体" w:eastAsia="宋体" w:cs="宋体"/>
                <w:color w:val="auto"/>
                <w:sz w:val="24"/>
                <w:szCs w:val="24"/>
                <w:highlight w:val="none"/>
                <w:lang w:eastAsia="zh-CN"/>
              </w:rPr>
              <w:t>，</w:t>
            </w:r>
            <w:r>
              <w:rPr>
                <w:rFonts w:hint="eastAsia" w:ascii="Times New Roman" w:hAnsi="Times New Roman" w:eastAsia="宋体" w:cs="Times New Roman"/>
                <w:b w:val="0"/>
                <w:bCs w:val="0"/>
                <w:color w:val="auto"/>
                <w:kern w:val="2"/>
                <w:sz w:val="24"/>
                <w:szCs w:val="24"/>
                <w:highlight w:val="none"/>
                <w:lang w:val="en-US" w:eastAsia="zh-CN" w:bidi="ar"/>
              </w:rPr>
              <w:t>根据《建筑工程施工现场扬尘污染防治标准》的相关要求并结合本项目特点，对施工扬尘提出具体的如下治理措施：</w:t>
            </w:r>
          </w:p>
          <w:p w14:paraId="4569B7B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default" w:ascii="宋体" w:hAnsi="宋体" w:eastAsia="宋体" w:cs="宋体"/>
                <w:color w:val="auto"/>
                <w:sz w:val="24"/>
                <w:szCs w:val="24"/>
                <w:highlight w:val="none"/>
              </w:rPr>
              <w:t>严格控制施工扬尘监管。将施工工地扬尘污染防治纳入文明施工管理范畴，建立扬尘控制责任制度，扬尘治理费用列入工程造价。建筑施工工地要做到工地</w:t>
            </w:r>
            <w:r>
              <w:rPr>
                <w:rFonts w:hint="eastAsia" w:ascii="宋体" w:hAnsi="宋体" w:eastAsia="宋体" w:cs="宋体"/>
                <w:color w:val="auto"/>
                <w:kern w:val="0"/>
                <w:sz w:val="24"/>
                <w:szCs w:val="24"/>
                <w:highlight w:val="none"/>
                <w:lang w:val="en-US" w:eastAsia="zh-CN" w:bidi="ar"/>
              </w:rPr>
              <w:t>周边围挡、物料堆放覆盖、土方开挖湿法作业、路面硬化、出入车辆清洗、</w:t>
            </w:r>
            <w:r>
              <w:rPr>
                <w:rFonts w:hint="eastAsia" w:ascii="Times New Roman" w:hAnsi="Times New Roman" w:eastAsia="宋体" w:cs="宋体"/>
                <w:color w:val="auto"/>
                <w:kern w:val="0"/>
                <w:sz w:val="24"/>
                <w:szCs w:val="24"/>
                <w:highlight w:val="none"/>
                <w:lang w:val="en-US" w:eastAsia="zh-CN" w:bidi="ar"/>
              </w:rPr>
              <w:t>渣土车辆密闭运输“六个百分之百”。</w:t>
            </w:r>
          </w:p>
          <w:p w14:paraId="5895248C">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lang w:val="en-US" w:eastAsia="zh-CN" w:bidi="ar"/>
              </w:rPr>
              <w:t>（1）</w:t>
            </w:r>
            <w:r>
              <w:rPr>
                <w:rFonts w:hint="eastAsia" w:ascii="Times New Roman" w:hAnsi="Times New Roman" w:eastAsia="宋体" w:cs="宋体"/>
                <w:color w:val="auto"/>
                <w:kern w:val="0"/>
                <w:sz w:val="24"/>
                <w:szCs w:val="24"/>
                <w:highlight w:val="none"/>
                <w:lang w:val="en-US" w:eastAsia="zh-CN" w:bidi="ar"/>
              </w:rPr>
              <w:t>开挖、平整施工过程中，应洒水使作业面保持一定的湿度；对施工场地内松散、干涸的表土，也应经常洒水防止粉尘；回填土方时，在表层土质干燥时应适当洒水，防止粉尘飞扬；在建设行政主管部门发布重污染黄色预警时施工现场应停止土石方作业，检查物料和裸露场地的覆盖状况；在发布重污染天气橙色预警或风速达到五级以上（含五级）大风天气时，施工现场应停止工地室外作业，并对作业面进行覆盖；</w:t>
            </w:r>
          </w:p>
          <w:p w14:paraId="146F49D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（2）建筑材料的防尘管理措施：施工过程中使用易产生扬尘的建筑材料，应采取下列措施；施工区周边设置围挡或料场使用防尘网；其他有效的防尘措施如经常洒水；</w:t>
            </w:r>
          </w:p>
          <w:p w14:paraId="1CEA212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kern w:val="2"/>
                <w:sz w:val="24"/>
                <w:szCs w:val="24"/>
                <w:highlight w:val="none"/>
              </w:rPr>
            </w:pPr>
            <w:r>
              <w:rPr>
                <w:rFonts w:hint="eastAsia" w:ascii="Times New Roman" w:hAnsi="Times New Roman" w:eastAsia="宋体" w:cs="宋体"/>
                <w:color w:val="auto"/>
                <w:kern w:val="0"/>
                <w:sz w:val="24"/>
                <w:szCs w:val="24"/>
                <w:highlight w:val="none"/>
                <w:lang w:val="en-US" w:eastAsia="zh-CN" w:bidi="ar"/>
              </w:rPr>
              <w:t>（3）建筑垃圾的</w:t>
            </w:r>
            <w:r>
              <w:rPr>
                <w:rFonts w:hint="eastAsia" w:ascii="Times New Roman" w:hAnsi="Times New Roman" w:eastAsia="宋体" w:cs="宋体"/>
                <w:color w:val="auto"/>
                <w:kern w:val="2"/>
                <w:sz w:val="24"/>
                <w:szCs w:val="24"/>
                <w:highlight w:val="none"/>
                <w:lang w:val="en-US" w:eastAsia="zh-CN" w:bidi="ar"/>
              </w:rPr>
              <w:t>防尘管理措施：施工工程中产生的弃料及其他建筑垃圾应及时清运。若在工地内堆置超过一周的，则应采取下列措施覆盖防尘布、防尘网；定期喷洒抑尘剂；</w:t>
            </w:r>
          </w:p>
          <w:p w14:paraId="14D5C20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）合理选择堆料场位置，避开人群流动较为集中的场地，不要在开阔地或露天堆放，在干燥、大风天实施遮盖或洒水，减少扬尘；</w:t>
            </w:r>
            <w:r>
              <w:rPr>
                <w:rFonts w:hint="eastAsia" w:ascii="宋体" w:hAnsi="宋体" w:eastAsia="宋体" w:cs="宋体"/>
                <w:color w:val="auto"/>
                <w:kern w:val="2"/>
                <w:sz w:val="24"/>
                <w:szCs w:val="24"/>
                <w:highlight w:val="none"/>
                <w:lang w:val="en-US" w:eastAsia="zh-CN" w:bidi="ar"/>
              </w:rPr>
              <w:t>进出工地的物料、渣土、垃圾运输车辆的防尘措施、运输路线和时间：进出工地的物料、渣土、垃圾运输车辆，应尽可能采用密闭车斗，并保证物料不遗撒外漏。若无密闭车斗，物料、垃圾、渣土的装载高度不得超过车辆槽帮上沿，车斗应用苫布遮盖严实。苫布边缘至少要遮住槽帮上沿以下</w:t>
            </w:r>
            <w:r>
              <w:rPr>
                <w:rFonts w:hint="default" w:ascii="Times New Roman" w:hAnsi="Times New Roman" w:eastAsia="宋体" w:cs="Times New Roman"/>
                <w:color w:val="auto"/>
                <w:kern w:val="2"/>
                <w:sz w:val="24"/>
                <w:szCs w:val="24"/>
                <w:highlight w:val="none"/>
                <w:lang w:val="en-US" w:eastAsia="zh-CN" w:bidi="ar"/>
              </w:rPr>
              <w:t>15cm</w:t>
            </w:r>
            <w:r>
              <w:rPr>
                <w:rFonts w:hint="eastAsia" w:ascii="宋体" w:hAnsi="宋体" w:eastAsia="宋体" w:cs="宋体"/>
                <w:color w:val="auto"/>
                <w:kern w:val="2"/>
                <w:sz w:val="24"/>
                <w:szCs w:val="24"/>
                <w:highlight w:val="none"/>
                <w:lang w:val="en-US" w:eastAsia="zh-CN" w:bidi="ar"/>
              </w:rPr>
              <w:t>，保证物料、渣土、垃圾等不露出。车辆应按照批准的路线和时间进行物料、渣土、垃圾的运输；</w:t>
            </w:r>
          </w:p>
          <w:p w14:paraId="4E1417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施工工地道路积尘清理措施，可采用吸尘或水冲洗的方法清洁施工工地道路积尘，不得在未实施洒水等抑尘措施情况下进行直接清扫。</w:t>
            </w:r>
            <w:r>
              <w:rPr>
                <w:rFonts w:hint="eastAsia" w:ascii="宋体" w:hAnsi="宋体" w:eastAsia="宋体" w:cs="宋体"/>
                <w:color w:val="auto"/>
                <w:kern w:val="0"/>
                <w:sz w:val="24"/>
                <w:szCs w:val="24"/>
                <w:highlight w:val="none"/>
                <w:lang w:val="en-US" w:eastAsia="zh-CN" w:bidi="ar"/>
              </w:rPr>
              <w:t>施工过程中，应禁止将废弃的建筑材料作为燃料燃烧</w:t>
            </w:r>
            <w:r>
              <w:rPr>
                <w:rFonts w:hint="eastAsia" w:ascii="宋体" w:hAnsi="宋体" w:eastAsia="宋体" w:cs="宋体"/>
                <w:color w:val="auto"/>
                <w:kern w:val="2"/>
                <w:sz w:val="24"/>
                <w:szCs w:val="24"/>
                <w:highlight w:val="none"/>
                <w:lang w:val="en-US" w:eastAsia="zh-CN" w:bidi="ar"/>
              </w:rPr>
              <w:t>；</w:t>
            </w:r>
          </w:p>
          <w:p w14:paraId="09CF3E9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6</w:t>
            </w:r>
            <w:r>
              <w:rPr>
                <w:rFonts w:hint="eastAsia" w:ascii="宋体" w:hAnsi="宋体" w:eastAsia="宋体" w:cs="宋体"/>
                <w:color w:val="auto"/>
                <w:kern w:val="2"/>
                <w:sz w:val="24"/>
                <w:szCs w:val="24"/>
                <w:highlight w:val="none"/>
                <w:lang w:val="en-US" w:eastAsia="zh-CN" w:bidi="ar"/>
              </w:rPr>
              <w:t>）对于工地内裸露地面，应采取下列防尘措施之一：</w:t>
            </w:r>
            <w:r>
              <w:rPr>
                <w:rFonts w:hint="default" w:ascii="Times New Roman" w:hAnsi="Times New Roman" w:eastAsia="宋体" w:cs="Times New Roman"/>
                <w:color w:val="auto"/>
                <w:kern w:val="2"/>
                <w:sz w:val="24"/>
                <w:szCs w:val="24"/>
                <w:highlight w:val="none"/>
                <w:lang w:val="en-US" w:eastAsia="zh-CN" w:bidi="ar"/>
              </w:rPr>
              <w:t>a</w:t>
            </w:r>
            <w:r>
              <w:rPr>
                <w:rFonts w:hint="eastAsia" w:ascii="宋体" w:hAnsi="宋体" w:eastAsia="宋体" w:cs="宋体"/>
                <w:color w:val="auto"/>
                <w:kern w:val="2"/>
                <w:sz w:val="24"/>
                <w:szCs w:val="24"/>
                <w:highlight w:val="none"/>
                <w:lang w:val="en-US" w:eastAsia="zh-CN" w:bidi="ar"/>
              </w:rPr>
              <w:t>）覆盖防尘布或防尘网；</w:t>
            </w:r>
            <w:r>
              <w:rPr>
                <w:rFonts w:hint="default" w:ascii="Times New Roman" w:hAnsi="Times New Roman" w:eastAsia="宋体" w:cs="Times New Roman"/>
                <w:color w:val="auto"/>
                <w:kern w:val="2"/>
                <w:sz w:val="24"/>
                <w:szCs w:val="24"/>
                <w:highlight w:val="none"/>
                <w:lang w:val="en-US" w:eastAsia="zh-CN" w:bidi="ar"/>
              </w:rPr>
              <w:t>b</w:t>
            </w:r>
            <w:r>
              <w:rPr>
                <w:rFonts w:hint="eastAsia" w:ascii="宋体" w:hAnsi="宋体" w:eastAsia="宋体" w:cs="宋体"/>
                <w:color w:val="auto"/>
                <w:kern w:val="2"/>
                <w:sz w:val="24"/>
                <w:szCs w:val="24"/>
                <w:highlight w:val="none"/>
                <w:lang w:val="en-US" w:eastAsia="zh-CN" w:bidi="ar"/>
              </w:rPr>
              <w:t>）做好绿化工作；</w:t>
            </w:r>
            <w:r>
              <w:rPr>
                <w:rFonts w:hint="default" w:ascii="Times New Roman" w:hAnsi="Times New Roman" w:eastAsia="宋体" w:cs="Times New Roman"/>
                <w:color w:val="auto"/>
                <w:kern w:val="2"/>
                <w:sz w:val="24"/>
                <w:szCs w:val="24"/>
                <w:highlight w:val="none"/>
                <w:lang w:val="en-US" w:eastAsia="zh-CN" w:bidi="ar"/>
              </w:rPr>
              <w:t>c</w:t>
            </w:r>
            <w:r>
              <w:rPr>
                <w:rFonts w:hint="eastAsia" w:ascii="宋体" w:hAnsi="宋体" w:eastAsia="宋体" w:cs="宋体"/>
                <w:color w:val="auto"/>
                <w:kern w:val="2"/>
                <w:sz w:val="24"/>
                <w:szCs w:val="24"/>
                <w:highlight w:val="none"/>
                <w:lang w:val="en-US" w:eastAsia="zh-CN" w:bidi="ar"/>
              </w:rPr>
              <w:t>）定时定量洒水；</w:t>
            </w:r>
            <w:r>
              <w:rPr>
                <w:rFonts w:hint="default" w:ascii="Times New Roman" w:hAnsi="Times New Roman" w:eastAsia="宋体" w:cs="Times New Roman"/>
                <w:color w:val="auto"/>
                <w:kern w:val="2"/>
                <w:sz w:val="24"/>
                <w:szCs w:val="24"/>
                <w:highlight w:val="none"/>
                <w:lang w:val="en-US" w:eastAsia="zh-CN" w:bidi="ar"/>
              </w:rPr>
              <w:t>d</w:t>
            </w:r>
            <w:r>
              <w:rPr>
                <w:rFonts w:hint="eastAsia" w:ascii="宋体" w:hAnsi="宋体" w:eastAsia="宋体" w:cs="宋体"/>
                <w:color w:val="auto"/>
                <w:kern w:val="2"/>
                <w:sz w:val="24"/>
                <w:szCs w:val="24"/>
                <w:highlight w:val="none"/>
                <w:lang w:val="en-US" w:eastAsia="zh-CN" w:bidi="ar"/>
              </w:rPr>
              <w:t>）其他有效的防尘措施；</w:t>
            </w:r>
          </w:p>
          <w:p w14:paraId="14A986D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7</w:t>
            </w:r>
            <w:r>
              <w:rPr>
                <w:rFonts w:hint="eastAsia" w:ascii="宋体" w:hAnsi="宋体" w:eastAsia="宋体" w:cs="宋体"/>
                <w:color w:val="auto"/>
                <w:kern w:val="2"/>
                <w:sz w:val="24"/>
                <w:szCs w:val="24"/>
                <w:highlight w:val="none"/>
                <w:lang w:val="en-US" w:eastAsia="zh-CN" w:bidi="ar"/>
              </w:rPr>
              <w:t>）工地应设专职人员负责扬尘控制措施的实施和监督。由专人负责逸散性材料、垃圾、渣土、裸地等密闭、覆盖、洒水作业以及车辆清洗作业等，并记录扬尘控制措施的实施情况；</w:t>
            </w:r>
          </w:p>
          <w:p w14:paraId="5D3BCBA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8</w:t>
            </w:r>
            <w:r>
              <w:rPr>
                <w:rFonts w:hint="eastAsia" w:ascii="宋体" w:hAnsi="宋体" w:eastAsia="宋体" w:cs="宋体"/>
                <w:color w:val="auto"/>
                <w:kern w:val="2"/>
                <w:sz w:val="24"/>
                <w:szCs w:val="24"/>
                <w:highlight w:val="none"/>
                <w:lang w:val="en-US" w:eastAsia="zh-CN" w:bidi="ar"/>
              </w:rPr>
              <w:t>）做好施工现场的清洁工作。施工后期采用机械清运，此时扬尘污染最重，应采取洒水抑尘措施，设置围挡，降低扬尘污染，防止扬尘污染附近水体；</w:t>
            </w:r>
          </w:p>
          <w:p w14:paraId="08D690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rightChars="0" w:firstLine="480" w:firstLineChars="200"/>
              <w:jc w:val="both"/>
              <w:textAlignment w:val="auto"/>
              <w:rPr>
                <w:rFonts w:hint="eastAsia" w:ascii="Times New Roman" w:hAnsi="Times New Roman" w:eastAsia="宋体" w:cs="Times New Roman"/>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val="en-US" w:eastAsia="zh-CN" w:bidi="ar"/>
              </w:rPr>
              <w:t>）施工期的临时堆场采用苫盖防护，并用编织袋装土压脚</w:t>
            </w:r>
            <w:r>
              <w:rPr>
                <w:rFonts w:hint="eastAsia" w:ascii="宋体" w:hAnsi="宋体" w:eastAsia="宋体" w:cs="宋体"/>
                <w:color w:val="auto"/>
                <w:kern w:val="2"/>
                <w:sz w:val="24"/>
                <w:szCs w:val="24"/>
                <w:highlight w:val="none"/>
                <w:lang w:val="en-US" w:eastAsia="zh-CN" w:bidi="ar"/>
              </w:rPr>
              <w:t>；</w:t>
            </w:r>
          </w:p>
          <w:p w14:paraId="0C4F406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10</w:t>
            </w:r>
            <w:r>
              <w:rPr>
                <w:rFonts w:hint="eastAsia" w:ascii="宋体" w:hAnsi="宋体" w:eastAsia="宋体" w:cs="宋体"/>
                <w:color w:val="auto"/>
                <w:kern w:val="2"/>
                <w:sz w:val="24"/>
                <w:szCs w:val="24"/>
                <w:highlight w:val="none"/>
                <w:lang w:val="en-US" w:eastAsia="zh-CN" w:bidi="ar"/>
              </w:rPr>
              <w:t>）</w:t>
            </w:r>
            <w:r>
              <w:rPr>
                <w:rFonts w:hint="default" w:ascii="宋体" w:hAnsi="宋体" w:eastAsia="宋体" w:cs="宋体"/>
                <w:color w:val="auto"/>
                <w:kern w:val="2"/>
                <w:sz w:val="24"/>
                <w:szCs w:val="24"/>
                <w:highlight w:val="none"/>
                <w:lang w:val="en-US" w:eastAsia="zh-CN" w:bidi="ar"/>
              </w:rPr>
              <w:t>运输车辆严禁超载运输，避免超过车载负荷而尾气排放量呈几何级数上升。</w:t>
            </w:r>
          </w:p>
          <w:p w14:paraId="27AC175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11</w:t>
            </w:r>
            <w:r>
              <w:rPr>
                <w:rFonts w:hint="eastAsia" w:ascii="宋体" w:hAnsi="宋体" w:eastAsia="宋体" w:cs="宋体"/>
                <w:color w:val="auto"/>
                <w:kern w:val="2"/>
                <w:sz w:val="24"/>
                <w:szCs w:val="24"/>
                <w:highlight w:val="none"/>
                <w:lang w:val="en-US" w:eastAsia="zh-CN" w:bidi="ar"/>
              </w:rPr>
              <w:t>）</w:t>
            </w:r>
            <w:r>
              <w:rPr>
                <w:rFonts w:hint="default" w:ascii="宋体" w:hAnsi="宋体" w:eastAsia="宋体" w:cs="宋体"/>
                <w:color w:val="auto"/>
                <w:kern w:val="2"/>
                <w:sz w:val="24"/>
                <w:szCs w:val="24"/>
                <w:highlight w:val="none"/>
                <w:lang w:val="en-US" w:eastAsia="zh-CN" w:bidi="ar"/>
              </w:rPr>
              <w:t>运输车辆和施工机械要及时进行保养，保证其正常运行，避免因机械保养不当而导致的尾气排放量增大，对于排放量严重超标的机械应禁止使用。</w:t>
            </w:r>
          </w:p>
          <w:p w14:paraId="5BE9AE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color w:val="auto"/>
                <w:lang w:val="en-US" w:eastAsia="zh-CN"/>
              </w:rPr>
            </w:pPr>
            <w:r>
              <w:rPr>
                <w:rFonts w:hint="eastAsia" w:ascii="Times New Roman" w:hAnsi="Times New Roman" w:eastAsia="宋体" w:cs="Times New Roman"/>
                <w:color w:val="auto"/>
                <w:kern w:val="2"/>
                <w:sz w:val="24"/>
                <w:szCs w:val="24"/>
                <w:highlight w:val="none"/>
                <w:lang w:val="en-US" w:eastAsia="zh-CN" w:bidi="ar"/>
              </w:rPr>
              <w:t>（12）</w:t>
            </w:r>
            <w:r>
              <w:rPr>
                <w:rFonts w:hint="default" w:ascii="Times New Roman" w:hAnsi="Times New Roman" w:eastAsia="宋体" w:cs="Times New Roman"/>
                <w:color w:val="auto"/>
                <w:kern w:val="2"/>
                <w:sz w:val="24"/>
                <w:szCs w:val="24"/>
                <w:highlight w:val="none"/>
                <w:lang w:val="en-US" w:eastAsia="zh-CN" w:bidi="ar"/>
              </w:rPr>
              <w:t>施</w:t>
            </w:r>
            <w:r>
              <w:rPr>
                <w:rFonts w:hint="default" w:ascii="宋体" w:hAnsi="宋体" w:eastAsia="宋体" w:cs="宋体"/>
                <w:color w:val="auto"/>
                <w:kern w:val="2"/>
                <w:sz w:val="24"/>
                <w:szCs w:val="24"/>
                <w:highlight w:val="none"/>
                <w:lang w:val="en-US" w:eastAsia="zh-CN" w:bidi="ar"/>
              </w:rPr>
              <w:t>工单位必须选用符合国家卫生防护标准的施工机械设备和运输工具，确保其废气排放符合国家有关标准。</w:t>
            </w:r>
          </w:p>
          <w:p w14:paraId="3E962C45">
            <w:pPr>
              <w:pStyle w:val="34"/>
              <w:keepNext/>
              <w:keepLines/>
              <w:widowControl w:val="0"/>
              <w:suppressLineNumbers w:val="0"/>
              <w:tabs>
                <w:tab w:val="left" w:pos="360"/>
                <w:tab w:val="left" w:pos="900"/>
              </w:tabs>
              <w:spacing w:before="0" w:beforeAutospacing="0" w:after="0" w:afterAutospacing="0" w:line="360" w:lineRule="auto"/>
              <w:ind w:left="0" w:right="0"/>
              <w:outlineLvl w:val="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2、施工期废水</w:t>
            </w:r>
            <w:r>
              <w:rPr>
                <w:rFonts w:hint="eastAsia" w:ascii="Times New Roman" w:hAnsi="Times New Roman" w:cs="Times New Roman"/>
                <w:b/>
                <w:bCs/>
                <w:color w:val="auto"/>
                <w:highlight w:val="none"/>
                <w:lang w:val="en-US" w:eastAsia="zh-CN"/>
              </w:rPr>
              <w:t>影响</w:t>
            </w:r>
            <w:r>
              <w:rPr>
                <w:rFonts w:hint="default" w:ascii="Times New Roman" w:hAnsi="Times New Roman" w:eastAsia="宋体" w:cs="Times New Roman"/>
                <w:b/>
                <w:bCs/>
                <w:color w:val="auto"/>
                <w:highlight w:val="none"/>
              </w:rPr>
              <w:t>及环保措施</w:t>
            </w:r>
          </w:p>
          <w:p w14:paraId="1BA2AE04">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施工期主要废水为施工人员生活污水、施工场地废水等，为防止水环境污染，必须采取相应的控制措施：</w:t>
            </w:r>
          </w:p>
          <w:p w14:paraId="59E68420">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1</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施工人员生活污水</w:t>
            </w:r>
          </w:p>
          <w:p w14:paraId="29536FD8">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jc w:val="both"/>
              <w:outlineLvl w:val="2"/>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施工期施工人员</w:t>
            </w:r>
            <w:r>
              <w:rPr>
                <w:rFonts w:hint="eastAsia" w:ascii="Times New Roman" w:hAnsi="Times New Roman" w:cs="Times New Roman"/>
                <w:color w:val="auto"/>
                <w:highlight w:val="none"/>
                <w:lang w:val="en-US" w:eastAsia="zh-CN"/>
              </w:rPr>
              <w:t>不在项目区内居住，仅施工时</w:t>
            </w:r>
            <w:r>
              <w:rPr>
                <w:rFonts w:hint="default" w:ascii="Times New Roman" w:hAnsi="Times New Roman" w:eastAsia="宋体" w:cs="Times New Roman"/>
                <w:color w:val="auto"/>
                <w:highlight w:val="none"/>
              </w:rPr>
              <w:t>产生</w:t>
            </w:r>
            <w:r>
              <w:rPr>
                <w:rFonts w:hint="eastAsia" w:ascii="Times New Roman" w:hAnsi="Times New Roman" w:cs="Times New Roman"/>
                <w:color w:val="auto"/>
                <w:highlight w:val="none"/>
                <w:lang w:val="en-US" w:eastAsia="zh-CN"/>
              </w:rPr>
              <w:t>少量</w:t>
            </w:r>
            <w:r>
              <w:rPr>
                <w:rFonts w:hint="default" w:ascii="Times New Roman" w:hAnsi="Times New Roman" w:eastAsia="宋体" w:cs="Times New Roman"/>
                <w:color w:val="auto"/>
                <w:highlight w:val="none"/>
              </w:rPr>
              <w:t>的生活污水，成分相对简单，数量小</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环评建议施工期优先建设化粪池，用于收集施工期产生的生活污水，定期吸污拉运至天北经济技术开发区污水处理厂</w:t>
            </w:r>
            <w:r>
              <w:rPr>
                <w:rFonts w:hint="eastAsia" w:ascii="Times New Roman" w:hAnsi="Times New Roman" w:eastAsia="宋体" w:cs="Times New Roman"/>
                <w:color w:val="auto"/>
                <w:highlight w:val="none"/>
                <w:lang w:val="en-US" w:eastAsia="zh-CN"/>
              </w:rPr>
              <w:t>处理</w:t>
            </w:r>
            <w:r>
              <w:rPr>
                <w:rFonts w:hint="default" w:ascii="Times New Roman" w:hAnsi="Times New Roman" w:eastAsia="宋体" w:cs="Times New Roman"/>
                <w:color w:val="auto"/>
                <w:highlight w:val="none"/>
              </w:rPr>
              <w:t>，施工过程严禁将废水</w:t>
            </w:r>
            <w:r>
              <w:rPr>
                <w:rFonts w:hint="eastAsia" w:ascii="Times New Roman" w:hAnsi="Times New Roman" w:cs="Times New Roman"/>
                <w:color w:val="auto"/>
                <w:highlight w:val="none"/>
                <w:lang w:val="en-US" w:eastAsia="zh-CN"/>
              </w:rPr>
              <w:t>随意</w:t>
            </w:r>
            <w:r>
              <w:rPr>
                <w:rFonts w:hint="eastAsia" w:ascii="Times New Roman" w:hAnsi="Times New Roman" w:eastAsia="宋体" w:cs="Times New Roman"/>
                <w:color w:val="auto"/>
                <w:highlight w:val="none"/>
                <w:lang w:val="en-US" w:eastAsia="zh-CN"/>
              </w:rPr>
              <w:t>泼洒</w:t>
            </w:r>
            <w:r>
              <w:rPr>
                <w:rFonts w:hint="default" w:ascii="Times New Roman" w:hAnsi="Times New Roman" w:eastAsia="宋体" w:cs="Times New Roman"/>
                <w:color w:val="auto"/>
                <w:highlight w:val="none"/>
              </w:rPr>
              <w:t>，施工单位必须加强对施工人员的管理、教育及宣传培训。</w:t>
            </w:r>
          </w:p>
          <w:p w14:paraId="40D757B9">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2</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施工场地废水</w:t>
            </w:r>
          </w:p>
          <w:p w14:paraId="230B5075">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施工期间产生的生产废水主要是</w:t>
            </w:r>
            <w:r>
              <w:rPr>
                <w:rFonts w:hint="eastAsia" w:ascii="Times New Roman" w:hAnsi="Times New Roman" w:cs="Times New Roman"/>
                <w:color w:val="auto"/>
                <w:highlight w:val="none"/>
                <w:lang w:val="en-US" w:eastAsia="zh-CN"/>
              </w:rPr>
              <w:t>含有悬浮物的冲洗</w:t>
            </w:r>
            <w:r>
              <w:rPr>
                <w:rFonts w:hint="default" w:ascii="Times New Roman" w:hAnsi="Times New Roman" w:eastAsia="宋体" w:cs="Times New Roman"/>
                <w:color w:val="auto"/>
                <w:highlight w:val="none"/>
              </w:rPr>
              <w:t>废水</w:t>
            </w:r>
            <w:r>
              <w:rPr>
                <w:rFonts w:hint="eastAsia" w:ascii="Times New Roman" w:hAnsi="Times New Roman" w:cs="Times New Roman"/>
                <w:color w:val="auto"/>
                <w:highlight w:val="none"/>
                <w:lang w:eastAsia="zh-CN"/>
              </w:rPr>
              <w:t>。</w:t>
            </w:r>
          </w:p>
          <w:p w14:paraId="7C9CEE43">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施工机械清洗、建材清洗产生废水和施工材料、建筑垃圾和废弃渣土管理防护不当，在雨天时被雨水冲刷形成地表径流污染收纳水体，主要污染物为泥沙、SS和石油类。由于此部分废水量跟现场施工状况等诸多因素有关，难以估算，故不做定量分析。施工时应在施工场地合理设置沉淀池，使泥沙自然沉淀，使石油类污染物被泥沙吸附降解。沉淀后的废水可重复使用或喷洒临时路面，以减少扬尘。施工废水成分相对比较简单，主要是SS</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据类比调查一般为1000mg/L</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因此必须严禁未经任何处理将水排放，同时做好建筑材料和建筑废料的管理。</w:t>
            </w:r>
          </w:p>
          <w:p w14:paraId="41297D58">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施工期废水随着施工期的结束而停止排放，且本项目施工期产生的废水处理处置方式合理，处理后废水排放去向明确，不会对周围环境产生明显不利影响，措施可行。</w:t>
            </w:r>
          </w:p>
          <w:p w14:paraId="5BD3F93A">
            <w:pPr>
              <w:pStyle w:val="34"/>
              <w:keepNext/>
              <w:keepLines/>
              <w:widowControl w:val="0"/>
              <w:suppressLineNumbers w:val="0"/>
              <w:tabs>
                <w:tab w:val="left" w:pos="360"/>
                <w:tab w:val="left" w:pos="900"/>
              </w:tabs>
              <w:spacing w:before="0" w:beforeAutospacing="0" w:after="0" w:afterAutospacing="0" w:line="360" w:lineRule="auto"/>
              <w:ind w:left="0" w:right="0"/>
              <w:outlineLvl w:val="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3、施工期噪声影响及环保措施</w:t>
            </w:r>
          </w:p>
          <w:p w14:paraId="5A1A814D">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default" w:ascii="Times New Roman" w:hAnsi="Times New Roman" w:eastAsia="宋体" w:cs="Times New Roman"/>
                <w:color w:val="auto"/>
              </w:rPr>
              <w:t>施工期间噪声污染分为机械噪声、施工作业噪声及施工车辆噪声。</w:t>
            </w:r>
          </w:p>
          <w:p w14:paraId="6CC0B201">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default" w:ascii="Times New Roman" w:hAnsi="Times New Roman" w:eastAsia="宋体" w:cs="Times New Roman"/>
                <w:color w:val="auto"/>
              </w:rPr>
              <w:t>机械噪声主要由施工机械所造成，如挖土机、升降机等，多为点源；施工作业噪声主要指一些零星的敲打声、装卸车辆的撞击声、拆装模板时的撞击声等，多为瞬间噪声；施工车辆的噪声属于交通噪声。在这些施工噪声中对声环境影响最大的是机械噪声及基础开挖土方时的交通噪声。</w:t>
            </w:r>
          </w:p>
          <w:p w14:paraId="1B38BAFB">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textAlignment w:val="auto"/>
              <w:rPr>
                <w:rFonts w:hint="eastAsia"/>
                <w:color w:val="auto"/>
                <w:sz w:val="24"/>
                <w:highlight w:val="none"/>
              </w:rPr>
            </w:pPr>
            <w:r>
              <w:rPr>
                <w:rFonts w:hint="eastAsia"/>
                <w:color w:val="auto"/>
                <w:sz w:val="24"/>
                <w:highlight w:val="none"/>
              </w:rPr>
              <w:t>本项目施工设备在作业期间所产生的噪声值见表4-</w:t>
            </w:r>
            <w:r>
              <w:rPr>
                <w:rFonts w:hint="eastAsia"/>
                <w:color w:val="auto"/>
                <w:sz w:val="24"/>
                <w:highlight w:val="none"/>
                <w:lang w:val="en-US" w:eastAsia="zh-CN"/>
              </w:rPr>
              <w:t>2</w:t>
            </w:r>
            <w:r>
              <w:rPr>
                <w:rFonts w:hint="eastAsia"/>
                <w:color w:val="auto"/>
                <w:sz w:val="24"/>
                <w:highlight w:val="none"/>
              </w:rPr>
              <w:t>。</w:t>
            </w:r>
          </w:p>
          <w:p w14:paraId="7D24EE3B">
            <w:pPr>
              <w:pStyle w:val="50"/>
              <w:keepNext w:val="0"/>
              <w:keepLines w:val="0"/>
              <w:suppressLineNumbers w:val="0"/>
              <w:tabs>
                <w:tab w:val="left" w:pos="0"/>
                <w:tab w:val="clear" w:pos="360"/>
                <w:tab w:val="clear" w:pos="1620"/>
              </w:tabs>
              <w:spacing w:before="0" w:beforeAutospacing="0" w:after="0" w:afterAutospacing="0" w:line="240" w:lineRule="auto"/>
              <w:ind w:left="0" w:right="0"/>
              <w:jc w:val="center"/>
              <w:rPr>
                <w:rFonts w:hint="default" w:ascii="Times New Roman" w:eastAsia="宋体"/>
                <w:b/>
                <w:bCs/>
                <w:color w:val="auto"/>
                <w:sz w:val="21"/>
                <w:szCs w:val="21"/>
                <w:highlight w:val="none"/>
              </w:rPr>
            </w:pPr>
            <w:r>
              <w:rPr>
                <w:rFonts w:hint="eastAsia" w:ascii="Times New Roman" w:eastAsia="宋体"/>
                <w:b/>
                <w:bCs/>
                <w:color w:val="auto"/>
                <w:sz w:val="21"/>
                <w:szCs w:val="21"/>
                <w:highlight w:val="none"/>
              </w:rPr>
              <w:t>表4-</w:t>
            </w:r>
            <w:r>
              <w:rPr>
                <w:rFonts w:hint="eastAsia"/>
                <w:b/>
                <w:bCs/>
                <w:color w:val="auto"/>
                <w:sz w:val="21"/>
                <w:szCs w:val="21"/>
                <w:highlight w:val="none"/>
                <w:lang w:val="en-US" w:eastAsia="zh-CN"/>
              </w:rPr>
              <w:t>2</w:t>
            </w:r>
            <w:r>
              <w:rPr>
                <w:rFonts w:hint="eastAsia" w:ascii="Times New Roman" w:eastAsia="宋体"/>
                <w:b/>
                <w:bCs/>
                <w:color w:val="auto"/>
                <w:sz w:val="21"/>
                <w:szCs w:val="21"/>
                <w:highlight w:val="none"/>
                <w:lang w:val="en-US" w:eastAsia="zh-CN"/>
              </w:rPr>
              <w:t xml:space="preserve">  </w:t>
            </w:r>
            <w:r>
              <w:rPr>
                <w:rFonts w:hint="default" w:ascii="Times New Roman" w:eastAsia="宋体"/>
                <w:b/>
                <w:bCs/>
                <w:color w:val="auto"/>
                <w:sz w:val="21"/>
                <w:szCs w:val="21"/>
                <w:highlight w:val="none"/>
              </w:rPr>
              <w:t>各种机械设备的噪声值</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175"/>
              <w:gridCol w:w="4450"/>
            </w:tblGrid>
            <w:tr w14:paraId="04FD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7" w:type="pct"/>
                  <w:tcBorders>
                    <w:tl2br w:val="nil"/>
                    <w:tr2bl w:val="nil"/>
                  </w:tcBorders>
                  <w:noWrap w:val="0"/>
                  <w:vAlign w:val="center"/>
                </w:tcPr>
                <w:p w14:paraId="0EB546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b/>
                      <w:bCs/>
                      <w:color w:val="auto"/>
                      <w:sz w:val="21"/>
                      <w:szCs w:val="21"/>
                      <w:highlight w:val="none"/>
                    </w:rPr>
                  </w:pPr>
                  <w:r>
                    <w:rPr>
                      <w:rFonts w:hint="default" w:hAnsi="宋体"/>
                      <w:b/>
                      <w:bCs/>
                      <w:color w:val="auto"/>
                      <w:sz w:val="21"/>
                      <w:szCs w:val="21"/>
                      <w:highlight w:val="none"/>
                    </w:rPr>
                    <w:t>序号</w:t>
                  </w:r>
                </w:p>
              </w:tc>
              <w:tc>
                <w:tcPr>
                  <w:tcW w:w="1330" w:type="pct"/>
                  <w:tcBorders>
                    <w:tl2br w:val="nil"/>
                    <w:tr2bl w:val="nil"/>
                  </w:tcBorders>
                  <w:noWrap w:val="0"/>
                  <w:vAlign w:val="center"/>
                </w:tcPr>
                <w:p w14:paraId="18902B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b/>
                      <w:bCs/>
                      <w:color w:val="auto"/>
                      <w:sz w:val="21"/>
                      <w:szCs w:val="21"/>
                      <w:highlight w:val="none"/>
                    </w:rPr>
                  </w:pPr>
                  <w:r>
                    <w:rPr>
                      <w:rFonts w:hint="default" w:hAnsi="宋体"/>
                      <w:b/>
                      <w:bCs/>
                      <w:color w:val="auto"/>
                      <w:sz w:val="21"/>
                      <w:szCs w:val="21"/>
                      <w:highlight w:val="none"/>
                    </w:rPr>
                    <w:t>机械类型</w:t>
                  </w:r>
                </w:p>
              </w:tc>
              <w:tc>
                <w:tcPr>
                  <w:tcW w:w="2722" w:type="pct"/>
                  <w:tcBorders>
                    <w:tl2br w:val="nil"/>
                    <w:tr2bl w:val="nil"/>
                  </w:tcBorders>
                  <w:noWrap w:val="0"/>
                  <w:vAlign w:val="center"/>
                </w:tcPr>
                <w:p w14:paraId="00668C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eastAsia="宋体"/>
                      <w:b/>
                      <w:bCs/>
                      <w:color w:val="auto"/>
                      <w:sz w:val="21"/>
                      <w:szCs w:val="21"/>
                      <w:highlight w:val="none"/>
                      <w:lang w:eastAsia="zh-CN"/>
                    </w:rPr>
                  </w:pPr>
                  <w:r>
                    <w:rPr>
                      <w:rFonts w:hint="default" w:hAnsi="宋体"/>
                      <w:b/>
                      <w:bCs/>
                      <w:color w:val="auto"/>
                      <w:sz w:val="21"/>
                      <w:szCs w:val="21"/>
                      <w:highlight w:val="none"/>
                    </w:rPr>
                    <w:t>噪声值dB</w:t>
                  </w:r>
                  <w:r>
                    <w:rPr>
                      <w:rFonts w:hint="eastAsia" w:hAnsi="宋体"/>
                      <w:b/>
                      <w:bCs/>
                      <w:color w:val="auto"/>
                      <w:sz w:val="21"/>
                      <w:szCs w:val="21"/>
                      <w:highlight w:val="none"/>
                      <w:lang w:eastAsia="zh-CN"/>
                    </w:rPr>
                    <w:t>（</w:t>
                  </w:r>
                  <w:r>
                    <w:rPr>
                      <w:rFonts w:hint="default" w:hAnsi="宋体"/>
                      <w:b/>
                      <w:bCs/>
                      <w:color w:val="auto"/>
                      <w:sz w:val="21"/>
                      <w:szCs w:val="21"/>
                      <w:highlight w:val="none"/>
                    </w:rPr>
                    <w:t>A</w:t>
                  </w:r>
                  <w:r>
                    <w:rPr>
                      <w:rFonts w:hint="eastAsia" w:hAnsi="宋体"/>
                      <w:b/>
                      <w:bCs/>
                      <w:color w:val="auto"/>
                      <w:sz w:val="21"/>
                      <w:szCs w:val="21"/>
                      <w:highlight w:val="none"/>
                      <w:lang w:eastAsia="zh-CN"/>
                    </w:rPr>
                    <w:t>）</w:t>
                  </w:r>
                </w:p>
              </w:tc>
            </w:tr>
            <w:tr w14:paraId="02D3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7" w:type="pct"/>
                  <w:tcBorders>
                    <w:tl2br w:val="nil"/>
                    <w:tr2bl w:val="nil"/>
                  </w:tcBorders>
                  <w:noWrap w:val="0"/>
                  <w:vAlign w:val="center"/>
                </w:tcPr>
                <w:p w14:paraId="6F4DB5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default" w:hAnsi="宋体"/>
                      <w:color w:val="auto"/>
                      <w:sz w:val="21"/>
                      <w:szCs w:val="21"/>
                      <w:highlight w:val="none"/>
                    </w:rPr>
                    <w:t>1</w:t>
                  </w:r>
                </w:p>
              </w:tc>
              <w:tc>
                <w:tcPr>
                  <w:tcW w:w="1330" w:type="pct"/>
                  <w:tcBorders>
                    <w:tl2br w:val="nil"/>
                    <w:tr2bl w:val="nil"/>
                  </w:tcBorders>
                  <w:noWrap w:val="0"/>
                  <w:vAlign w:val="center"/>
                </w:tcPr>
                <w:p w14:paraId="0B7C8779">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eastAsia="宋体"/>
                      <w:color w:val="auto"/>
                      <w:sz w:val="21"/>
                      <w:szCs w:val="21"/>
                      <w:highlight w:val="none"/>
                      <w:lang w:val="en-US" w:eastAsia="zh-CN"/>
                    </w:rPr>
                  </w:pPr>
                  <w:r>
                    <w:rPr>
                      <w:rFonts w:hint="eastAsia" w:hAnsi="宋体"/>
                      <w:color w:val="auto"/>
                      <w:sz w:val="21"/>
                      <w:szCs w:val="21"/>
                      <w:highlight w:val="none"/>
                      <w:lang w:val="en-US" w:eastAsia="zh-CN"/>
                    </w:rPr>
                    <w:t>挖掘机</w:t>
                  </w:r>
                </w:p>
              </w:tc>
              <w:tc>
                <w:tcPr>
                  <w:tcW w:w="2722" w:type="pct"/>
                  <w:tcBorders>
                    <w:tl2br w:val="nil"/>
                    <w:tr2bl w:val="nil"/>
                  </w:tcBorders>
                  <w:noWrap w:val="0"/>
                  <w:vAlign w:val="center"/>
                </w:tcPr>
                <w:p w14:paraId="149136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87</w:t>
                  </w:r>
                </w:p>
              </w:tc>
            </w:tr>
            <w:tr w14:paraId="0419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7" w:type="pct"/>
                  <w:tcBorders>
                    <w:tl2br w:val="nil"/>
                    <w:tr2bl w:val="nil"/>
                  </w:tcBorders>
                  <w:noWrap w:val="0"/>
                  <w:vAlign w:val="center"/>
                </w:tcPr>
                <w:p w14:paraId="76EDBA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default" w:hAnsi="宋体"/>
                      <w:color w:val="auto"/>
                      <w:sz w:val="21"/>
                      <w:szCs w:val="21"/>
                      <w:highlight w:val="none"/>
                    </w:rPr>
                    <w:t>2</w:t>
                  </w:r>
                </w:p>
              </w:tc>
              <w:tc>
                <w:tcPr>
                  <w:tcW w:w="1330" w:type="pct"/>
                  <w:tcBorders>
                    <w:tl2br w:val="nil"/>
                    <w:tr2bl w:val="nil"/>
                  </w:tcBorders>
                  <w:noWrap w:val="0"/>
                  <w:vAlign w:val="center"/>
                </w:tcPr>
                <w:p w14:paraId="22289A32">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eastAsia="宋体"/>
                      <w:color w:val="auto"/>
                      <w:sz w:val="21"/>
                      <w:szCs w:val="21"/>
                      <w:highlight w:val="none"/>
                      <w:lang w:val="en-US" w:eastAsia="zh-CN"/>
                    </w:rPr>
                  </w:pPr>
                  <w:r>
                    <w:rPr>
                      <w:rFonts w:hint="eastAsia" w:hAnsi="宋体"/>
                      <w:color w:val="auto"/>
                      <w:sz w:val="21"/>
                      <w:szCs w:val="21"/>
                      <w:highlight w:val="none"/>
                      <w:lang w:val="en-US" w:eastAsia="zh-CN"/>
                    </w:rPr>
                    <w:t>装载机</w:t>
                  </w:r>
                </w:p>
              </w:tc>
              <w:tc>
                <w:tcPr>
                  <w:tcW w:w="2722" w:type="pct"/>
                  <w:tcBorders>
                    <w:tl2br w:val="nil"/>
                    <w:tr2bl w:val="nil"/>
                  </w:tcBorders>
                  <w:noWrap w:val="0"/>
                  <w:vAlign w:val="center"/>
                </w:tcPr>
                <w:p w14:paraId="5363FC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86</w:t>
                  </w:r>
                </w:p>
              </w:tc>
            </w:tr>
            <w:tr w14:paraId="7E05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7" w:type="pct"/>
                  <w:tcBorders>
                    <w:tl2br w:val="nil"/>
                    <w:tr2bl w:val="nil"/>
                  </w:tcBorders>
                  <w:noWrap w:val="0"/>
                  <w:vAlign w:val="center"/>
                </w:tcPr>
                <w:p w14:paraId="7ECBAC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default" w:hAnsi="宋体"/>
                      <w:color w:val="auto"/>
                      <w:sz w:val="21"/>
                      <w:szCs w:val="21"/>
                      <w:highlight w:val="none"/>
                    </w:rPr>
                    <w:t>3</w:t>
                  </w:r>
                </w:p>
              </w:tc>
              <w:tc>
                <w:tcPr>
                  <w:tcW w:w="1330" w:type="pct"/>
                  <w:tcBorders>
                    <w:tl2br w:val="nil"/>
                    <w:tr2bl w:val="nil"/>
                  </w:tcBorders>
                  <w:noWrap w:val="0"/>
                  <w:vAlign w:val="center"/>
                </w:tcPr>
                <w:p w14:paraId="629097ED">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kern w:val="2"/>
                      <w:sz w:val="21"/>
                      <w:szCs w:val="21"/>
                      <w:highlight w:val="none"/>
                      <w:lang w:val="en-US" w:eastAsia="zh-CN" w:bidi="ar-SA"/>
                    </w:rPr>
                  </w:pPr>
                  <w:r>
                    <w:rPr>
                      <w:rFonts w:hint="eastAsia" w:hAnsi="宋体"/>
                      <w:color w:val="auto"/>
                      <w:kern w:val="2"/>
                      <w:sz w:val="21"/>
                      <w:szCs w:val="21"/>
                      <w:highlight w:val="none"/>
                      <w:lang w:val="en-US" w:eastAsia="zh-CN" w:bidi="ar-SA"/>
                    </w:rPr>
                    <w:t>推土机</w:t>
                  </w:r>
                </w:p>
              </w:tc>
              <w:tc>
                <w:tcPr>
                  <w:tcW w:w="2722" w:type="pct"/>
                  <w:tcBorders>
                    <w:tl2br w:val="nil"/>
                    <w:tr2bl w:val="nil"/>
                  </w:tcBorders>
                  <w:noWrap w:val="0"/>
                  <w:vAlign w:val="center"/>
                </w:tcPr>
                <w:p w14:paraId="5D97EF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kern w:val="2"/>
                      <w:sz w:val="21"/>
                      <w:szCs w:val="21"/>
                      <w:highlight w:val="none"/>
                      <w:lang w:val="en-US" w:eastAsia="zh-CN" w:bidi="ar-SA"/>
                    </w:rPr>
                  </w:pPr>
                  <w:r>
                    <w:rPr>
                      <w:rFonts w:hint="eastAsia" w:hAnsi="宋体"/>
                      <w:color w:val="auto"/>
                      <w:kern w:val="2"/>
                      <w:sz w:val="21"/>
                      <w:szCs w:val="21"/>
                      <w:highlight w:val="none"/>
                      <w:lang w:val="en-US" w:eastAsia="zh-CN" w:bidi="ar-SA"/>
                    </w:rPr>
                    <w:t>80</w:t>
                  </w:r>
                </w:p>
              </w:tc>
            </w:tr>
            <w:tr w14:paraId="45F6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7" w:type="pct"/>
                  <w:tcBorders>
                    <w:tl2br w:val="nil"/>
                    <w:tr2bl w:val="nil"/>
                  </w:tcBorders>
                  <w:noWrap w:val="0"/>
                  <w:vAlign w:val="center"/>
                </w:tcPr>
                <w:p w14:paraId="0C2EC9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default" w:hAnsi="宋体"/>
                      <w:color w:val="auto"/>
                      <w:sz w:val="21"/>
                      <w:szCs w:val="21"/>
                      <w:highlight w:val="none"/>
                    </w:rPr>
                    <w:t>4</w:t>
                  </w:r>
                </w:p>
              </w:tc>
              <w:tc>
                <w:tcPr>
                  <w:tcW w:w="1330" w:type="pct"/>
                  <w:tcBorders>
                    <w:tl2br w:val="nil"/>
                    <w:tr2bl w:val="nil"/>
                  </w:tcBorders>
                  <w:noWrap w:val="0"/>
                  <w:vAlign w:val="center"/>
                </w:tcPr>
                <w:p w14:paraId="50B4CD92">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Cs/>
                      <w:color w:val="auto"/>
                      <w:kern w:val="2"/>
                      <w:sz w:val="21"/>
                      <w:szCs w:val="21"/>
                      <w:highlight w:val="none"/>
                      <w:lang w:val="en-US" w:eastAsia="zh-CN" w:bidi="ar-SA"/>
                    </w:rPr>
                  </w:pPr>
                  <w:r>
                    <w:rPr>
                      <w:rFonts w:hint="eastAsia"/>
                      <w:bCs/>
                      <w:color w:val="auto"/>
                      <w:kern w:val="2"/>
                      <w:sz w:val="21"/>
                      <w:szCs w:val="21"/>
                      <w:highlight w:val="none"/>
                      <w:lang w:val="en-US" w:eastAsia="zh-CN" w:bidi="ar-SA"/>
                    </w:rPr>
                    <w:t>电焊机</w:t>
                  </w:r>
                </w:p>
              </w:tc>
              <w:tc>
                <w:tcPr>
                  <w:tcW w:w="2722" w:type="pct"/>
                  <w:tcBorders>
                    <w:tl2br w:val="nil"/>
                    <w:tr2bl w:val="nil"/>
                  </w:tcBorders>
                  <w:noWrap w:val="0"/>
                  <w:vAlign w:val="center"/>
                </w:tcPr>
                <w:p w14:paraId="2DBA9B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kern w:val="2"/>
                      <w:sz w:val="21"/>
                      <w:szCs w:val="21"/>
                      <w:highlight w:val="none"/>
                      <w:lang w:val="en-US" w:eastAsia="zh-CN" w:bidi="ar-SA"/>
                    </w:rPr>
                  </w:pPr>
                  <w:r>
                    <w:rPr>
                      <w:rFonts w:hint="eastAsia" w:hAnsi="宋体" w:eastAsia="宋体"/>
                      <w:color w:val="auto"/>
                      <w:kern w:val="2"/>
                      <w:sz w:val="21"/>
                      <w:szCs w:val="21"/>
                      <w:highlight w:val="none"/>
                      <w:lang w:val="en-US" w:eastAsia="zh-CN" w:bidi="ar-SA"/>
                    </w:rPr>
                    <w:t>90</w:t>
                  </w:r>
                </w:p>
              </w:tc>
            </w:tr>
            <w:tr w14:paraId="1EBE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7" w:type="pct"/>
                  <w:tcBorders>
                    <w:tl2br w:val="nil"/>
                    <w:tr2bl w:val="nil"/>
                  </w:tcBorders>
                  <w:noWrap w:val="0"/>
                  <w:vAlign w:val="center"/>
                </w:tcPr>
                <w:p w14:paraId="0EC4FE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eastAsia="宋体"/>
                      <w:color w:val="auto"/>
                      <w:sz w:val="21"/>
                      <w:szCs w:val="21"/>
                      <w:highlight w:val="none"/>
                      <w:lang w:val="en-US" w:eastAsia="zh-CN"/>
                    </w:rPr>
                  </w:pPr>
                  <w:r>
                    <w:rPr>
                      <w:rFonts w:hint="eastAsia" w:hAnsi="宋体"/>
                      <w:color w:val="auto"/>
                      <w:sz w:val="21"/>
                      <w:szCs w:val="21"/>
                      <w:highlight w:val="none"/>
                      <w:lang w:val="en-US" w:eastAsia="zh-CN"/>
                    </w:rPr>
                    <w:t>5</w:t>
                  </w:r>
                </w:p>
              </w:tc>
              <w:tc>
                <w:tcPr>
                  <w:tcW w:w="1330" w:type="pct"/>
                  <w:tcBorders>
                    <w:tl2br w:val="nil"/>
                    <w:tr2bl w:val="nil"/>
                  </w:tcBorders>
                  <w:noWrap w:val="0"/>
                  <w:vAlign w:val="center"/>
                </w:tcPr>
                <w:p w14:paraId="46E5D30B">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bCs/>
                      <w:color w:val="auto"/>
                      <w:sz w:val="21"/>
                      <w:szCs w:val="21"/>
                      <w:highlight w:val="none"/>
                      <w:lang w:val="en-US" w:eastAsia="zh-CN"/>
                    </w:rPr>
                  </w:pPr>
                  <w:r>
                    <w:rPr>
                      <w:rFonts w:hint="eastAsia"/>
                      <w:bCs/>
                      <w:color w:val="auto"/>
                      <w:sz w:val="21"/>
                      <w:szCs w:val="21"/>
                      <w:highlight w:val="none"/>
                      <w:lang w:val="en-US" w:eastAsia="zh-CN"/>
                    </w:rPr>
                    <w:t>搅拌站</w:t>
                  </w:r>
                </w:p>
              </w:tc>
              <w:tc>
                <w:tcPr>
                  <w:tcW w:w="2722" w:type="pct"/>
                  <w:tcBorders>
                    <w:tl2br w:val="nil"/>
                    <w:tr2bl w:val="nil"/>
                  </w:tcBorders>
                  <w:noWrap w:val="0"/>
                  <w:vAlign w:val="center"/>
                </w:tcPr>
                <w:p w14:paraId="3F6C99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85</w:t>
                  </w:r>
                </w:p>
              </w:tc>
            </w:tr>
          </w:tbl>
          <w:p w14:paraId="5A6973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hAnsi="宋体"/>
                <w:color w:val="auto"/>
                <w:sz w:val="24"/>
                <w:highlight w:val="none"/>
              </w:rPr>
            </w:pPr>
            <w:r>
              <w:rPr>
                <w:rFonts w:hint="default" w:hAnsi="宋体"/>
                <w:color w:val="auto"/>
                <w:sz w:val="24"/>
                <w:highlight w:val="none"/>
              </w:rPr>
              <w:t>采用《建筑施工场界</w:t>
            </w:r>
            <w:r>
              <w:rPr>
                <w:rFonts w:hint="eastAsia" w:hAnsi="宋体"/>
                <w:color w:val="auto"/>
                <w:sz w:val="24"/>
                <w:highlight w:val="none"/>
              </w:rPr>
              <w:t>环境</w:t>
            </w:r>
            <w:r>
              <w:rPr>
                <w:rFonts w:hint="default" w:hAnsi="宋体"/>
                <w:color w:val="auto"/>
                <w:sz w:val="24"/>
                <w:highlight w:val="none"/>
              </w:rPr>
              <w:t>噪声</w:t>
            </w:r>
            <w:r>
              <w:rPr>
                <w:rFonts w:hint="eastAsia" w:hAnsi="宋体"/>
                <w:color w:val="auto"/>
                <w:sz w:val="24"/>
                <w:highlight w:val="none"/>
              </w:rPr>
              <w:t>排放标准</w:t>
            </w:r>
            <w:r>
              <w:rPr>
                <w:rFonts w:hint="default" w:hAnsi="宋体"/>
                <w:color w:val="auto"/>
                <w:sz w:val="24"/>
                <w:highlight w:val="none"/>
              </w:rPr>
              <w:t>》</w:t>
            </w:r>
            <w:r>
              <w:rPr>
                <w:rFonts w:hint="eastAsia" w:hAnsi="宋体"/>
                <w:color w:val="auto"/>
                <w:sz w:val="24"/>
                <w:highlight w:val="none"/>
                <w:lang w:eastAsia="zh-CN"/>
              </w:rPr>
              <w:t>（</w:t>
            </w:r>
            <w:r>
              <w:rPr>
                <w:rFonts w:hint="default"/>
                <w:color w:val="auto"/>
                <w:sz w:val="24"/>
                <w:highlight w:val="none"/>
              </w:rPr>
              <w:t>GB</w:t>
            </w:r>
            <w:r>
              <w:rPr>
                <w:rFonts w:hint="eastAsia"/>
                <w:color w:val="auto"/>
                <w:sz w:val="24"/>
                <w:highlight w:val="none"/>
                <w:lang w:val="en-US" w:eastAsia="zh-CN"/>
              </w:rPr>
              <w:t xml:space="preserve"> </w:t>
            </w:r>
            <w:r>
              <w:rPr>
                <w:rFonts w:hint="default"/>
                <w:color w:val="auto"/>
                <w:sz w:val="24"/>
                <w:highlight w:val="none"/>
              </w:rPr>
              <w:t>12523</w:t>
            </w:r>
            <w:r>
              <w:rPr>
                <w:rFonts w:hint="eastAsia"/>
                <w:color w:val="auto"/>
                <w:sz w:val="24"/>
                <w:highlight w:val="none"/>
                <w:lang w:val="en-US" w:eastAsia="zh-CN"/>
              </w:rPr>
              <w:t>-</w:t>
            </w:r>
            <w:r>
              <w:rPr>
                <w:rFonts w:hint="eastAsia"/>
                <w:color w:val="auto"/>
                <w:sz w:val="24"/>
                <w:highlight w:val="none"/>
              </w:rPr>
              <w:t>2011</w:t>
            </w:r>
            <w:r>
              <w:rPr>
                <w:rFonts w:hint="eastAsia" w:hAnsi="宋体"/>
                <w:color w:val="auto"/>
                <w:sz w:val="24"/>
                <w:highlight w:val="none"/>
                <w:lang w:eastAsia="zh-CN"/>
              </w:rPr>
              <w:t>）</w:t>
            </w:r>
            <w:r>
              <w:rPr>
                <w:rFonts w:hint="default" w:hAnsi="宋体"/>
                <w:color w:val="auto"/>
                <w:sz w:val="24"/>
                <w:highlight w:val="none"/>
              </w:rPr>
              <w:t>作为噪声评价标准，见表</w:t>
            </w:r>
            <w:r>
              <w:rPr>
                <w:rFonts w:hint="eastAsia" w:hAnsi="宋体"/>
                <w:color w:val="auto"/>
                <w:sz w:val="24"/>
                <w:highlight w:val="none"/>
              </w:rPr>
              <w:t>4-</w:t>
            </w:r>
            <w:r>
              <w:rPr>
                <w:rFonts w:hint="eastAsia" w:hAnsi="宋体"/>
                <w:color w:val="auto"/>
                <w:sz w:val="24"/>
                <w:highlight w:val="none"/>
                <w:lang w:val="en-US" w:eastAsia="zh-CN"/>
              </w:rPr>
              <w:t>3</w:t>
            </w:r>
            <w:r>
              <w:rPr>
                <w:rFonts w:hint="default" w:hAnsi="宋体"/>
                <w:color w:val="auto"/>
                <w:sz w:val="24"/>
                <w:highlight w:val="none"/>
              </w:rPr>
              <w:t>。</w:t>
            </w:r>
          </w:p>
          <w:p w14:paraId="15B1AB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eastAsia"/>
                <w:b/>
                <w:color w:val="auto"/>
                <w:sz w:val="21"/>
                <w:szCs w:val="21"/>
                <w:highlight w:val="none"/>
              </w:rPr>
            </w:pPr>
            <w:r>
              <w:rPr>
                <w:rFonts w:hint="eastAsia"/>
                <w:b/>
                <w:color w:val="auto"/>
                <w:sz w:val="21"/>
                <w:szCs w:val="21"/>
                <w:highlight w:val="none"/>
              </w:rPr>
              <w:t>表4-</w:t>
            </w:r>
            <w:r>
              <w:rPr>
                <w:rFonts w:hint="eastAsia"/>
                <w:b/>
                <w:color w:val="auto"/>
                <w:sz w:val="21"/>
                <w:szCs w:val="21"/>
                <w:highlight w:val="none"/>
                <w:lang w:val="en-US" w:eastAsia="zh-CN"/>
              </w:rPr>
              <w:t xml:space="preserve">3  </w:t>
            </w:r>
            <w:r>
              <w:rPr>
                <w:rFonts w:hint="eastAsia"/>
                <w:b/>
                <w:color w:val="auto"/>
                <w:sz w:val="21"/>
                <w:szCs w:val="21"/>
                <w:highlight w:val="none"/>
              </w:rPr>
              <w:t>建筑施工场界噪声限值</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1"/>
              <w:gridCol w:w="4485"/>
            </w:tblGrid>
            <w:tr w14:paraId="2252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2"/>
                  <w:tcBorders>
                    <w:tl2br w:val="nil"/>
                    <w:tr2bl w:val="nil"/>
                  </w:tcBorders>
                  <w:noWrap w:val="0"/>
                  <w:vAlign w:val="center"/>
                </w:tcPr>
                <w:p w14:paraId="0DD954B6">
                  <w:pPr>
                    <w:keepNext w:val="0"/>
                    <w:keepLines w:val="0"/>
                    <w:pageBreakBefore w:val="0"/>
                    <w:widowControl w:val="0"/>
                    <w:suppressLineNumbers w:val="0"/>
                    <w:tabs>
                      <w:tab w:val="left" w:pos="6720"/>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b/>
                      <w:color w:val="auto"/>
                      <w:sz w:val="21"/>
                      <w:szCs w:val="21"/>
                      <w:highlight w:val="none"/>
                      <w:lang w:eastAsia="zh-CN"/>
                    </w:rPr>
                  </w:pPr>
                  <w:r>
                    <w:rPr>
                      <w:rFonts w:hint="eastAsia"/>
                      <w:b/>
                      <w:color w:val="auto"/>
                      <w:sz w:val="21"/>
                      <w:szCs w:val="21"/>
                      <w:highlight w:val="none"/>
                    </w:rPr>
                    <w:t>噪声值</w:t>
                  </w:r>
                  <w:r>
                    <w:rPr>
                      <w:rFonts w:hint="default"/>
                      <w:b/>
                      <w:color w:val="auto"/>
                      <w:sz w:val="21"/>
                      <w:szCs w:val="21"/>
                      <w:highlight w:val="none"/>
                    </w:rPr>
                    <w:t>dB</w:t>
                  </w:r>
                  <w:r>
                    <w:rPr>
                      <w:rFonts w:hint="eastAsia"/>
                      <w:b/>
                      <w:color w:val="auto"/>
                      <w:sz w:val="21"/>
                      <w:szCs w:val="21"/>
                      <w:highlight w:val="none"/>
                      <w:lang w:eastAsia="zh-CN"/>
                    </w:rPr>
                    <w:t>（</w:t>
                  </w:r>
                  <w:r>
                    <w:rPr>
                      <w:rFonts w:hint="default"/>
                      <w:b/>
                      <w:color w:val="auto"/>
                      <w:sz w:val="21"/>
                      <w:szCs w:val="21"/>
                      <w:highlight w:val="none"/>
                    </w:rPr>
                    <w:t>A</w:t>
                  </w:r>
                  <w:r>
                    <w:rPr>
                      <w:rFonts w:hint="eastAsia"/>
                      <w:b/>
                      <w:color w:val="auto"/>
                      <w:sz w:val="21"/>
                      <w:szCs w:val="21"/>
                      <w:highlight w:val="none"/>
                      <w:lang w:eastAsia="zh-CN"/>
                    </w:rPr>
                    <w:t>）</w:t>
                  </w:r>
                </w:p>
              </w:tc>
            </w:tr>
            <w:tr w14:paraId="7667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57" w:type="pct"/>
                  <w:tcBorders>
                    <w:tl2br w:val="nil"/>
                    <w:tr2bl w:val="nil"/>
                  </w:tcBorders>
                  <w:noWrap w:val="0"/>
                  <w:vAlign w:val="center"/>
                </w:tcPr>
                <w:p w14:paraId="154AA236">
                  <w:pPr>
                    <w:keepNext w:val="0"/>
                    <w:keepLines w:val="0"/>
                    <w:pageBreakBefore w:val="0"/>
                    <w:widowControl w:val="0"/>
                    <w:suppressLineNumbers w:val="0"/>
                    <w:tabs>
                      <w:tab w:val="left" w:pos="6720"/>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b/>
                      <w:color w:val="auto"/>
                      <w:sz w:val="21"/>
                      <w:szCs w:val="21"/>
                      <w:highlight w:val="none"/>
                    </w:rPr>
                  </w:pPr>
                  <w:r>
                    <w:rPr>
                      <w:rFonts w:hint="eastAsia"/>
                      <w:b/>
                      <w:color w:val="auto"/>
                      <w:sz w:val="21"/>
                      <w:szCs w:val="21"/>
                      <w:highlight w:val="none"/>
                    </w:rPr>
                    <w:t>昼间</w:t>
                  </w:r>
                </w:p>
              </w:tc>
              <w:tc>
                <w:tcPr>
                  <w:tcW w:w="2742" w:type="pct"/>
                  <w:tcBorders>
                    <w:tl2br w:val="nil"/>
                    <w:tr2bl w:val="nil"/>
                  </w:tcBorders>
                  <w:noWrap w:val="0"/>
                  <w:vAlign w:val="center"/>
                </w:tcPr>
                <w:p w14:paraId="6D9026E8">
                  <w:pPr>
                    <w:keepNext w:val="0"/>
                    <w:keepLines w:val="0"/>
                    <w:pageBreakBefore w:val="0"/>
                    <w:widowControl w:val="0"/>
                    <w:suppressLineNumbers w:val="0"/>
                    <w:tabs>
                      <w:tab w:val="left" w:pos="6720"/>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b/>
                      <w:color w:val="auto"/>
                      <w:sz w:val="21"/>
                      <w:szCs w:val="21"/>
                      <w:highlight w:val="none"/>
                    </w:rPr>
                  </w:pPr>
                  <w:r>
                    <w:rPr>
                      <w:rFonts w:hint="eastAsia"/>
                      <w:b/>
                      <w:color w:val="auto"/>
                      <w:sz w:val="21"/>
                      <w:szCs w:val="21"/>
                      <w:highlight w:val="none"/>
                    </w:rPr>
                    <w:t>夜间</w:t>
                  </w:r>
                </w:p>
              </w:tc>
            </w:tr>
            <w:tr w14:paraId="14B4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57" w:type="pct"/>
                  <w:tcBorders>
                    <w:tl2br w:val="nil"/>
                    <w:tr2bl w:val="nil"/>
                  </w:tcBorders>
                  <w:noWrap w:val="0"/>
                  <w:vAlign w:val="center"/>
                </w:tcPr>
                <w:p w14:paraId="0AB5342C">
                  <w:pPr>
                    <w:keepNext w:val="0"/>
                    <w:keepLines w:val="0"/>
                    <w:pageBreakBefore w:val="0"/>
                    <w:widowControl w:val="0"/>
                    <w:suppressLineNumbers w:val="0"/>
                    <w:tabs>
                      <w:tab w:val="left" w:pos="6720"/>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70</w:t>
                  </w:r>
                </w:p>
              </w:tc>
              <w:tc>
                <w:tcPr>
                  <w:tcW w:w="2742" w:type="pct"/>
                  <w:tcBorders>
                    <w:tl2br w:val="nil"/>
                    <w:tr2bl w:val="nil"/>
                  </w:tcBorders>
                  <w:noWrap w:val="0"/>
                  <w:vAlign w:val="center"/>
                </w:tcPr>
                <w:p w14:paraId="2D574877">
                  <w:pPr>
                    <w:keepNext w:val="0"/>
                    <w:keepLines w:val="0"/>
                    <w:pageBreakBefore w:val="0"/>
                    <w:widowControl w:val="0"/>
                    <w:suppressLineNumbers w:val="0"/>
                    <w:tabs>
                      <w:tab w:val="left" w:pos="6720"/>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color w:val="auto"/>
                      <w:sz w:val="21"/>
                      <w:szCs w:val="21"/>
                      <w:highlight w:val="none"/>
                    </w:rPr>
                  </w:pPr>
                  <w:r>
                    <w:rPr>
                      <w:rFonts w:hint="eastAsia"/>
                      <w:color w:val="auto"/>
                      <w:sz w:val="21"/>
                      <w:szCs w:val="21"/>
                      <w:highlight w:val="none"/>
                    </w:rPr>
                    <w:t>55</w:t>
                  </w:r>
                </w:p>
              </w:tc>
            </w:tr>
          </w:tbl>
          <w:p w14:paraId="43EF04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highlight w:val="none"/>
              </w:rPr>
            </w:pPr>
            <w:r>
              <w:rPr>
                <w:rFonts w:hint="eastAsia"/>
                <w:color w:val="auto"/>
                <w:sz w:val="24"/>
                <w:highlight w:val="none"/>
              </w:rPr>
              <w:t>施工期噪声主要来自施工机械产生的固定声源，其源强在70-90dB</w:t>
            </w:r>
            <w:r>
              <w:rPr>
                <w:rFonts w:hint="eastAsia"/>
                <w:color w:val="auto"/>
                <w:sz w:val="24"/>
                <w:highlight w:val="none"/>
                <w:lang w:eastAsia="zh-CN"/>
              </w:rPr>
              <w:t>（</w:t>
            </w:r>
            <w:r>
              <w:rPr>
                <w:rFonts w:hint="eastAsia"/>
                <w:color w:val="auto"/>
                <w:sz w:val="24"/>
                <w:highlight w:val="none"/>
              </w:rPr>
              <w:t>A</w:t>
            </w:r>
            <w:r>
              <w:rPr>
                <w:rFonts w:hint="eastAsia"/>
                <w:color w:val="auto"/>
                <w:sz w:val="24"/>
                <w:highlight w:val="none"/>
                <w:lang w:eastAsia="zh-CN"/>
              </w:rPr>
              <w:t>）</w:t>
            </w:r>
            <w:r>
              <w:rPr>
                <w:rFonts w:hint="eastAsia"/>
                <w:color w:val="auto"/>
                <w:sz w:val="24"/>
                <w:highlight w:val="none"/>
              </w:rPr>
              <w:t>之间，为准确判断施工噪声对周围环境的影响，本次评价将施工机械近似为点声源，其衰减模式如下：</w:t>
            </w:r>
          </w:p>
          <w:p w14:paraId="44FA31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eastAsia" w:eastAsia="宋体"/>
                <w:color w:val="auto"/>
                <w:sz w:val="24"/>
                <w:highlight w:val="none"/>
                <w:lang w:eastAsia="zh-CN"/>
              </w:rPr>
            </w:pPr>
            <w:r>
              <w:rPr>
                <w:rFonts w:hint="eastAsia"/>
                <w:color w:val="auto"/>
                <w:sz w:val="24"/>
                <w:highlight w:val="none"/>
              </w:rPr>
              <w:t>L</w:t>
            </w:r>
            <w:r>
              <w:rPr>
                <w:rFonts w:hint="eastAsia"/>
                <w:color w:val="auto"/>
                <w:sz w:val="24"/>
                <w:highlight w:val="none"/>
                <w:lang w:eastAsia="zh-CN"/>
              </w:rPr>
              <w:t>（</w:t>
            </w:r>
            <w:r>
              <w:rPr>
                <w:rFonts w:hint="eastAsia"/>
                <w:color w:val="auto"/>
                <w:sz w:val="24"/>
                <w:highlight w:val="none"/>
              </w:rPr>
              <w:t>r</w:t>
            </w:r>
            <w:r>
              <w:rPr>
                <w:rFonts w:hint="eastAsia"/>
                <w:color w:val="auto"/>
                <w:sz w:val="24"/>
                <w:highlight w:val="none"/>
                <w:lang w:eastAsia="zh-CN"/>
              </w:rPr>
              <w:t>）</w:t>
            </w:r>
            <w:r>
              <w:rPr>
                <w:rFonts w:hint="eastAsia"/>
                <w:color w:val="auto"/>
                <w:sz w:val="24"/>
                <w:highlight w:val="none"/>
              </w:rPr>
              <w:t>=L</w:t>
            </w:r>
            <w:r>
              <w:rPr>
                <w:rFonts w:hint="eastAsia"/>
                <w:color w:val="auto"/>
                <w:sz w:val="24"/>
                <w:highlight w:val="none"/>
                <w:lang w:eastAsia="zh-CN"/>
              </w:rPr>
              <w:t>（</w:t>
            </w:r>
            <w:r>
              <w:rPr>
                <w:rFonts w:hint="eastAsia"/>
                <w:color w:val="auto"/>
                <w:sz w:val="24"/>
                <w:highlight w:val="none"/>
              </w:rPr>
              <w:t>r</w:t>
            </w:r>
            <w:r>
              <w:rPr>
                <w:rFonts w:hint="eastAsia"/>
                <w:color w:val="auto"/>
                <w:sz w:val="24"/>
                <w:highlight w:val="none"/>
                <w:vertAlign w:val="subscript"/>
              </w:rPr>
              <w:t>0</w:t>
            </w:r>
            <w:r>
              <w:rPr>
                <w:rFonts w:hint="eastAsia"/>
                <w:color w:val="auto"/>
                <w:sz w:val="24"/>
                <w:highlight w:val="none"/>
                <w:lang w:eastAsia="zh-CN"/>
              </w:rPr>
              <w:t>）</w:t>
            </w:r>
            <w:r>
              <w:rPr>
                <w:rFonts w:hint="eastAsia"/>
                <w:color w:val="auto"/>
                <w:sz w:val="24"/>
                <w:highlight w:val="none"/>
              </w:rPr>
              <w:t>-20lg</w:t>
            </w:r>
            <w:r>
              <w:rPr>
                <w:rFonts w:hint="eastAsia"/>
                <w:color w:val="auto"/>
                <w:sz w:val="24"/>
                <w:highlight w:val="none"/>
                <w:lang w:eastAsia="zh-CN"/>
              </w:rPr>
              <w:t>（</w:t>
            </w:r>
            <w:r>
              <w:rPr>
                <w:rFonts w:hint="eastAsia"/>
                <w:color w:val="auto"/>
                <w:sz w:val="24"/>
                <w:highlight w:val="none"/>
              </w:rPr>
              <w:t>r/r</w:t>
            </w:r>
            <w:r>
              <w:rPr>
                <w:rFonts w:hint="eastAsia"/>
                <w:color w:val="auto"/>
                <w:sz w:val="24"/>
                <w:highlight w:val="none"/>
                <w:vertAlign w:val="subscript"/>
              </w:rPr>
              <w:t>0</w:t>
            </w:r>
            <w:r>
              <w:rPr>
                <w:rFonts w:hint="eastAsia"/>
                <w:color w:val="auto"/>
                <w:sz w:val="24"/>
                <w:highlight w:val="none"/>
                <w:lang w:eastAsia="zh-CN"/>
              </w:rPr>
              <w:t>）</w:t>
            </w:r>
          </w:p>
          <w:p w14:paraId="26DFB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eastAsia="宋体"/>
                <w:color w:val="auto"/>
                <w:sz w:val="24"/>
                <w:highlight w:val="none"/>
                <w:lang w:eastAsia="zh-CN"/>
              </w:rPr>
            </w:pPr>
            <w:r>
              <w:rPr>
                <w:rFonts w:hint="eastAsia"/>
                <w:color w:val="auto"/>
                <w:sz w:val="24"/>
                <w:highlight w:val="none"/>
              </w:rPr>
              <w:t>式中：L</w:t>
            </w:r>
            <w:r>
              <w:rPr>
                <w:rFonts w:hint="eastAsia"/>
                <w:color w:val="auto"/>
                <w:sz w:val="24"/>
                <w:highlight w:val="none"/>
                <w:lang w:eastAsia="zh-CN"/>
              </w:rPr>
              <w:t>（</w:t>
            </w:r>
            <w:r>
              <w:rPr>
                <w:rFonts w:hint="eastAsia"/>
                <w:color w:val="auto"/>
                <w:sz w:val="24"/>
                <w:highlight w:val="none"/>
              </w:rPr>
              <w:t>r</w:t>
            </w:r>
            <w:r>
              <w:rPr>
                <w:rFonts w:hint="eastAsia"/>
                <w:color w:val="auto"/>
                <w:sz w:val="24"/>
                <w:highlight w:val="none"/>
                <w:lang w:eastAsia="zh-CN"/>
              </w:rPr>
              <w:t>）</w:t>
            </w:r>
            <w:r>
              <w:rPr>
                <w:rFonts w:hint="eastAsia"/>
                <w:color w:val="auto"/>
                <w:sz w:val="24"/>
                <w:highlight w:val="none"/>
              </w:rPr>
              <w:t>——距声源r米处的噪声预测值，dB</w:t>
            </w:r>
            <w:r>
              <w:rPr>
                <w:rFonts w:hint="eastAsia"/>
                <w:color w:val="auto"/>
                <w:sz w:val="24"/>
                <w:highlight w:val="none"/>
                <w:lang w:eastAsia="zh-CN"/>
              </w:rPr>
              <w:t>（</w:t>
            </w:r>
            <w:r>
              <w:rPr>
                <w:rFonts w:hint="eastAsia"/>
                <w:color w:val="auto"/>
                <w:sz w:val="24"/>
                <w:highlight w:val="none"/>
              </w:rPr>
              <w:t>A</w:t>
            </w:r>
            <w:r>
              <w:rPr>
                <w:rFonts w:hint="eastAsia"/>
                <w:color w:val="auto"/>
                <w:sz w:val="24"/>
                <w:highlight w:val="none"/>
                <w:lang w:eastAsia="zh-CN"/>
              </w:rPr>
              <w:t>）</w:t>
            </w:r>
          </w:p>
          <w:p w14:paraId="3C9616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textAlignment w:val="auto"/>
              <w:rPr>
                <w:rFonts w:hint="eastAsia" w:eastAsia="宋体"/>
                <w:color w:val="auto"/>
                <w:sz w:val="24"/>
                <w:highlight w:val="none"/>
                <w:lang w:eastAsia="zh-CN"/>
              </w:rPr>
            </w:pPr>
            <w:r>
              <w:rPr>
                <w:rFonts w:hint="eastAsia"/>
                <w:color w:val="auto"/>
                <w:sz w:val="24"/>
                <w:highlight w:val="none"/>
              </w:rPr>
              <w:t>L</w:t>
            </w:r>
            <w:r>
              <w:rPr>
                <w:rFonts w:hint="eastAsia"/>
                <w:color w:val="auto"/>
                <w:sz w:val="24"/>
                <w:highlight w:val="none"/>
                <w:lang w:eastAsia="zh-CN"/>
              </w:rPr>
              <w:t>（</w:t>
            </w:r>
            <w:r>
              <w:rPr>
                <w:rFonts w:hint="eastAsia"/>
                <w:color w:val="auto"/>
                <w:sz w:val="24"/>
                <w:highlight w:val="none"/>
              </w:rPr>
              <w:t>r</w:t>
            </w:r>
            <w:r>
              <w:rPr>
                <w:rFonts w:hint="eastAsia"/>
                <w:color w:val="auto"/>
                <w:sz w:val="24"/>
                <w:highlight w:val="none"/>
                <w:vertAlign w:val="subscript"/>
              </w:rPr>
              <w:t>0</w:t>
            </w:r>
            <w:r>
              <w:rPr>
                <w:rFonts w:hint="eastAsia"/>
                <w:color w:val="auto"/>
                <w:sz w:val="24"/>
                <w:highlight w:val="none"/>
                <w:lang w:eastAsia="zh-CN"/>
              </w:rPr>
              <w:t>）</w:t>
            </w:r>
            <w:r>
              <w:rPr>
                <w:rFonts w:hint="eastAsia"/>
                <w:color w:val="auto"/>
                <w:sz w:val="24"/>
                <w:highlight w:val="none"/>
              </w:rPr>
              <w:t>——距声源r</w:t>
            </w:r>
            <w:r>
              <w:rPr>
                <w:rFonts w:hint="eastAsia"/>
                <w:color w:val="auto"/>
                <w:sz w:val="24"/>
                <w:highlight w:val="none"/>
                <w:vertAlign w:val="subscript"/>
              </w:rPr>
              <w:t>0</w:t>
            </w:r>
            <w:r>
              <w:rPr>
                <w:rFonts w:hint="eastAsia"/>
                <w:color w:val="auto"/>
                <w:sz w:val="24"/>
                <w:highlight w:val="none"/>
              </w:rPr>
              <w:t>米处的参考声级，dB</w:t>
            </w:r>
            <w:r>
              <w:rPr>
                <w:rFonts w:hint="eastAsia"/>
                <w:color w:val="auto"/>
                <w:sz w:val="24"/>
                <w:highlight w:val="none"/>
                <w:lang w:eastAsia="zh-CN"/>
              </w:rPr>
              <w:t>（</w:t>
            </w:r>
            <w:r>
              <w:rPr>
                <w:rFonts w:hint="eastAsia"/>
                <w:color w:val="auto"/>
                <w:sz w:val="24"/>
                <w:highlight w:val="none"/>
              </w:rPr>
              <w:t>A</w:t>
            </w:r>
            <w:r>
              <w:rPr>
                <w:rFonts w:hint="eastAsia"/>
                <w:color w:val="auto"/>
                <w:sz w:val="24"/>
                <w:highlight w:val="none"/>
                <w:lang w:eastAsia="zh-CN"/>
              </w:rPr>
              <w:t>）</w:t>
            </w:r>
          </w:p>
          <w:p w14:paraId="333A96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textAlignment w:val="auto"/>
              <w:rPr>
                <w:rFonts w:hint="eastAsia"/>
                <w:color w:val="auto"/>
                <w:sz w:val="24"/>
                <w:highlight w:val="none"/>
              </w:rPr>
            </w:pPr>
            <w:r>
              <w:rPr>
                <w:rFonts w:hint="eastAsia"/>
                <w:color w:val="auto"/>
                <w:sz w:val="24"/>
                <w:highlight w:val="none"/>
              </w:rPr>
              <w:t>r</w:t>
            </w:r>
            <w:r>
              <w:rPr>
                <w:rFonts w:hint="eastAsia"/>
                <w:color w:val="auto"/>
                <w:sz w:val="24"/>
                <w:highlight w:val="none"/>
                <w:vertAlign w:val="subscript"/>
              </w:rPr>
              <w:t>0</w:t>
            </w:r>
            <w:r>
              <w:rPr>
                <w:rFonts w:hint="eastAsia"/>
                <w:color w:val="auto"/>
                <w:sz w:val="24"/>
                <w:highlight w:val="none"/>
              </w:rPr>
              <w:t>——L</w:t>
            </w:r>
            <w:r>
              <w:rPr>
                <w:rFonts w:hint="eastAsia"/>
                <w:color w:val="auto"/>
                <w:sz w:val="24"/>
                <w:highlight w:val="none"/>
                <w:lang w:eastAsia="zh-CN"/>
              </w:rPr>
              <w:t>（</w:t>
            </w:r>
            <w:r>
              <w:rPr>
                <w:rFonts w:hint="eastAsia"/>
                <w:color w:val="auto"/>
                <w:sz w:val="24"/>
                <w:highlight w:val="none"/>
              </w:rPr>
              <w:t>r</w:t>
            </w:r>
            <w:r>
              <w:rPr>
                <w:rFonts w:hint="eastAsia"/>
                <w:color w:val="auto"/>
                <w:sz w:val="24"/>
                <w:highlight w:val="none"/>
                <w:vertAlign w:val="subscript"/>
              </w:rPr>
              <w:t>0</w:t>
            </w:r>
            <w:r>
              <w:rPr>
                <w:rFonts w:hint="eastAsia"/>
                <w:color w:val="auto"/>
                <w:sz w:val="24"/>
                <w:highlight w:val="none"/>
                <w:lang w:eastAsia="zh-CN"/>
              </w:rPr>
              <w:t>）</w:t>
            </w:r>
            <w:r>
              <w:rPr>
                <w:rFonts w:hint="eastAsia"/>
                <w:color w:val="auto"/>
                <w:sz w:val="24"/>
                <w:highlight w:val="none"/>
              </w:rPr>
              <w:t>噪声的测点距离，米</w:t>
            </w:r>
          </w:p>
          <w:p w14:paraId="14CFE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eastAsia="宋体"/>
                <w:color w:val="auto"/>
                <w:sz w:val="21"/>
                <w:szCs w:val="21"/>
                <w:highlight w:val="none"/>
              </w:rPr>
            </w:pPr>
            <w:r>
              <w:rPr>
                <w:rFonts w:hint="eastAsia"/>
                <w:color w:val="auto"/>
                <w:sz w:val="24"/>
                <w:highlight w:val="none"/>
              </w:rPr>
              <w:t>本次评价按照</w:t>
            </w:r>
            <w:r>
              <w:rPr>
                <w:rFonts w:hint="eastAsia"/>
                <w:color w:val="auto"/>
                <w:sz w:val="24"/>
                <w:highlight w:val="none"/>
                <w:lang w:val="en-US" w:eastAsia="zh-CN"/>
              </w:rPr>
              <w:t>各机械产生噪声强度</w:t>
            </w:r>
            <w:r>
              <w:rPr>
                <w:rFonts w:hint="eastAsia"/>
                <w:color w:val="auto"/>
                <w:sz w:val="24"/>
                <w:highlight w:val="none"/>
              </w:rPr>
              <w:t>计算施工噪声影响范围，预测出噪声随距离衰减的结果见表4-</w:t>
            </w:r>
            <w:r>
              <w:rPr>
                <w:rFonts w:hint="eastAsia"/>
                <w:color w:val="auto"/>
                <w:sz w:val="24"/>
                <w:highlight w:val="none"/>
                <w:lang w:val="en-US" w:eastAsia="zh-CN"/>
              </w:rPr>
              <w:t>4</w:t>
            </w:r>
            <w:r>
              <w:rPr>
                <w:rFonts w:hint="eastAsia"/>
                <w:color w:val="auto"/>
                <w:sz w:val="24"/>
                <w:highlight w:val="none"/>
              </w:rPr>
              <w:t>。</w:t>
            </w:r>
          </w:p>
          <w:p w14:paraId="546A529E">
            <w:pPr>
              <w:pStyle w:val="50"/>
              <w:keepNext w:val="0"/>
              <w:keepLines w:val="0"/>
              <w:pageBreakBefore w:val="0"/>
              <w:widowControl w:val="0"/>
              <w:suppressLineNumbers w:val="0"/>
              <w:tabs>
                <w:tab w:val="left" w:pos="0"/>
                <w:tab w:val="clear" w:pos="360"/>
                <w:tab w:val="clear" w:pos="1620"/>
              </w:tabs>
              <w:kinsoku/>
              <w:wordWrap/>
              <w:overflowPunct/>
              <w:topLinePunct w:val="0"/>
              <w:autoSpaceDE/>
              <w:autoSpaceDN/>
              <w:bidi w:val="0"/>
              <w:adjustRightInd/>
              <w:snapToGrid w:val="0"/>
              <w:spacing w:before="0" w:beforeAutospacing="0" w:after="0" w:afterAutospacing="0" w:line="240" w:lineRule="auto"/>
              <w:ind w:left="420" w:leftChars="200" w:right="0" w:firstLine="0" w:firstLineChars="0"/>
              <w:jc w:val="center"/>
              <w:textAlignment w:val="auto"/>
              <w:rPr>
                <w:rFonts w:hint="eastAsia" w:ascii="Times New Roman" w:eastAsia="宋体"/>
                <w:b/>
                <w:bCs/>
                <w:color w:val="auto"/>
                <w:sz w:val="21"/>
                <w:szCs w:val="21"/>
                <w:highlight w:val="none"/>
                <w:lang w:eastAsia="zh-CN"/>
              </w:rPr>
            </w:pPr>
            <w:r>
              <w:rPr>
                <w:rFonts w:hint="eastAsia" w:ascii="Times New Roman" w:eastAsia="宋体"/>
                <w:b/>
                <w:bCs/>
                <w:color w:val="auto"/>
                <w:sz w:val="21"/>
                <w:szCs w:val="21"/>
                <w:highlight w:val="none"/>
              </w:rPr>
              <w:t>表4-</w:t>
            </w:r>
            <w:r>
              <w:rPr>
                <w:rFonts w:hint="eastAsia"/>
                <w:b/>
                <w:bCs/>
                <w:color w:val="auto"/>
                <w:sz w:val="21"/>
                <w:szCs w:val="21"/>
                <w:highlight w:val="none"/>
                <w:lang w:val="en-US" w:eastAsia="zh-CN"/>
              </w:rPr>
              <w:t>4</w:t>
            </w:r>
            <w:r>
              <w:rPr>
                <w:rFonts w:hint="eastAsia" w:ascii="Times New Roman" w:eastAsia="宋体"/>
                <w:b/>
                <w:bCs/>
                <w:color w:val="auto"/>
                <w:sz w:val="21"/>
                <w:szCs w:val="21"/>
                <w:highlight w:val="none"/>
                <w:lang w:val="en-US" w:eastAsia="zh-CN"/>
              </w:rPr>
              <w:t xml:space="preserve">  </w:t>
            </w:r>
            <w:r>
              <w:rPr>
                <w:rFonts w:hint="default" w:ascii="Times New Roman" w:eastAsia="宋体"/>
                <w:b/>
                <w:bCs/>
                <w:color w:val="auto"/>
                <w:sz w:val="21"/>
                <w:szCs w:val="21"/>
                <w:highlight w:val="none"/>
              </w:rPr>
              <w:t>机械设备</w:t>
            </w:r>
            <w:r>
              <w:rPr>
                <w:rFonts w:hint="eastAsia" w:ascii="Times New Roman" w:eastAsia="宋体"/>
                <w:b/>
                <w:bCs/>
                <w:color w:val="auto"/>
                <w:sz w:val="21"/>
                <w:szCs w:val="21"/>
                <w:highlight w:val="none"/>
              </w:rPr>
              <w:t>在不同距离处的</w:t>
            </w:r>
            <w:r>
              <w:rPr>
                <w:rFonts w:hint="default" w:ascii="Times New Roman" w:eastAsia="宋体"/>
                <w:b/>
                <w:bCs/>
                <w:color w:val="auto"/>
                <w:sz w:val="21"/>
                <w:szCs w:val="21"/>
                <w:highlight w:val="none"/>
              </w:rPr>
              <w:t>噪声</w:t>
            </w:r>
            <w:r>
              <w:rPr>
                <w:rFonts w:hint="eastAsia" w:ascii="Times New Roman" w:eastAsia="宋体"/>
                <w:b/>
                <w:bCs/>
                <w:color w:val="auto"/>
                <w:sz w:val="21"/>
                <w:szCs w:val="21"/>
                <w:highlight w:val="none"/>
              </w:rPr>
              <w:t>预测</w:t>
            </w:r>
            <w:r>
              <w:rPr>
                <w:rFonts w:hint="default" w:ascii="Times New Roman" w:eastAsia="宋体"/>
                <w:b/>
                <w:bCs/>
                <w:color w:val="auto"/>
                <w:sz w:val="21"/>
                <w:szCs w:val="21"/>
                <w:highlight w:val="none"/>
              </w:rPr>
              <w:t>值</w:t>
            </w:r>
            <w:r>
              <w:rPr>
                <w:rFonts w:hint="eastAsia" w:ascii="Times New Roman" w:eastAsia="宋体"/>
                <w:b/>
                <w:bCs/>
                <w:color w:val="auto"/>
                <w:sz w:val="21"/>
                <w:szCs w:val="21"/>
                <w:highlight w:val="none"/>
              </w:rPr>
              <w:t>单位：dB</w:t>
            </w:r>
            <w:r>
              <w:rPr>
                <w:rFonts w:hint="eastAsia" w:ascii="Times New Roman" w:eastAsia="宋体"/>
                <w:b/>
                <w:bCs/>
                <w:color w:val="auto"/>
                <w:sz w:val="21"/>
                <w:szCs w:val="21"/>
                <w:highlight w:val="none"/>
                <w:lang w:eastAsia="zh-CN"/>
              </w:rPr>
              <w:t>（</w:t>
            </w:r>
            <w:r>
              <w:rPr>
                <w:rFonts w:hint="eastAsia" w:ascii="Times New Roman" w:eastAsia="宋体"/>
                <w:b/>
                <w:bCs/>
                <w:color w:val="auto"/>
                <w:sz w:val="21"/>
                <w:szCs w:val="21"/>
                <w:highlight w:val="none"/>
              </w:rPr>
              <w:t>A</w:t>
            </w:r>
            <w:r>
              <w:rPr>
                <w:rFonts w:hint="eastAsia" w:ascii="Times New Roman" w:eastAsia="宋体"/>
                <w:b/>
                <w:bCs/>
                <w:color w:val="auto"/>
                <w:sz w:val="21"/>
                <w:szCs w:val="21"/>
                <w:highlight w:val="none"/>
                <w:lang w:eastAsia="zh-CN"/>
              </w:rPr>
              <w:t>）</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286"/>
              <w:gridCol w:w="726"/>
              <w:gridCol w:w="821"/>
              <w:gridCol w:w="614"/>
              <w:gridCol w:w="614"/>
              <w:gridCol w:w="614"/>
              <w:gridCol w:w="726"/>
              <w:gridCol w:w="726"/>
              <w:gridCol w:w="726"/>
              <w:gridCol w:w="737"/>
            </w:tblGrid>
            <w:tr w14:paraId="3EDC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8" w:type="pct"/>
                  <w:vMerge w:val="restart"/>
                  <w:tcBorders>
                    <w:tl2br w:val="nil"/>
                    <w:tr2bl w:val="nil"/>
                  </w:tcBorders>
                  <w:noWrap w:val="0"/>
                  <w:vAlign w:val="center"/>
                </w:tcPr>
                <w:p w14:paraId="66846B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default" w:hAnsi="宋体"/>
                      <w:b/>
                      <w:bCs/>
                      <w:color w:val="auto"/>
                      <w:sz w:val="21"/>
                      <w:szCs w:val="21"/>
                      <w:highlight w:val="none"/>
                    </w:rPr>
                    <w:t>序号</w:t>
                  </w:r>
                </w:p>
              </w:tc>
              <w:tc>
                <w:tcPr>
                  <w:tcW w:w="786" w:type="pct"/>
                  <w:vMerge w:val="restart"/>
                  <w:tcBorders>
                    <w:tl2br w:val="nil"/>
                    <w:tr2bl w:val="nil"/>
                  </w:tcBorders>
                  <w:noWrap w:val="0"/>
                  <w:vAlign w:val="center"/>
                </w:tcPr>
                <w:p w14:paraId="60AFA3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default" w:hAnsi="宋体"/>
                      <w:b/>
                      <w:bCs/>
                      <w:color w:val="auto"/>
                      <w:sz w:val="21"/>
                      <w:szCs w:val="21"/>
                      <w:highlight w:val="none"/>
                    </w:rPr>
                    <w:t>机械类型</w:t>
                  </w:r>
                </w:p>
              </w:tc>
              <w:tc>
                <w:tcPr>
                  <w:tcW w:w="444" w:type="pct"/>
                  <w:vMerge w:val="restart"/>
                  <w:tcBorders>
                    <w:tl2br w:val="nil"/>
                    <w:tr2bl w:val="nil"/>
                  </w:tcBorders>
                  <w:noWrap w:val="0"/>
                  <w:vAlign w:val="center"/>
                </w:tcPr>
                <w:p w14:paraId="61A0E4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噪声强度</w:t>
                  </w:r>
                </w:p>
              </w:tc>
              <w:tc>
                <w:tcPr>
                  <w:tcW w:w="3409" w:type="pct"/>
                  <w:gridSpan w:val="8"/>
                  <w:tcBorders>
                    <w:tl2br w:val="nil"/>
                    <w:tr2bl w:val="nil"/>
                  </w:tcBorders>
                  <w:noWrap w:val="0"/>
                  <w:vAlign w:val="center"/>
                </w:tcPr>
                <w:p w14:paraId="188389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距声源不同距离处的噪声值</w:t>
                  </w:r>
                </w:p>
              </w:tc>
            </w:tr>
            <w:tr w14:paraId="56AD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8" w:type="pct"/>
                  <w:vMerge w:val="continue"/>
                  <w:tcBorders>
                    <w:tl2br w:val="nil"/>
                    <w:tr2bl w:val="nil"/>
                  </w:tcBorders>
                  <w:noWrap w:val="0"/>
                  <w:vAlign w:val="center"/>
                </w:tcPr>
                <w:p w14:paraId="60B368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b/>
                      <w:bCs/>
                      <w:color w:val="auto"/>
                      <w:sz w:val="21"/>
                      <w:szCs w:val="21"/>
                      <w:highlight w:val="none"/>
                    </w:rPr>
                  </w:pPr>
                </w:p>
              </w:tc>
              <w:tc>
                <w:tcPr>
                  <w:tcW w:w="786" w:type="pct"/>
                  <w:vMerge w:val="continue"/>
                  <w:tcBorders>
                    <w:tl2br w:val="nil"/>
                    <w:tr2bl w:val="nil"/>
                  </w:tcBorders>
                  <w:noWrap w:val="0"/>
                  <w:vAlign w:val="center"/>
                </w:tcPr>
                <w:p w14:paraId="5C65FB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b/>
                      <w:bCs/>
                      <w:color w:val="auto"/>
                      <w:sz w:val="21"/>
                      <w:szCs w:val="21"/>
                      <w:highlight w:val="none"/>
                    </w:rPr>
                  </w:pPr>
                </w:p>
              </w:tc>
              <w:tc>
                <w:tcPr>
                  <w:tcW w:w="444" w:type="pct"/>
                  <w:vMerge w:val="continue"/>
                  <w:tcBorders>
                    <w:tl2br w:val="nil"/>
                    <w:tr2bl w:val="nil"/>
                  </w:tcBorders>
                  <w:noWrap w:val="0"/>
                  <w:vAlign w:val="center"/>
                </w:tcPr>
                <w:p w14:paraId="53B948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p>
              </w:tc>
              <w:tc>
                <w:tcPr>
                  <w:tcW w:w="502" w:type="pct"/>
                  <w:tcBorders>
                    <w:tl2br w:val="nil"/>
                    <w:tr2bl w:val="nil"/>
                  </w:tcBorders>
                  <w:noWrap w:val="0"/>
                  <w:vAlign w:val="center"/>
                </w:tcPr>
                <w:p w14:paraId="7A11DF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20m</w:t>
                  </w:r>
                </w:p>
              </w:tc>
              <w:tc>
                <w:tcPr>
                  <w:tcW w:w="375" w:type="pct"/>
                  <w:tcBorders>
                    <w:tl2br w:val="nil"/>
                    <w:tr2bl w:val="nil"/>
                  </w:tcBorders>
                  <w:noWrap w:val="0"/>
                  <w:vAlign w:val="center"/>
                </w:tcPr>
                <w:p w14:paraId="6DD229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40m</w:t>
                  </w:r>
                </w:p>
              </w:tc>
              <w:tc>
                <w:tcPr>
                  <w:tcW w:w="375" w:type="pct"/>
                  <w:tcBorders>
                    <w:tl2br w:val="nil"/>
                    <w:tr2bl w:val="nil"/>
                  </w:tcBorders>
                  <w:noWrap w:val="0"/>
                  <w:vAlign w:val="center"/>
                </w:tcPr>
                <w:p w14:paraId="68669A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60m</w:t>
                  </w:r>
                </w:p>
              </w:tc>
              <w:tc>
                <w:tcPr>
                  <w:tcW w:w="375" w:type="pct"/>
                  <w:tcBorders>
                    <w:tl2br w:val="nil"/>
                    <w:tr2bl w:val="nil"/>
                  </w:tcBorders>
                  <w:noWrap w:val="0"/>
                  <w:vAlign w:val="center"/>
                </w:tcPr>
                <w:p w14:paraId="289ECE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80m</w:t>
                  </w:r>
                </w:p>
              </w:tc>
              <w:tc>
                <w:tcPr>
                  <w:tcW w:w="444" w:type="pct"/>
                  <w:tcBorders>
                    <w:tl2br w:val="nil"/>
                    <w:tr2bl w:val="nil"/>
                  </w:tcBorders>
                  <w:noWrap w:val="0"/>
                  <w:vAlign w:val="center"/>
                </w:tcPr>
                <w:p w14:paraId="53C678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100m</w:t>
                  </w:r>
                </w:p>
              </w:tc>
              <w:tc>
                <w:tcPr>
                  <w:tcW w:w="444" w:type="pct"/>
                  <w:tcBorders>
                    <w:tl2br w:val="nil"/>
                    <w:tr2bl w:val="nil"/>
                  </w:tcBorders>
                  <w:noWrap w:val="0"/>
                  <w:vAlign w:val="center"/>
                </w:tcPr>
                <w:p w14:paraId="48A536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150m</w:t>
                  </w:r>
                </w:p>
              </w:tc>
              <w:tc>
                <w:tcPr>
                  <w:tcW w:w="444" w:type="pct"/>
                  <w:tcBorders>
                    <w:tl2br w:val="nil"/>
                    <w:tr2bl w:val="nil"/>
                  </w:tcBorders>
                  <w:noWrap w:val="0"/>
                  <w:vAlign w:val="center"/>
                </w:tcPr>
                <w:p w14:paraId="406B91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300m</w:t>
                  </w:r>
                </w:p>
              </w:tc>
              <w:tc>
                <w:tcPr>
                  <w:tcW w:w="449" w:type="pct"/>
                  <w:tcBorders>
                    <w:tl2br w:val="nil"/>
                    <w:tr2bl w:val="nil"/>
                  </w:tcBorders>
                  <w:noWrap w:val="0"/>
                  <w:vAlign w:val="center"/>
                </w:tcPr>
                <w:p w14:paraId="4C6048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500m</w:t>
                  </w:r>
                </w:p>
              </w:tc>
            </w:tr>
            <w:tr w14:paraId="1486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8" w:type="pct"/>
                  <w:tcBorders>
                    <w:tl2br w:val="nil"/>
                    <w:tr2bl w:val="nil"/>
                  </w:tcBorders>
                  <w:noWrap w:val="0"/>
                  <w:vAlign w:val="center"/>
                </w:tcPr>
                <w:p w14:paraId="24DE20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default" w:hAnsi="宋体"/>
                      <w:color w:val="auto"/>
                      <w:sz w:val="21"/>
                      <w:szCs w:val="21"/>
                      <w:highlight w:val="none"/>
                    </w:rPr>
                    <w:t>1</w:t>
                  </w:r>
                </w:p>
              </w:tc>
              <w:tc>
                <w:tcPr>
                  <w:tcW w:w="786" w:type="pct"/>
                  <w:tcBorders>
                    <w:tl2br w:val="nil"/>
                    <w:tr2bl w:val="nil"/>
                  </w:tcBorders>
                  <w:noWrap w:val="0"/>
                  <w:vAlign w:val="center"/>
                </w:tcPr>
                <w:p w14:paraId="48D4DF56">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eastAsia" w:hAnsi="宋体"/>
                      <w:color w:val="auto"/>
                      <w:sz w:val="21"/>
                      <w:szCs w:val="21"/>
                      <w:highlight w:val="none"/>
                      <w:lang w:val="en-US" w:eastAsia="zh-CN"/>
                    </w:rPr>
                    <w:t>挖掘机</w:t>
                  </w:r>
                </w:p>
              </w:tc>
              <w:tc>
                <w:tcPr>
                  <w:tcW w:w="444" w:type="pct"/>
                  <w:tcBorders>
                    <w:tl2br w:val="nil"/>
                    <w:tr2bl w:val="nil"/>
                  </w:tcBorders>
                  <w:noWrap w:val="0"/>
                  <w:vAlign w:val="center"/>
                </w:tcPr>
                <w:p w14:paraId="1BB97A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eastAsia" w:hAnsi="宋体"/>
                      <w:color w:val="auto"/>
                      <w:sz w:val="21"/>
                      <w:szCs w:val="21"/>
                      <w:highlight w:val="none"/>
                      <w:lang w:val="en-US" w:eastAsia="zh-CN"/>
                    </w:rPr>
                    <w:t>87</w:t>
                  </w:r>
                </w:p>
              </w:tc>
              <w:tc>
                <w:tcPr>
                  <w:tcW w:w="502" w:type="pct"/>
                  <w:tcBorders>
                    <w:tl2br w:val="nil"/>
                    <w:tr2bl w:val="nil"/>
                  </w:tcBorders>
                  <w:noWrap w:val="0"/>
                  <w:vAlign w:val="center"/>
                </w:tcPr>
                <w:p w14:paraId="541705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61</w:t>
                  </w:r>
                </w:p>
              </w:tc>
              <w:tc>
                <w:tcPr>
                  <w:tcW w:w="375" w:type="pct"/>
                  <w:tcBorders>
                    <w:tl2br w:val="nil"/>
                    <w:tr2bl w:val="nil"/>
                  </w:tcBorders>
                  <w:noWrap w:val="0"/>
                  <w:vAlign w:val="center"/>
                </w:tcPr>
                <w:p w14:paraId="4D6597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55</w:t>
                  </w:r>
                </w:p>
              </w:tc>
              <w:tc>
                <w:tcPr>
                  <w:tcW w:w="375" w:type="pct"/>
                  <w:tcBorders>
                    <w:tl2br w:val="nil"/>
                    <w:tr2bl w:val="nil"/>
                  </w:tcBorders>
                  <w:noWrap w:val="0"/>
                  <w:vAlign w:val="center"/>
                </w:tcPr>
                <w:p w14:paraId="6E88D2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51</w:t>
                  </w:r>
                </w:p>
              </w:tc>
              <w:tc>
                <w:tcPr>
                  <w:tcW w:w="375" w:type="pct"/>
                  <w:tcBorders>
                    <w:tl2br w:val="nil"/>
                    <w:tr2bl w:val="nil"/>
                  </w:tcBorders>
                  <w:noWrap w:val="0"/>
                  <w:vAlign w:val="center"/>
                </w:tcPr>
                <w:p w14:paraId="765086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49</w:t>
                  </w:r>
                </w:p>
              </w:tc>
              <w:tc>
                <w:tcPr>
                  <w:tcW w:w="444" w:type="pct"/>
                  <w:tcBorders>
                    <w:tl2br w:val="nil"/>
                    <w:tr2bl w:val="nil"/>
                  </w:tcBorders>
                  <w:noWrap w:val="0"/>
                  <w:vAlign w:val="center"/>
                </w:tcPr>
                <w:p w14:paraId="063393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47</w:t>
                  </w:r>
                </w:p>
              </w:tc>
              <w:tc>
                <w:tcPr>
                  <w:tcW w:w="444" w:type="pct"/>
                  <w:tcBorders>
                    <w:tl2br w:val="nil"/>
                    <w:tr2bl w:val="nil"/>
                  </w:tcBorders>
                  <w:noWrap w:val="0"/>
                  <w:vAlign w:val="center"/>
                </w:tcPr>
                <w:p w14:paraId="4F4D2B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43</w:t>
                  </w:r>
                </w:p>
              </w:tc>
              <w:tc>
                <w:tcPr>
                  <w:tcW w:w="444" w:type="pct"/>
                  <w:tcBorders>
                    <w:tl2br w:val="nil"/>
                    <w:tr2bl w:val="nil"/>
                  </w:tcBorders>
                  <w:noWrap w:val="0"/>
                  <w:vAlign w:val="center"/>
                </w:tcPr>
                <w:p w14:paraId="353813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38</w:t>
                  </w:r>
                </w:p>
              </w:tc>
              <w:tc>
                <w:tcPr>
                  <w:tcW w:w="449" w:type="pct"/>
                  <w:tcBorders>
                    <w:tl2br w:val="nil"/>
                    <w:tr2bl w:val="nil"/>
                  </w:tcBorders>
                  <w:noWrap w:val="0"/>
                  <w:vAlign w:val="center"/>
                </w:tcPr>
                <w:p w14:paraId="3F2D45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33</w:t>
                  </w:r>
                </w:p>
              </w:tc>
            </w:tr>
            <w:tr w14:paraId="1B81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8" w:type="pct"/>
                  <w:tcBorders>
                    <w:tl2br w:val="nil"/>
                    <w:tr2bl w:val="nil"/>
                  </w:tcBorders>
                  <w:noWrap w:val="0"/>
                  <w:vAlign w:val="center"/>
                </w:tcPr>
                <w:p w14:paraId="7DB89A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default" w:hAnsi="宋体"/>
                      <w:color w:val="auto"/>
                      <w:sz w:val="21"/>
                      <w:szCs w:val="21"/>
                      <w:highlight w:val="none"/>
                    </w:rPr>
                    <w:t>2</w:t>
                  </w:r>
                </w:p>
              </w:tc>
              <w:tc>
                <w:tcPr>
                  <w:tcW w:w="786" w:type="pct"/>
                  <w:tcBorders>
                    <w:tl2br w:val="nil"/>
                    <w:tr2bl w:val="nil"/>
                  </w:tcBorders>
                  <w:noWrap w:val="0"/>
                  <w:vAlign w:val="center"/>
                </w:tcPr>
                <w:p w14:paraId="05AE8C57">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eastAsia" w:hAnsi="宋体"/>
                      <w:color w:val="auto"/>
                      <w:sz w:val="21"/>
                      <w:szCs w:val="21"/>
                      <w:highlight w:val="none"/>
                      <w:lang w:val="en-US" w:eastAsia="zh-CN"/>
                    </w:rPr>
                    <w:t>装载机</w:t>
                  </w:r>
                </w:p>
              </w:tc>
              <w:tc>
                <w:tcPr>
                  <w:tcW w:w="444" w:type="pct"/>
                  <w:tcBorders>
                    <w:tl2br w:val="nil"/>
                    <w:tr2bl w:val="nil"/>
                  </w:tcBorders>
                  <w:noWrap w:val="0"/>
                  <w:vAlign w:val="center"/>
                </w:tcPr>
                <w:p w14:paraId="3BC97B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eastAsia" w:hAnsi="宋体"/>
                      <w:color w:val="auto"/>
                      <w:sz w:val="21"/>
                      <w:szCs w:val="21"/>
                      <w:highlight w:val="none"/>
                      <w:lang w:val="en-US" w:eastAsia="zh-CN"/>
                    </w:rPr>
                    <w:t>86</w:t>
                  </w:r>
                </w:p>
              </w:tc>
              <w:tc>
                <w:tcPr>
                  <w:tcW w:w="502" w:type="pct"/>
                  <w:tcBorders>
                    <w:tl2br w:val="nil"/>
                    <w:tr2bl w:val="nil"/>
                  </w:tcBorders>
                  <w:noWrap w:val="0"/>
                  <w:vAlign w:val="center"/>
                </w:tcPr>
                <w:p w14:paraId="087856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60</w:t>
                  </w:r>
                </w:p>
              </w:tc>
              <w:tc>
                <w:tcPr>
                  <w:tcW w:w="375" w:type="pct"/>
                  <w:tcBorders>
                    <w:tl2br w:val="nil"/>
                    <w:tr2bl w:val="nil"/>
                  </w:tcBorders>
                  <w:noWrap w:val="0"/>
                  <w:vAlign w:val="center"/>
                </w:tcPr>
                <w:p w14:paraId="185EB4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54</w:t>
                  </w:r>
                </w:p>
              </w:tc>
              <w:tc>
                <w:tcPr>
                  <w:tcW w:w="375" w:type="pct"/>
                  <w:tcBorders>
                    <w:tl2br w:val="nil"/>
                    <w:tr2bl w:val="nil"/>
                  </w:tcBorders>
                  <w:noWrap w:val="0"/>
                  <w:vAlign w:val="center"/>
                </w:tcPr>
                <w:p w14:paraId="1C6788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50</w:t>
                  </w:r>
                </w:p>
              </w:tc>
              <w:tc>
                <w:tcPr>
                  <w:tcW w:w="375" w:type="pct"/>
                  <w:tcBorders>
                    <w:tl2br w:val="nil"/>
                    <w:tr2bl w:val="nil"/>
                  </w:tcBorders>
                  <w:noWrap w:val="0"/>
                  <w:vAlign w:val="center"/>
                </w:tcPr>
                <w:p w14:paraId="60727C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48</w:t>
                  </w:r>
                </w:p>
              </w:tc>
              <w:tc>
                <w:tcPr>
                  <w:tcW w:w="444" w:type="pct"/>
                  <w:tcBorders>
                    <w:tl2br w:val="nil"/>
                    <w:tr2bl w:val="nil"/>
                  </w:tcBorders>
                  <w:noWrap w:val="0"/>
                  <w:vAlign w:val="center"/>
                </w:tcPr>
                <w:p w14:paraId="19CAC2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46</w:t>
                  </w:r>
                </w:p>
              </w:tc>
              <w:tc>
                <w:tcPr>
                  <w:tcW w:w="444" w:type="pct"/>
                  <w:tcBorders>
                    <w:tl2br w:val="nil"/>
                    <w:tr2bl w:val="nil"/>
                  </w:tcBorders>
                  <w:noWrap w:val="0"/>
                  <w:vAlign w:val="center"/>
                </w:tcPr>
                <w:p w14:paraId="160270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42</w:t>
                  </w:r>
                </w:p>
              </w:tc>
              <w:tc>
                <w:tcPr>
                  <w:tcW w:w="444" w:type="pct"/>
                  <w:tcBorders>
                    <w:tl2br w:val="nil"/>
                    <w:tr2bl w:val="nil"/>
                  </w:tcBorders>
                  <w:noWrap w:val="0"/>
                  <w:vAlign w:val="center"/>
                </w:tcPr>
                <w:p w14:paraId="608563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37</w:t>
                  </w:r>
                </w:p>
              </w:tc>
              <w:tc>
                <w:tcPr>
                  <w:tcW w:w="449" w:type="pct"/>
                  <w:tcBorders>
                    <w:tl2br w:val="nil"/>
                    <w:tr2bl w:val="nil"/>
                  </w:tcBorders>
                  <w:noWrap w:val="0"/>
                  <w:vAlign w:val="center"/>
                </w:tcPr>
                <w:p w14:paraId="0830F3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32</w:t>
                  </w:r>
                </w:p>
              </w:tc>
            </w:tr>
            <w:tr w14:paraId="0911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8" w:type="pct"/>
                  <w:tcBorders>
                    <w:tl2br w:val="nil"/>
                    <w:tr2bl w:val="nil"/>
                  </w:tcBorders>
                  <w:noWrap w:val="0"/>
                  <w:vAlign w:val="center"/>
                </w:tcPr>
                <w:p w14:paraId="65857A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default" w:hAnsi="宋体"/>
                      <w:color w:val="auto"/>
                      <w:sz w:val="21"/>
                      <w:szCs w:val="21"/>
                      <w:highlight w:val="none"/>
                    </w:rPr>
                    <w:t>3</w:t>
                  </w:r>
                </w:p>
              </w:tc>
              <w:tc>
                <w:tcPr>
                  <w:tcW w:w="786" w:type="pct"/>
                  <w:tcBorders>
                    <w:tl2br w:val="nil"/>
                    <w:tr2bl w:val="nil"/>
                  </w:tcBorders>
                  <w:noWrap w:val="0"/>
                  <w:vAlign w:val="center"/>
                </w:tcPr>
                <w:p w14:paraId="59D65C8E">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eastAsia" w:hAnsi="宋体"/>
                      <w:color w:val="auto"/>
                      <w:kern w:val="2"/>
                      <w:sz w:val="21"/>
                      <w:szCs w:val="21"/>
                      <w:highlight w:val="none"/>
                      <w:lang w:val="en-US" w:eastAsia="zh-CN" w:bidi="ar-SA"/>
                    </w:rPr>
                    <w:t>推土机</w:t>
                  </w:r>
                </w:p>
              </w:tc>
              <w:tc>
                <w:tcPr>
                  <w:tcW w:w="444" w:type="pct"/>
                  <w:tcBorders>
                    <w:tl2br w:val="nil"/>
                    <w:tr2bl w:val="nil"/>
                  </w:tcBorders>
                  <w:noWrap w:val="0"/>
                  <w:vAlign w:val="center"/>
                </w:tcPr>
                <w:p w14:paraId="645E62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eastAsia" w:hAnsi="宋体"/>
                      <w:color w:val="auto"/>
                      <w:kern w:val="2"/>
                      <w:sz w:val="21"/>
                      <w:szCs w:val="21"/>
                      <w:highlight w:val="none"/>
                      <w:lang w:val="en-US" w:eastAsia="zh-CN" w:bidi="ar-SA"/>
                    </w:rPr>
                    <w:t>80</w:t>
                  </w:r>
                </w:p>
              </w:tc>
              <w:tc>
                <w:tcPr>
                  <w:tcW w:w="502" w:type="pct"/>
                  <w:tcBorders>
                    <w:tl2br w:val="nil"/>
                    <w:tr2bl w:val="nil"/>
                  </w:tcBorders>
                  <w:noWrap w:val="0"/>
                  <w:vAlign w:val="center"/>
                </w:tcPr>
                <w:p w14:paraId="24EEE4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54</w:t>
                  </w:r>
                </w:p>
              </w:tc>
              <w:tc>
                <w:tcPr>
                  <w:tcW w:w="375" w:type="pct"/>
                  <w:tcBorders>
                    <w:tl2br w:val="nil"/>
                    <w:tr2bl w:val="nil"/>
                  </w:tcBorders>
                  <w:noWrap w:val="0"/>
                  <w:vAlign w:val="center"/>
                </w:tcPr>
                <w:p w14:paraId="5BB0CE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48</w:t>
                  </w:r>
                </w:p>
              </w:tc>
              <w:tc>
                <w:tcPr>
                  <w:tcW w:w="375" w:type="pct"/>
                  <w:tcBorders>
                    <w:tl2br w:val="nil"/>
                    <w:tr2bl w:val="nil"/>
                  </w:tcBorders>
                  <w:noWrap w:val="0"/>
                  <w:vAlign w:val="center"/>
                </w:tcPr>
                <w:p w14:paraId="337184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44</w:t>
                  </w:r>
                </w:p>
              </w:tc>
              <w:tc>
                <w:tcPr>
                  <w:tcW w:w="375" w:type="pct"/>
                  <w:tcBorders>
                    <w:tl2br w:val="nil"/>
                    <w:tr2bl w:val="nil"/>
                  </w:tcBorders>
                  <w:noWrap w:val="0"/>
                  <w:vAlign w:val="center"/>
                </w:tcPr>
                <w:p w14:paraId="7897DC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42</w:t>
                  </w:r>
                </w:p>
              </w:tc>
              <w:tc>
                <w:tcPr>
                  <w:tcW w:w="444" w:type="pct"/>
                  <w:tcBorders>
                    <w:tl2br w:val="nil"/>
                    <w:tr2bl w:val="nil"/>
                  </w:tcBorders>
                  <w:noWrap w:val="0"/>
                  <w:vAlign w:val="center"/>
                </w:tcPr>
                <w:p w14:paraId="61FC64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40</w:t>
                  </w:r>
                </w:p>
              </w:tc>
              <w:tc>
                <w:tcPr>
                  <w:tcW w:w="444" w:type="pct"/>
                  <w:tcBorders>
                    <w:tl2br w:val="nil"/>
                    <w:tr2bl w:val="nil"/>
                  </w:tcBorders>
                  <w:noWrap w:val="0"/>
                  <w:vAlign w:val="center"/>
                </w:tcPr>
                <w:p w14:paraId="360373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36</w:t>
                  </w:r>
                </w:p>
              </w:tc>
              <w:tc>
                <w:tcPr>
                  <w:tcW w:w="444" w:type="pct"/>
                  <w:tcBorders>
                    <w:tl2br w:val="nil"/>
                    <w:tr2bl w:val="nil"/>
                  </w:tcBorders>
                  <w:noWrap w:val="0"/>
                  <w:vAlign w:val="center"/>
                </w:tcPr>
                <w:p w14:paraId="1E4E46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30</w:t>
                  </w:r>
                </w:p>
              </w:tc>
              <w:tc>
                <w:tcPr>
                  <w:tcW w:w="449" w:type="pct"/>
                  <w:tcBorders>
                    <w:tl2br w:val="nil"/>
                    <w:tr2bl w:val="nil"/>
                  </w:tcBorders>
                  <w:noWrap w:val="0"/>
                  <w:vAlign w:val="center"/>
                </w:tcPr>
                <w:p w14:paraId="3D6DDB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26</w:t>
                  </w:r>
                </w:p>
              </w:tc>
            </w:tr>
            <w:tr w14:paraId="0EE8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8" w:type="pct"/>
                  <w:tcBorders>
                    <w:tl2br w:val="nil"/>
                    <w:tr2bl w:val="nil"/>
                  </w:tcBorders>
                  <w:noWrap w:val="0"/>
                  <w:vAlign w:val="center"/>
                </w:tcPr>
                <w:p w14:paraId="67361D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default" w:hAnsi="宋体"/>
                      <w:color w:val="auto"/>
                      <w:sz w:val="21"/>
                      <w:szCs w:val="21"/>
                      <w:highlight w:val="none"/>
                    </w:rPr>
                    <w:t>4</w:t>
                  </w:r>
                </w:p>
              </w:tc>
              <w:tc>
                <w:tcPr>
                  <w:tcW w:w="786" w:type="pct"/>
                  <w:tcBorders>
                    <w:tl2br w:val="nil"/>
                    <w:tr2bl w:val="nil"/>
                  </w:tcBorders>
                  <w:noWrap w:val="0"/>
                  <w:vAlign w:val="center"/>
                </w:tcPr>
                <w:p w14:paraId="12E974E3">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eastAsia"/>
                      <w:bCs/>
                      <w:color w:val="auto"/>
                      <w:kern w:val="2"/>
                      <w:sz w:val="21"/>
                      <w:szCs w:val="21"/>
                      <w:highlight w:val="none"/>
                      <w:lang w:val="en-US" w:eastAsia="zh-CN" w:bidi="ar-SA"/>
                    </w:rPr>
                    <w:t>电焊机</w:t>
                  </w:r>
                </w:p>
              </w:tc>
              <w:tc>
                <w:tcPr>
                  <w:tcW w:w="444" w:type="pct"/>
                  <w:tcBorders>
                    <w:tl2br w:val="nil"/>
                    <w:tr2bl w:val="nil"/>
                  </w:tcBorders>
                  <w:noWrap w:val="0"/>
                  <w:vAlign w:val="center"/>
                </w:tcPr>
                <w:p w14:paraId="4DF1AB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eastAsia" w:hAnsi="宋体" w:eastAsia="宋体"/>
                      <w:color w:val="auto"/>
                      <w:kern w:val="2"/>
                      <w:sz w:val="21"/>
                      <w:szCs w:val="21"/>
                      <w:highlight w:val="none"/>
                      <w:lang w:val="en-US" w:eastAsia="zh-CN" w:bidi="ar-SA"/>
                    </w:rPr>
                    <w:t>90</w:t>
                  </w:r>
                </w:p>
              </w:tc>
              <w:tc>
                <w:tcPr>
                  <w:tcW w:w="502" w:type="pct"/>
                  <w:tcBorders>
                    <w:tl2br w:val="nil"/>
                    <w:tr2bl w:val="nil"/>
                  </w:tcBorders>
                  <w:noWrap w:val="0"/>
                  <w:vAlign w:val="center"/>
                </w:tcPr>
                <w:p w14:paraId="754DBC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64</w:t>
                  </w:r>
                </w:p>
              </w:tc>
              <w:tc>
                <w:tcPr>
                  <w:tcW w:w="375" w:type="pct"/>
                  <w:tcBorders>
                    <w:tl2br w:val="nil"/>
                    <w:tr2bl w:val="nil"/>
                  </w:tcBorders>
                  <w:noWrap w:val="0"/>
                  <w:vAlign w:val="center"/>
                </w:tcPr>
                <w:p w14:paraId="1A3C3F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58</w:t>
                  </w:r>
                </w:p>
              </w:tc>
              <w:tc>
                <w:tcPr>
                  <w:tcW w:w="375" w:type="pct"/>
                  <w:tcBorders>
                    <w:tl2br w:val="nil"/>
                    <w:tr2bl w:val="nil"/>
                  </w:tcBorders>
                  <w:noWrap w:val="0"/>
                  <w:vAlign w:val="center"/>
                </w:tcPr>
                <w:p w14:paraId="29ABE5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54</w:t>
                  </w:r>
                </w:p>
              </w:tc>
              <w:tc>
                <w:tcPr>
                  <w:tcW w:w="375" w:type="pct"/>
                  <w:tcBorders>
                    <w:tl2br w:val="nil"/>
                    <w:tr2bl w:val="nil"/>
                  </w:tcBorders>
                  <w:noWrap w:val="0"/>
                  <w:vAlign w:val="center"/>
                </w:tcPr>
                <w:p w14:paraId="78AAC7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52</w:t>
                  </w:r>
                </w:p>
              </w:tc>
              <w:tc>
                <w:tcPr>
                  <w:tcW w:w="444" w:type="pct"/>
                  <w:tcBorders>
                    <w:tl2br w:val="nil"/>
                    <w:tr2bl w:val="nil"/>
                  </w:tcBorders>
                  <w:noWrap w:val="0"/>
                  <w:vAlign w:val="center"/>
                </w:tcPr>
                <w:p w14:paraId="34D408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50</w:t>
                  </w:r>
                </w:p>
              </w:tc>
              <w:tc>
                <w:tcPr>
                  <w:tcW w:w="444" w:type="pct"/>
                  <w:tcBorders>
                    <w:tl2br w:val="nil"/>
                    <w:tr2bl w:val="nil"/>
                  </w:tcBorders>
                  <w:noWrap w:val="0"/>
                  <w:vAlign w:val="center"/>
                </w:tcPr>
                <w:p w14:paraId="772B06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46</w:t>
                  </w:r>
                </w:p>
              </w:tc>
              <w:tc>
                <w:tcPr>
                  <w:tcW w:w="444" w:type="pct"/>
                  <w:tcBorders>
                    <w:tl2br w:val="nil"/>
                    <w:tr2bl w:val="nil"/>
                  </w:tcBorders>
                  <w:noWrap w:val="0"/>
                  <w:vAlign w:val="center"/>
                </w:tcPr>
                <w:p w14:paraId="46FD63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40</w:t>
                  </w:r>
                </w:p>
              </w:tc>
              <w:tc>
                <w:tcPr>
                  <w:tcW w:w="449" w:type="pct"/>
                  <w:tcBorders>
                    <w:tl2br w:val="nil"/>
                    <w:tr2bl w:val="nil"/>
                  </w:tcBorders>
                  <w:noWrap w:val="0"/>
                  <w:vAlign w:val="center"/>
                </w:tcPr>
                <w:p w14:paraId="1D1FEA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36</w:t>
                  </w:r>
                </w:p>
              </w:tc>
            </w:tr>
            <w:tr w14:paraId="794F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8" w:type="pct"/>
                  <w:tcBorders>
                    <w:tl2br w:val="nil"/>
                    <w:tr2bl w:val="nil"/>
                  </w:tcBorders>
                  <w:noWrap w:val="0"/>
                  <w:vAlign w:val="center"/>
                </w:tcPr>
                <w:p w14:paraId="534EEA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hAnsi="宋体"/>
                      <w:color w:val="auto"/>
                      <w:sz w:val="21"/>
                      <w:szCs w:val="21"/>
                      <w:highlight w:val="none"/>
                    </w:rPr>
                  </w:pPr>
                  <w:r>
                    <w:rPr>
                      <w:rFonts w:hint="eastAsia" w:hAnsi="宋体"/>
                      <w:color w:val="auto"/>
                      <w:sz w:val="21"/>
                      <w:szCs w:val="21"/>
                      <w:highlight w:val="none"/>
                      <w:lang w:val="en-US" w:eastAsia="zh-CN"/>
                    </w:rPr>
                    <w:t>5</w:t>
                  </w:r>
                </w:p>
              </w:tc>
              <w:tc>
                <w:tcPr>
                  <w:tcW w:w="786" w:type="pct"/>
                  <w:tcBorders>
                    <w:tl2br w:val="nil"/>
                    <w:tr2bl w:val="nil"/>
                  </w:tcBorders>
                  <w:noWrap w:val="0"/>
                  <w:vAlign w:val="center"/>
                </w:tcPr>
                <w:p w14:paraId="5E2CEAD6">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搅拌站</w:t>
                  </w:r>
                </w:p>
              </w:tc>
              <w:tc>
                <w:tcPr>
                  <w:tcW w:w="444" w:type="pct"/>
                  <w:tcBorders>
                    <w:tl2br w:val="nil"/>
                    <w:tr2bl w:val="nil"/>
                  </w:tcBorders>
                  <w:noWrap w:val="0"/>
                  <w:vAlign w:val="center"/>
                </w:tcPr>
                <w:p w14:paraId="350386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color w:val="auto"/>
                      <w:sz w:val="21"/>
                      <w:szCs w:val="21"/>
                      <w:highlight w:val="none"/>
                    </w:rPr>
                  </w:pPr>
                  <w:r>
                    <w:rPr>
                      <w:rFonts w:hint="eastAsia" w:hAnsi="宋体"/>
                      <w:color w:val="auto"/>
                      <w:sz w:val="21"/>
                      <w:szCs w:val="21"/>
                      <w:highlight w:val="none"/>
                      <w:lang w:val="en-US" w:eastAsia="zh-CN"/>
                    </w:rPr>
                    <w:t>85</w:t>
                  </w:r>
                </w:p>
              </w:tc>
              <w:tc>
                <w:tcPr>
                  <w:tcW w:w="502" w:type="pct"/>
                  <w:tcBorders>
                    <w:tl2br w:val="nil"/>
                    <w:tr2bl w:val="nil"/>
                  </w:tcBorders>
                  <w:noWrap w:val="0"/>
                  <w:vAlign w:val="center"/>
                </w:tcPr>
                <w:p w14:paraId="3442C7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59</w:t>
                  </w:r>
                </w:p>
              </w:tc>
              <w:tc>
                <w:tcPr>
                  <w:tcW w:w="375" w:type="pct"/>
                  <w:tcBorders>
                    <w:tl2br w:val="nil"/>
                    <w:tr2bl w:val="nil"/>
                  </w:tcBorders>
                  <w:noWrap w:val="0"/>
                  <w:vAlign w:val="center"/>
                </w:tcPr>
                <w:p w14:paraId="453ED9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53</w:t>
                  </w:r>
                </w:p>
              </w:tc>
              <w:tc>
                <w:tcPr>
                  <w:tcW w:w="375" w:type="pct"/>
                  <w:tcBorders>
                    <w:tl2br w:val="nil"/>
                    <w:tr2bl w:val="nil"/>
                  </w:tcBorders>
                  <w:noWrap w:val="0"/>
                  <w:vAlign w:val="center"/>
                </w:tcPr>
                <w:p w14:paraId="03E6AE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49</w:t>
                  </w:r>
                </w:p>
              </w:tc>
              <w:tc>
                <w:tcPr>
                  <w:tcW w:w="375" w:type="pct"/>
                  <w:tcBorders>
                    <w:tl2br w:val="nil"/>
                    <w:tr2bl w:val="nil"/>
                  </w:tcBorders>
                  <w:noWrap w:val="0"/>
                  <w:vAlign w:val="center"/>
                </w:tcPr>
                <w:p w14:paraId="4CC3DC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47</w:t>
                  </w:r>
                </w:p>
              </w:tc>
              <w:tc>
                <w:tcPr>
                  <w:tcW w:w="444" w:type="pct"/>
                  <w:tcBorders>
                    <w:tl2br w:val="nil"/>
                    <w:tr2bl w:val="nil"/>
                  </w:tcBorders>
                  <w:noWrap w:val="0"/>
                  <w:vAlign w:val="center"/>
                </w:tcPr>
                <w:p w14:paraId="2185E1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45</w:t>
                  </w:r>
                </w:p>
              </w:tc>
              <w:tc>
                <w:tcPr>
                  <w:tcW w:w="444" w:type="pct"/>
                  <w:tcBorders>
                    <w:tl2br w:val="nil"/>
                    <w:tr2bl w:val="nil"/>
                  </w:tcBorders>
                  <w:noWrap w:val="0"/>
                  <w:vAlign w:val="center"/>
                </w:tcPr>
                <w:p w14:paraId="69B3C3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41</w:t>
                  </w:r>
                </w:p>
              </w:tc>
              <w:tc>
                <w:tcPr>
                  <w:tcW w:w="444" w:type="pct"/>
                  <w:tcBorders>
                    <w:tl2br w:val="nil"/>
                    <w:tr2bl w:val="nil"/>
                  </w:tcBorders>
                  <w:noWrap w:val="0"/>
                  <w:vAlign w:val="center"/>
                </w:tcPr>
                <w:p w14:paraId="66199F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35</w:t>
                  </w:r>
                </w:p>
              </w:tc>
              <w:tc>
                <w:tcPr>
                  <w:tcW w:w="449" w:type="pct"/>
                  <w:tcBorders>
                    <w:tl2br w:val="nil"/>
                    <w:tr2bl w:val="nil"/>
                  </w:tcBorders>
                  <w:noWrap w:val="0"/>
                  <w:vAlign w:val="center"/>
                </w:tcPr>
                <w:p w14:paraId="761679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31</w:t>
                  </w:r>
                </w:p>
              </w:tc>
            </w:tr>
          </w:tbl>
          <w:p w14:paraId="22F8E214">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jc w:val="both"/>
              <w:outlineLvl w:val="2"/>
              <w:rPr>
                <w:rFonts w:hint="eastAsia" w:ascii="Times New Roman" w:hAnsi="Times New Roman"/>
                <w:color w:val="auto"/>
                <w:sz w:val="24"/>
                <w:highlight w:val="none"/>
              </w:rPr>
            </w:pPr>
            <w:r>
              <w:rPr>
                <w:rFonts w:hint="eastAsia" w:ascii="Times New Roman" w:hAnsi="Times New Roman"/>
                <w:color w:val="auto"/>
                <w:sz w:val="24"/>
                <w:highlight w:val="none"/>
              </w:rPr>
              <w:t>根据上表结果，项目施工阶段的昼间噪声在地块边界</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以施工点与地块边界的距离为40m计</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均能达到《建筑施工场界环境噪声排放标准》</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GB</w:t>
            </w:r>
            <w:r>
              <w:rPr>
                <w:rFonts w:hint="eastAsia" w:ascii="Times New Roman" w:hAnsi="Times New Roman"/>
                <w:color w:val="auto"/>
                <w:sz w:val="24"/>
                <w:highlight w:val="none"/>
                <w:lang w:val="en-US" w:eastAsia="zh-CN"/>
              </w:rPr>
              <w:t xml:space="preserve"> </w:t>
            </w:r>
            <w:r>
              <w:rPr>
                <w:rFonts w:hint="eastAsia" w:ascii="Times New Roman" w:hAnsi="Times New Roman"/>
                <w:color w:val="auto"/>
                <w:sz w:val="24"/>
                <w:highlight w:val="none"/>
              </w:rPr>
              <w:t>12523-2011</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中所规定的标准：各施工阶段在夜间均超出标准。为了减轻本工程施工期噪声的环境影响，本次评价要求施工单位采取以下控制措施：</w:t>
            </w:r>
          </w:p>
          <w:p w14:paraId="44A641F3">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1</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对于高噪声设备，需采取临时隔音围护结构</w:t>
            </w:r>
            <w:r>
              <w:rPr>
                <w:rFonts w:hint="eastAsia" w:ascii="Times New Roman" w:hAnsi="Times New Roman" w:cs="Times New Roman"/>
                <w:color w:val="auto"/>
                <w:lang w:eastAsia="zh-CN"/>
              </w:rPr>
              <w:t>；</w:t>
            </w:r>
          </w:p>
          <w:p w14:paraId="3860A2AE">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2</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选择低噪声的机械设备，尽量减少振动面的振幅</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闲置的机械设备等予以关闭</w:t>
            </w:r>
            <w:r>
              <w:rPr>
                <w:rFonts w:hint="eastAsia" w:ascii="Times New Roman" w:hAnsi="Times New Roman" w:cs="Times New Roman"/>
                <w:color w:val="auto"/>
                <w:lang w:eastAsia="zh-CN"/>
              </w:rPr>
              <w:t>；</w:t>
            </w:r>
          </w:p>
          <w:p w14:paraId="6C8C7869">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3</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加强运输车辆的管理，材料等运输尽量在白天进行，并控制车辆鸣笛</w:t>
            </w:r>
            <w:r>
              <w:rPr>
                <w:rFonts w:hint="eastAsia" w:ascii="Times New Roman" w:hAnsi="Times New Roman" w:cs="Times New Roman"/>
                <w:color w:val="auto"/>
                <w:lang w:eastAsia="zh-CN"/>
              </w:rPr>
              <w:t>；</w:t>
            </w:r>
          </w:p>
          <w:p w14:paraId="77680D80">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4</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夜间施工必须取得夜间施工许可证方可施工</w:t>
            </w:r>
            <w:r>
              <w:rPr>
                <w:rFonts w:hint="eastAsia" w:ascii="Times New Roman" w:hAnsi="Times New Roman" w:cs="Times New Roman"/>
                <w:color w:val="auto"/>
                <w:lang w:eastAsia="zh-CN"/>
              </w:rPr>
              <w:t>；</w:t>
            </w:r>
          </w:p>
          <w:p w14:paraId="6CE76578">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cs="Times New Roman"/>
                <w:color w:val="auto"/>
                <w:lang w:val="en-US" w:eastAsia="zh-CN"/>
              </w:rPr>
              <w:t>5</w:t>
            </w:r>
            <w:r>
              <w:rPr>
                <w:rFonts w:hint="eastAsia" w:ascii="Times New Roman" w:hAnsi="Times New Roman" w:cs="Times New Roman"/>
                <w:color w:val="auto"/>
                <w:lang w:eastAsia="zh-CN"/>
              </w:rPr>
              <w:t>）</w:t>
            </w:r>
            <w:r>
              <w:rPr>
                <w:rFonts w:hint="default" w:ascii="Times New Roman" w:hAnsi="Times New Roman" w:eastAsia="宋体" w:cs="Times New Roman"/>
                <w:color w:val="auto"/>
              </w:rPr>
              <w:t>定期对机械设备进行维护和保养，使其保持良好的状态，减轻因设备运行状态不佳而造成的噪声污染：</w:t>
            </w:r>
          </w:p>
          <w:p w14:paraId="562E578E">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cs="Times New Roman"/>
                <w:color w:val="auto"/>
                <w:lang w:val="en-US" w:eastAsia="zh-CN"/>
              </w:rPr>
              <w:t>6</w:t>
            </w:r>
            <w:r>
              <w:rPr>
                <w:rFonts w:hint="eastAsia" w:ascii="Times New Roman" w:hAnsi="Times New Roman" w:cs="Times New Roman"/>
                <w:color w:val="auto"/>
                <w:lang w:eastAsia="zh-CN"/>
              </w:rPr>
              <w:t>）</w:t>
            </w:r>
            <w:r>
              <w:rPr>
                <w:rFonts w:hint="default" w:ascii="Times New Roman" w:hAnsi="Times New Roman" w:eastAsia="宋体" w:cs="Times New Roman"/>
                <w:color w:val="auto"/>
              </w:rPr>
              <w:t>施工单位应严格遵守当地相关环境噪声污染防治管理办法的规定，合理安排施工时间：统筹安排施工，尽可能避免在同一区段同一时间安排大量产生噪声设备同时施工：</w:t>
            </w:r>
          </w:p>
          <w:p w14:paraId="66C1A720">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cs="Times New Roman"/>
                <w:color w:val="auto"/>
                <w:lang w:val="en-US" w:eastAsia="zh-CN"/>
              </w:rPr>
              <w:t>7</w:t>
            </w:r>
            <w:r>
              <w:rPr>
                <w:rFonts w:hint="eastAsia" w:ascii="Times New Roman" w:hAnsi="Times New Roman" w:cs="Times New Roman"/>
                <w:color w:val="auto"/>
                <w:lang w:eastAsia="zh-CN"/>
              </w:rPr>
              <w:t>）</w:t>
            </w:r>
            <w:r>
              <w:rPr>
                <w:rFonts w:hint="default" w:ascii="Times New Roman" w:hAnsi="Times New Roman" w:eastAsia="宋体" w:cs="Times New Roman"/>
                <w:color w:val="auto"/>
              </w:rPr>
              <w:t>运输采用车况良好的车辆，并注意定期维修、养护；合理规划运输车辆的行驶路线，尽量绕开沿线居民区等声环境敏感区，以减少施工噪声对周围声环境</w:t>
            </w:r>
            <w:r>
              <w:rPr>
                <w:rFonts w:hint="eastAsia" w:ascii="Times New Roman" w:hAnsi="Times New Roman" w:cs="Times New Roman"/>
                <w:color w:val="auto"/>
                <w:lang w:val="en-US" w:eastAsia="zh-CN"/>
              </w:rPr>
              <w:t>的</w:t>
            </w:r>
            <w:r>
              <w:rPr>
                <w:rFonts w:hint="default" w:ascii="Times New Roman" w:hAnsi="Times New Roman" w:eastAsia="宋体" w:cs="Times New Roman"/>
                <w:color w:val="auto"/>
              </w:rPr>
              <w:t>影响。如无法避开，应降低车速，禁止在声敏感区域鸣笛：</w:t>
            </w:r>
          </w:p>
          <w:p w14:paraId="6BFDD01D">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cs="Times New Roman"/>
                <w:color w:val="auto"/>
                <w:lang w:val="en-US" w:eastAsia="zh-CN"/>
              </w:rPr>
              <w:t>8</w:t>
            </w:r>
            <w:r>
              <w:rPr>
                <w:rFonts w:hint="eastAsia" w:ascii="Times New Roman" w:hAnsi="Times New Roman" w:cs="Times New Roman"/>
                <w:color w:val="auto"/>
                <w:lang w:eastAsia="zh-CN"/>
              </w:rPr>
              <w:t>）</w:t>
            </w:r>
            <w:r>
              <w:rPr>
                <w:rFonts w:hint="default" w:ascii="Times New Roman" w:hAnsi="Times New Roman" w:eastAsia="宋体" w:cs="Times New Roman"/>
                <w:color w:val="auto"/>
              </w:rPr>
              <w:t>提倡文明施工，加强施工人员管理，尽量减少人为原因产生</w:t>
            </w:r>
            <w:r>
              <w:rPr>
                <w:rFonts w:hint="eastAsia" w:ascii="Times New Roman" w:hAnsi="Times New Roman" w:cs="Times New Roman"/>
                <w:color w:val="auto"/>
                <w:lang w:eastAsia="zh-CN"/>
              </w:rPr>
              <w:t>的</w:t>
            </w:r>
            <w:r>
              <w:rPr>
                <w:rFonts w:hint="default" w:ascii="Times New Roman" w:hAnsi="Times New Roman" w:eastAsia="宋体" w:cs="Times New Roman"/>
                <w:color w:val="auto"/>
              </w:rPr>
              <w:t>噪声；在支架的拆卸过程中应遵守作业规定，轻拿轻放，减少碰撞噪声；</w:t>
            </w:r>
          </w:p>
          <w:p w14:paraId="1CBD359B">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cs="Times New Roman"/>
                <w:color w:val="auto"/>
                <w:lang w:val="en-US" w:eastAsia="zh-CN"/>
              </w:rPr>
              <w:t>9</w:t>
            </w:r>
            <w:r>
              <w:rPr>
                <w:rFonts w:hint="eastAsia" w:ascii="Times New Roman" w:hAnsi="Times New Roman" w:cs="Times New Roman"/>
                <w:color w:val="auto"/>
                <w:lang w:eastAsia="zh-CN"/>
              </w:rPr>
              <w:t>）</w:t>
            </w:r>
            <w:r>
              <w:rPr>
                <w:rFonts w:hint="default" w:ascii="Times New Roman" w:hAnsi="Times New Roman" w:eastAsia="宋体" w:cs="Times New Roman"/>
                <w:color w:val="auto"/>
              </w:rPr>
              <w:t>个人防护：施工单位应合理安排工作人员轮流操作产生高强噪声的施工机械，减少接触高噪声的时间，或穿插安排高噪声和低噪声的工作。加强对施工人员的个人防护，对高噪声设备附近工作的施工人员，采取配备、使用耳塞、耳机、防声头盔等防噪用具</w:t>
            </w:r>
            <w:r>
              <w:rPr>
                <w:rFonts w:hint="eastAsia" w:ascii="Times New Roman" w:hAnsi="Times New Roman" w:cs="Times New Roman"/>
                <w:color w:val="auto"/>
                <w:lang w:eastAsia="zh-CN"/>
              </w:rPr>
              <w:t>。</w:t>
            </w:r>
          </w:p>
          <w:p w14:paraId="36368FF4">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default" w:ascii="Times New Roman" w:hAnsi="Times New Roman" w:eastAsia="宋体" w:cs="Times New Roman"/>
                <w:color w:val="auto"/>
              </w:rPr>
              <w:t>经采取以上的降噪措施后，施工场地边界噪声能够达到《建筑施工场界环境噪声排放标准</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GB</w:t>
            </w:r>
            <w:r>
              <w:rPr>
                <w:rFonts w:hint="eastAsia" w:ascii="Times New Roman" w:hAnsi="Times New Roman" w:cs="Times New Roman"/>
                <w:color w:val="auto"/>
                <w:lang w:val="en-US" w:eastAsia="zh-CN"/>
              </w:rPr>
              <w:t xml:space="preserve"> </w:t>
            </w:r>
            <w:r>
              <w:rPr>
                <w:rFonts w:hint="default" w:ascii="Times New Roman" w:hAnsi="Times New Roman" w:eastAsia="宋体" w:cs="Times New Roman"/>
                <w:color w:val="auto"/>
              </w:rPr>
              <w:t>12523-2011</w:t>
            </w:r>
            <w:r>
              <w:rPr>
                <w:rFonts w:hint="eastAsia" w:ascii="Times New Roman" w:hAnsi="Times New Roman" w:cs="Times New Roman"/>
                <w:color w:val="auto"/>
                <w:lang w:eastAsia="zh-CN"/>
              </w:rPr>
              <w:t>）</w:t>
            </w:r>
            <w:r>
              <w:rPr>
                <w:rFonts w:hint="default" w:ascii="Times New Roman" w:hAnsi="Times New Roman" w:eastAsia="宋体" w:cs="Times New Roman"/>
                <w:color w:val="auto"/>
              </w:rPr>
              <w:t>中的标准限值。且随着工程施工的结束，施工噪声的影响将不再存在，施工噪声对环境的不利影响是暂时的、短期的行为，因此施工期拟采取的噪声防治措施可行。</w:t>
            </w:r>
          </w:p>
          <w:p w14:paraId="7049CEDF">
            <w:pPr>
              <w:pStyle w:val="34"/>
              <w:keepNext/>
              <w:keepLines/>
              <w:widowControl w:val="0"/>
              <w:suppressLineNumbers w:val="0"/>
              <w:tabs>
                <w:tab w:val="left" w:pos="360"/>
                <w:tab w:val="left" w:pos="900"/>
              </w:tabs>
              <w:spacing w:before="0" w:beforeAutospacing="0" w:after="0" w:afterAutospacing="0" w:line="360" w:lineRule="auto"/>
              <w:ind w:left="0" w:right="0"/>
              <w:outlineLvl w:val="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4、施工期固体</w:t>
            </w:r>
            <w:r>
              <w:rPr>
                <w:rFonts w:hint="eastAsia" w:ascii="Times New Roman" w:hAnsi="Times New Roman" w:cs="Times New Roman"/>
                <w:b/>
                <w:bCs/>
                <w:color w:val="auto"/>
                <w:lang w:val="en-US" w:eastAsia="zh-CN"/>
              </w:rPr>
              <w:t>废物</w:t>
            </w:r>
            <w:r>
              <w:rPr>
                <w:rFonts w:hint="default" w:ascii="Times New Roman" w:hAnsi="Times New Roman" w:eastAsia="宋体" w:cs="Times New Roman"/>
                <w:b/>
                <w:bCs/>
                <w:color w:val="auto"/>
              </w:rPr>
              <w:t>影响及环保措施</w:t>
            </w:r>
          </w:p>
          <w:p w14:paraId="439C22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highlight w:val="none"/>
              </w:rPr>
            </w:pPr>
            <w:r>
              <w:rPr>
                <w:rFonts w:hint="default"/>
                <w:color w:val="auto"/>
                <w:sz w:val="24"/>
                <w:highlight w:val="none"/>
              </w:rPr>
              <w:t>施工期间产生的固体废物主要为建筑垃圾</w:t>
            </w:r>
            <w:r>
              <w:rPr>
                <w:rFonts w:hint="eastAsia"/>
                <w:color w:val="auto"/>
                <w:sz w:val="24"/>
                <w:highlight w:val="none"/>
                <w:lang w:eastAsia="zh-CN"/>
              </w:rPr>
              <w:t>、</w:t>
            </w:r>
            <w:r>
              <w:rPr>
                <w:rFonts w:hint="default"/>
                <w:color w:val="auto"/>
                <w:sz w:val="24"/>
                <w:highlight w:val="none"/>
              </w:rPr>
              <w:t>生活垃圾</w:t>
            </w:r>
            <w:r>
              <w:rPr>
                <w:rFonts w:hint="eastAsia"/>
                <w:color w:val="auto"/>
                <w:sz w:val="24"/>
                <w:highlight w:val="none"/>
                <w:lang w:val="en-US" w:eastAsia="zh-CN"/>
              </w:rPr>
              <w:t>及沉淀池泥沙</w:t>
            </w:r>
            <w:r>
              <w:rPr>
                <w:rFonts w:hint="default"/>
                <w:color w:val="auto"/>
                <w:sz w:val="24"/>
                <w:highlight w:val="none"/>
              </w:rPr>
              <w:t>。</w:t>
            </w:r>
          </w:p>
          <w:p w14:paraId="5B5012E8">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default" w:ascii="Times New Roman" w:hAnsi="Times New Roman" w:eastAsia="宋体" w:cs="Times New Roman"/>
                <w:color w:val="auto"/>
              </w:rPr>
              <w:t>根据《城市建筑垃圾管理规定》</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建筑垃圾处置实行减量化、资源化、无害化和谁产生、谁承担处置责任的原则。国家鼓励建筑垃圾综合利用，鼓励建设单位、施工单位优先采用建筑垃圾综合利用产品。为妥善处理施工过程产生的固体废物，针对项目固体废物产生特点，应采取如下措施，确保项目建设过程产生的固体废物得到妥善处置。</w:t>
            </w:r>
          </w:p>
          <w:p w14:paraId="45720FC2">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1</w:t>
            </w:r>
            <w:r>
              <w:rPr>
                <w:rFonts w:hint="eastAsia" w:ascii="Times New Roman" w:hAnsi="Times New Roman" w:cs="Times New Roman"/>
                <w:color w:val="auto"/>
                <w:lang w:eastAsia="zh-CN"/>
              </w:rPr>
              <w:t>）</w:t>
            </w:r>
            <w:r>
              <w:rPr>
                <w:rFonts w:hint="default" w:ascii="Times New Roman" w:hAnsi="Times New Roman" w:eastAsia="宋体" w:cs="Times New Roman"/>
                <w:color w:val="auto"/>
              </w:rPr>
              <w:t>垃圾进行分类处理，尽量将一些有用的建筑固体废物，如钢筋、木料等回收利用，避免浪费</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无用的建筑垃圾，则需要倾倒到指定场所</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对于一些有害的建筑垃圾，如废油漆涂料及其废弃的盛装容器，要集中交由专门的固废处理中心处理</w:t>
            </w:r>
            <w:r>
              <w:rPr>
                <w:rFonts w:hint="eastAsia" w:ascii="Times New Roman" w:hAnsi="Times New Roman" w:cs="Times New Roman"/>
                <w:color w:val="auto"/>
                <w:lang w:eastAsia="zh-CN"/>
              </w:rPr>
              <w:t>；</w:t>
            </w:r>
          </w:p>
          <w:p w14:paraId="02C11E8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rightChars="0" w:firstLine="480" w:firstLineChars="200"/>
              <w:jc w:val="both"/>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2</w:t>
            </w:r>
            <w:r>
              <w:rPr>
                <w:rFonts w:hint="eastAsia" w:ascii="Times New Roman" w:hAnsi="Times New Roman" w:cs="Times New Roman"/>
                <w:color w:val="auto"/>
                <w:sz w:val="24"/>
                <w:szCs w:val="32"/>
                <w:lang w:eastAsia="zh-CN"/>
              </w:rPr>
              <w:t>）</w:t>
            </w:r>
            <w:r>
              <w:rPr>
                <w:rFonts w:hint="eastAsia" w:ascii="宋体" w:hAnsi="宋体" w:eastAsia="宋体" w:cs="宋体"/>
                <w:color w:val="auto"/>
                <w:kern w:val="2"/>
                <w:sz w:val="24"/>
                <w:szCs w:val="24"/>
                <w:highlight w:val="none"/>
                <w:lang w:val="en-US" w:eastAsia="zh-CN" w:bidi="ar"/>
              </w:rPr>
              <w:t>施工场地的建筑垃圾主要是指剩余的</w:t>
            </w:r>
            <w:r>
              <w:rPr>
                <w:rFonts w:hint="eastAsia" w:ascii="宋体" w:hAnsi="宋体" w:cs="宋体"/>
                <w:color w:val="auto"/>
                <w:kern w:val="2"/>
                <w:sz w:val="24"/>
                <w:szCs w:val="24"/>
                <w:highlight w:val="none"/>
                <w:lang w:val="en-US" w:eastAsia="zh-CN" w:bidi="ar"/>
              </w:rPr>
              <w:t>建筑</w:t>
            </w:r>
            <w:r>
              <w:rPr>
                <w:rFonts w:hint="eastAsia" w:ascii="宋体" w:hAnsi="宋体" w:eastAsia="宋体" w:cs="宋体"/>
                <w:color w:val="auto"/>
                <w:kern w:val="2"/>
                <w:sz w:val="24"/>
                <w:szCs w:val="24"/>
                <w:highlight w:val="none"/>
                <w:lang w:val="en-US" w:eastAsia="zh-CN" w:bidi="ar"/>
              </w:rPr>
              <w:t>材料，包括钢材、管件、预制构件等。上述材料均是按施工进度有计划购置的，但</w:t>
            </w:r>
            <w:r>
              <w:rPr>
                <w:rFonts w:hint="eastAsia" w:ascii="宋体" w:hAnsi="宋体" w:cs="宋体"/>
                <w:color w:val="auto"/>
                <w:kern w:val="2"/>
                <w:sz w:val="24"/>
                <w:szCs w:val="24"/>
                <w:highlight w:val="none"/>
                <w:lang w:val="en-US" w:eastAsia="zh-CN" w:bidi="ar"/>
              </w:rPr>
              <w:t>本项目</w:t>
            </w:r>
            <w:r>
              <w:rPr>
                <w:rFonts w:hint="eastAsia" w:ascii="宋体" w:hAnsi="宋体" w:eastAsia="宋体" w:cs="宋体"/>
                <w:color w:val="auto"/>
                <w:kern w:val="2"/>
                <w:sz w:val="24"/>
                <w:szCs w:val="24"/>
                <w:highlight w:val="none"/>
                <w:lang w:val="en-US" w:eastAsia="zh-CN" w:bidi="ar"/>
              </w:rPr>
              <w:t>工程规模、工程量大，难免有少量的材料余下来，随意或露天堆放、杂乱无序，从宏观上与周围环境很不协调，造成视觉污染。此类建筑垃圾应在场地内集中堆放，并加篷布遮盖，并及时由施工方拉运至当地</w:t>
            </w:r>
            <w:r>
              <w:rPr>
                <w:rFonts w:hint="eastAsia" w:ascii="宋体" w:hAnsi="宋体" w:cs="宋体"/>
                <w:color w:val="auto"/>
                <w:kern w:val="2"/>
                <w:sz w:val="24"/>
                <w:szCs w:val="24"/>
                <w:highlight w:val="none"/>
                <w:lang w:val="en-US" w:eastAsia="zh-CN" w:bidi="ar"/>
              </w:rPr>
              <w:t>城市管理部门指定的</w:t>
            </w:r>
            <w:r>
              <w:rPr>
                <w:rFonts w:hint="eastAsia" w:ascii="宋体" w:hAnsi="宋体" w:eastAsia="宋体" w:cs="宋体"/>
                <w:color w:val="auto"/>
                <w:kern w:val="2"/>
                <w:sz w:val="24"/>
                <w:szCs w:val="24"/>
                <w:highlight w:val="none"/>
                <w:lang w:val="en-US" w:eastAsia="zh-CN" w:bidi="ar"/>
              </w:rPr>
              <w:t>建筑垃圾场处理，禁止</w:t>
            </w:r>
            <w:r>
              <w:rPr>
                <w:rFonts w:hint="eastAsia" w:ascii="宋体" w:hAnsi="宋体" w:cs="宋体"/>
                <w:color w:val="auto"/>
                <w:kern w:val="2"/>
                <w:sz w:val="24"/>
                <w:szCs w:val="24"/>
                <w:highlight w:val="none"/>
                <w:lang w:val="en-US" w:eastAsia="zh-CN" w:bidi="ar"/>
              </w:rPr>
              <w:t>随意丢弃</w:t>
            </w:r>
            <w:r>
              <w:rPr>
                <w:rFonts w:hint="eastAsia" w:ascii="宋体" w:hAnsi="宋体" w:eastAsia="宋体" w:cs="宋体"/>
                <w:color w:val="auto"/>
                <w:kern w:val="2"/>
                <w:sz w:val="24"/>
                <w:szCs w:val="24"/>
                <w:highlight w:val="none"/>
                <w:lang w:val="en-US" w:eastAsia="zh-CN" w:bidi="ar"/>
              </w:rPr>
              <w:t>。</w:t>
            </w:r>
          </w:p>
          <w:p w14:paraId="30CDFFAE">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cs="Times New Roman"/>
                <w:color w:val="auto"/>
                <w:lang w:val="en-US" w:eastAsia="zh-CN"/>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3</w:t>
            </w:r>
            <w:r>
              <w:rPr>
                <w:rFonts w:hint="eastAsia" w:ascii="Times New Roman" w:hAnsi="Times New Roman" w:cs="Times New Roman"/>
                <w:color w:val="auto"/>
                <w:lang w:eastAsia="zh-CN"/>
              </w:rPr>
              <w:t>）</w:t>
            </w:r>
            <w:r>
              <w:rPr>
                <w:rFonts w:hint="eastAsia" w:ascii="宋体" w:hAnsi="宋体" w:eastAsia="宋体" w:cs="宋体"/>
                <w:b w:val="0"/>
                <w:bCs w:val="0"/>
                <w:color w:val="auto"/>
                <w:kern w:val="2"/>
                <w:sz w:val="24"/>
                <w:szCs w:val="24"/>
                <w:highlight w:val="none"/>
                <w:lang w:val="en-US" w:eastAsia="zh-CN" w:bidi="ar"/>
              </w:rPr>
              <w:t>本项目施工废水沉淀过程中会产生少量泥砂，定期清掏，与建筑垃圾一同拉运处理。</w:t>
            </w:r>
          </w:p>
          <w:p w14:paraId="7742AFE9">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color w:val="auto"/>
              </w:rPr>
            </w:pPr>
            <w:r>
              <w:rPr>
                <w:rFonts w:hint="default" w:ascii="Times New Roman" w:hAnsi="Times New Roman" w:eastAsia="宋体" w:cs="Times New Roman"/>
                <w:color w:val="auto"/>
              </w:rPr>
              <w:t>施工人员生活垃圾禁止乱丢乱弃，应集中收集后由环卫部门统一清运：通过对建筑垃圾分类回收利用，降低了施工期的固体废物对周边敏感点的环境影响。本项目固废均能得到有效合理</w:t>
            </w:r>
            <w:r>
              <w:rPr>
                <w:rFonts w:hint="eastAsia" w:ascii="Times New Roman" w:hAnsi="Times New Roman" w:cs="Times New Roman"/>
                <w:color w:val="auto"/>
                <w:lang w:val="en-US" w:eastAsia="zh-CN"/>
              </w:rPr>
              <w:t>地</w:t>
            </w:r>
            <w:r>
              <w:rPr>
                <w:rFonts w:hint="default" w:ascii="Times New Roman" w:hAnsi="Times New Roman" w:eastAsia="宋体" w:cs="Times New Roman"/>
                <w:color w:val="auto"/>
              </w:rPr>
              <w:t>处置，做到减量化、资源化、无害化，固废处置措施可行。</w:t>
            </w:r>
          </w:p>
          <w:p w14:paraId="44C9625F">
            <w:pPr>
              <w:pStyle w:val="34"/>
              <w:keepNext/>
              <w:keepLines/>
              <w:widowControl w:val="0"/>
              <w:suppressLineNumbers w:val="0"/>
              <w:tabs>
                <w:tab w:val="left" w:pos="360"/>
                <w:tab w:val="left" w:pos="900"/>
              </w:tabs>
              <w:spacing w:before="0" w:beforeAutospacing="0" w:after="0" w:afterAutospacing="0" w:line="360" w:lineRule="auto"/>
              <w:ind w:left="0" w:right="0"/>
              <w:outlineLvl w:val="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5、施工期生态环境影响</w:t>
            </w:r>
          </w:p>
          <w:p w14:paraId="7BA309B7">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施工期对土壤环境的影响主要是永久性占用土地，对土壤的机械扰动造成土壤物理特征和结构的改变。</w:t>
            </w:r>
          </w:p>
          <w:p w14:paraId="44D13948">
            <w:pPr>
              <w:pStyle w:val="149"/>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宋体"/>
                <w:color w:val="auto"/>
                <w:kern w:val="2"/>
                <w:sz w:val="24"/>
                <w:szCs w:val="24"/>
                <w:highlight w:val="none"/>
                <w:lang w:val="en-US" w:eastAsia="zh-CN" w:bidi="ar"/>
              </w:rPr>
            </w:pPr>
            <w:r>
              <w:rPr>
                <w:rFonts w:hint="eastAsia" w:ascii="Times New Roman" w:hAnsi="Times New Roman" w:eastAsia="宋体" w:cs="宋体"/>
                <w:color w:val="auto"/>
                <w:kern w:val="2"/>
                <w:sz w:val="24"/>
                <w:szCs w:val="24"/>
                <w:highlight w:val="none"/>
                <w:lang w:val="en-US" w:eastAsia="zh-CN" w:bidi="ar"/>
              </w:rPr>
              <w:t>（1）</w:t>
            </w:r>
            <w:r>
              <w:rPr>
                <w:rFonts w:hint="default" w:ascii="Times New Roman" w:hAnsi="Times New Roman" w:eastAsia="宋体" w:cs="Arial"/>
                <w:i w:val="0"/>
                <w:iCs w:val="0"/>
                <w:caps w:val="0"/>
                <w:color w:val="auto"/>
                <w:spacing w:val="0"/>
                <w:sz w:val="24"/>
                <w:szCs w:val="24"/>
                <w:shd w:val="clear" w:fill="FFFFFF"/>
              </w:rPr>
              <w:t>地基开挖和填方过程中，‌原有土壤结构被破坏，‌导致土壤的孔隙度和孔径分布变得不合理，‌影响了土壤的透气性和透水性。‌地基处理过程中，‌土壤被加固或改造，‌从而影响了土壤的孔隙度和孔隙结构。‌长期的道路建设对土壤的压实和破坏也会影响土壤的结构和通气性</w:t>
            </w:r>
            <w:r>
              <w:rPr>
                <w:rFonts w:hint="eastAsia" w:ascii="Times New Roman" w:hAnsi="Times New Roman" w:eastAsia="宋体" w:cs="Arial"/>
                <w:i w:val="0"/>
                <w:iCs w:val="0"/>
                <w:caps w:val="0"/>
                <w:color w:val="auto"/>
                <w:spacing w:val="0"/>
                <w:sz w:val="24"/>
                <w:szCs w:val="24"/>
                <w:shd w:val="clear" w:fill="FFFFFF"/>
                <w:lang w:eastAsia="zh-CN"/>
              </w:rPr>
              <w:t>。</w:t>
            </w:r>
          </w:p>
          <w:p w14:paraId="7DE651A0">
            <w:pPr>
              <w:pStyle w:val="149"/>
              <w:keepNext w:val="0"/>
              <w:keepLines w:val="0"/>
              <w:suppressLineNumbers w:val="0"/>
              <w:adjustRightInd w:val="0"/>
              <w:snapToGrid w:val="0"/>
              <w:spacing w:before="0" w:beforeAutospacing="0" w:after="0" w:afterAutospacing="0" w:line="360" w:lineRule="auto"/>
              <w:ind w:left="0" w:right="0" w:firstLine="480" w:firstLineChars="200"/>
              <w:rPr>
                <w:rFonts w:hint="eastAsia" w:ascii="宋体" w:hAnsi="宋体" w:eastAsia="宋体" w:cs="宋体"/>
                <w:color w:val="auto"/>
                <w:kern w:val="2"/>
                <w:sz w:val="24"/>
                <w:szCs w:val="24"/>
                <w:highlight w:val="none"/>
                <w:lang w:val="en-US" w:eastAsia="zh-CN" w:bidi="ar"/>
              </w:rPr>
            </w:pPr>
            <w:r>
              <w:rPr>
                <w:rFonts w:hint="eastAsia" w:ascii="Times New Roman" w:hAnsi="Times New Roman" w:eastAsia="宋体" w:cs="宋体"/>
                <w:color w:val="auto"/>
                <w:kern w:val="2"/>
                <w:sz w:val="24"/>
                <w:szCs w:val="24"/>
                <w:highlight w:val="none"/>
                <w:lang w:val="en-US" w:eastAsia="zh-CN" w:bidi="ar"/>
              </w:rPr>
              <w:t>（2）车辆对地表的扰动和占用，配套构筑物的建设等对土壤、植被的一次性破坏影响：为了工程的安全运行和施工方便，施工区域内的各项占地均要清理表层土壤和植被，并要将地表压实、夯平，清理的植被主要为项目周边生长的野生自然植被，不涉及林木的砍伐。工程施工建设对表层土壤和植被的破坏将进一步对土壤的结构和理化</w:t>
            </w:r>
            <w:r>
              <w:rPr>
                <w:rFonts w:hint="eastAsia" w:ascii="宋体" w:hAnsi="宋体" w:eastAsia="宋体" w:cs="宋体"/>
                <w:color w:val="auto"/>
                <w:kern w:val="2"/>
                <w:sz w:val="24"/>
                <w:szCs w:val="24"/>
                <w:highlight w:val="none"/>
                <w:lang w:val="en-US" w:eastAsia="zh-CN" w:bidi="ar"/>
              </w:rPr>
              <w:t>性质产生不利影响：土壤内有机质的分解作用加强，将使土壤内有机质含量进一步降低，不利于植被的自然恢复和重新栽培其他植物。施工破坏和机械挖运将使土壤有机质富集过程受阻。而施工破坏了地面植被，一旦破坏很难重新恢复。而施工和挖运，干扰了土壤有机物的富集过程，严重影响植被对灰分元素的吸收与富集。“生物自肥”途径也被阻断，阻断了生物与土壤间的物质交换。</w:t>
            </w:r>
          </w:p>
          <w:p w14:paraId="649E938C">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b w:val="0"/>
                <w:caps w:val="0"/>
                <w:color w:val="auto"/>
                <w:spacing w:val="0"/>
                <w:kern w:val="0"/>
                <w:sz w:val="24"/>
                <w:szCs w:val="20"/>
                <w:lang w:val="en-US" w:eastAsia="zh-CN" w:bidi="ar-SA"/>
              </w:rPr>
            </w:pPr>
            <w:r>
              <w:rPr>
                <w:rFonts w:hint="default" w:ascii="Times New Roman" w:hAnsi="Times New Roman" w:eastAsia="宋体" w:cs="Times New Roman"/>
                <w:b w:val="0"/>
                <w:caps w:val="0"/>
                <w:color w:val="auto"/>
                <w:spacing w:val="0"/>
                <w:kern w:val="0"/>
                <w:sz w:val="24"/>
                <w:szCs w:val="20"/>
                <w:lang w:val="en-US" w:eastAsia="zh-CN" w:bidi="ar-SA"/>
              </w:rPr>
              <w:t>本项目所在地对生态环境造成的影响通过绿化进行补偿。</w:t>
            </w:r>
          </w:p>
          <w:p w14:paraId="096939E3">
            <w:pPr>
              <w:pStyle w:val="34"/>
              <w:keepNext/>
              <w:keepLines/>
              <w:widowControl w:val="0"/>
              <w:suppressLineNumbers w:val="0"/>
              <w:tabs>
                <w:tab w:val="left" w:pos="360"/>
                <w:tab w:val="left" w:pos="900"/>
              </w:tabs>
              <w:spacing w:before="0" w:beforeAutospacing="0" w:after="0" w:afterAutospacing="0" w:line="360" w:lineRule="auto"/>
              <w:ind w:left="0" w:right="0"/>
              <w:outlineLvl w:val="2"/>
              <w:rPr>
                <w:rFonts w:hint="eastAsia" w:ascii="Times New Roman" w:hAnsi="Times New Roman" w:eastAsia="宋体" w:cs="Times New Roman"/>
                <w:b/>
                <w:bCs/>
                <w:caps w:val="0"/>
                <w:color w:val="auto"/>
                <w:spacing w:val="0"/>
                <w:kern w:val="0"/>
                <w:sz w:val="24"/>
                <w:szCs w:val="20"/>
                <w:lang w:val="en-US" w:eastAsia="zh-CN" w:bidi="ar-SA"/>
              </w:rPr>
            </w:pPr>
            <w:r>
              <w:rPr>
                <w:rFonts w:hint="eastAsia" w:ascii="Times New Roman" w:hAnsi="Times New Roman" w:eastAsia="宋体" w:cs="Times New Roman"/>
                <w:b/>
                <w:bCs/>
                <w:caps w:val="0"/>
                <w:color w:val="auto"/>
                <w:spacing w:val="0"/>
                <w:kern w:val="0"/>
                <w:sz w:val="24"/>
                <w:szCs w:val="20"/>
                <w:lang w:val="en-US" w:eastAsia="zh-CN" w:bidi="ar-SA"/>
              </w:rPr>
              <w:t>6、施工期防沙治沙措施</w:t>
            </w:r>
          </w:p>
          <w:p w14:paraId="3B42FD2A">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eastAsia="宋体" w:cs="Times New Roman"/>
                <w:b w:val="0"/>
                <w:caps w:val="0"/>
                <w:color w:val="auto"/>
                <w:spacing w:val="0"/>
                <w:kern w:val="0"/>
                <w:sz w:val="24"/>
                <w:szCs w:val="20"/>
                <w:lang w:val="en-US" w:eastAsia="zh-CN" w:bidi="ar-SA"/>
              </w:rPr>
              <w:t>本项目的建设对区域土地沙化影响主要表现在项目施工过程基础开挖和临时堆土，对地面扰动较大，可能改变和破坏了本区域原有地貌、植被和土壤结构，形成的松散堆积体和裸露地表，使土地原有的固土抗蚀能力减弱，水土流失量相应增加。</w:t>
            </w:r>
          </w:p>
          <w:p w14:paraId="7DC635F8">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eastAsia="宋体" w:cs="Times New Roman"/>
                <w:b w:val="0"/>
                <w:caps w:val="0"/>
                <w:color w:val="auto"/>
                <w:spacing w:val="0"/>
                <w:kern w:val="0"/>
                <w:sz w:val="24"/>
                <w:szCs w:val="20"/>
                <w:lang w:val="en-US" w:eastAsia="zh-CN" w:bidi="ar-SA"/>
              </w:rPr>
              <w:t>针对项目所在区域特点，本次环评提出以下防沙治沙措施及要求：</w:t>
            </w:r>
          </w:p>
          <w:p w14:paraId="34A14DA6">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cs="Times New Roman"/>
                <w:b w:val="0"/>
                <w:caps w:val="0"/>
                <w:color w:val="auto"/>
                <w:spacing w:val="0"/>
                <w:kern w:val="0"/>
                <w:sz w:val="24"/>
                <w:szCs w:val="20"/>
                <w:lang w:val="en-US" w:eastAsia="zh-CN" w:bidi="ar-SA"/>
              </w:rPr>
              <w:t>（</w:t>
            </w:r>
            <w:r>
              <w:rPr>
                <w:rFonts w:hint="eastAsia" w:ascii="Times New Roman" w:hAnsi="Times New Roman" w:eastAsia="宋体" w:cs="Times New Roman"/>
                <w:b w:val="0"/>
                <w:caps w:val="0"/>
                <w:color w:val="auto"/>
                <w:spacing w:val="0"/>
                <w:kern w:val="0"/>
                <w:sz w:val="24"/>
                <w:szCs w:val="20"/>
                <w:lang w:val="en-US" w:eastAsia="zh-CN" w:bidi="ar-SA"/>
              </w:rPr>
              <w:t>1</w:t>
            </w:r>
            <w:r>
              <w:rPr>
                <w:rFonts w:hint="eastAsia" w:ascii="Times New Roman" w:hAnsi="Times New Roman" w:cs="Times New Roman"/>
                <w:b w:val="0"/>
                <w:caps w:val="0"/>
                <w:color w:val="auto"/>
                <w:spacing w:val="0"/>
                <w:kern w:val="0"/>
                <w:sz w:val="24"/>
                <w:szCs w:val="20"/>
                <w:lang w:val="en-US" w:eastAsia="zh-CN" w:bidi="ar-SA"/>
              </w:rPr>
              <w:t>）</w:t>
            </w:r>
            <w:r>
              <w:rPr>
                <w:rFonts w:hint="eastAsia" w:ascii="Times New Roman" w:hAnsi="Times New Roman" w:eastAsia="宋体" w:cs="Times New Roman"/>
                <w:b w:val="0"/>
                <w:caps w:val="0"/>
                <w:color w:val="auto"/>
                <w:spacing w:val="0"/>
                <w:kern w:val="0"/>
                <w:sz w:val="24"/>
                <w:szCs w:val="20"/>
                <w:lang w:val="en-US" w:eastAsia="zh-CN" w:bidi="ar-SA"/>
              </w:rPr>
              <w:t>施工单位根据项目特点合理设计施工方案，节约工程占用面积。</w:t>
            </w:r>
          </w:p>
          <w:p w14:paraId="398278D5">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eastAsia"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cs="Times New Roman"/>
                <w:b w:val="0"/>
                <w:caps w:val="0"/>
                <w:color w:val="auto"/>
                <w:spacing w:val="0"/>
                <w:kern w:val="0"/>
                <w:sz w:val="24"/>
                <w:szCs w:val="20"/>
                <w:lang w:val="en-US" w:eastAsia="zh-CN" w:bidi="ar-SA"/>
              </w:rPr>
              <w:t>（</w:t>
            </w:r>
            <w:r>
              <w:rPr>
                <w:rFonts w:hint="eastAsia" w:ascii="Times New Roman" w:hAnsi="Times New Roman" w:eastAsia="宋体" w:cs="Times New Roman"/>
                <w:b w:val="0"/>
                <w:caps w:val="0"/>
                <w:color w:val="auto"/>
                <w:spacing w:val="0"/>
                <w:kern w:val="0"/>
                <w:sz w:val="24"/>
                <w:szCs w:val="20"/>
                <w:lang w:val="en-US" w:eastAsia="zh-CN" w:bidi="ar-SA"/>
              </w:rPr>
              <w:t>2</w:t>
            </w:r>
            <w:r>
              <w:rPr>
                <w:rFonts w:hint="eastAsia" w:ascii="Times New Roman" w:hAnsi="Times New Roman" w:cs="Times New Roman"/>
                <w:b w:val="0"/>
                <w:caps w:val="0"/>
                <w:color w:val="auto"/>
                <w:spacing w:val="0"/>
                <w:kern w:val="0"/>
                <w:sz w:val="24"/>
                <w:szCs w:val="20"/>
                <w:lang w:val="en-US" w:eastAsia="zh-CN" w:bidi="ar-SA"/>
              </w:rPr>
              <w:t>）</w:t>
            </w:r>
            <w:r>
              <w:rPr>
                <w:rFonts w:hint="eastAsia" w:ascii="Times New Roman" w:hAnsi="Times New Roman" w:eastAsia="宋体" w:cs="Times New Roman"/>
                <w:b w:val="0"/>
                <w:caps w:val="0"/>
                <w:color w:val="auto"/>
                <w:spacing w:val="0"/>
                <w:kern w:val="0"/>
                <w:sz w:val="24"/>
                <w:szCs w:val="20"/>
                <w:lang w:val="en-US" w:eastAsia="zh-CN" w:bidi="ar-SA"/>
              </w:rPr>
              <w:t>在施工过程中应划定施工场地范围，限定施工机械行驶路线，严禁扰动工程区以外的土地，严禁占用和破坏周边的植被。</w:t>
            </w:r>
          </w:p>
          <w:p w14:paraId="5F181B92">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3</w:t>
            </w: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对于施工期工程平整场地的产生的弃方应集中堆放，严禁任意堆放，注意对开挖处及时进行回填、压实，以降低废土场侵蚀模数；要求在堆土区边界设立挡土墙及有组织的排水沟渠。</w:t>
            </w:r>
          </w:p>
          <w:p w14:paraId="722FD2F6">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4</w:t>
            </w: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实行施工全过程管理，加强法制宣传和防沙治沙管理，对施工人员进行培训和教育，加强施工期环境监理，文明施工。</w:t>
            </w:r>
          </w:p>
          <w:p w14:paraId="0E1A6C8B">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5</w:t>
            </w: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项目区分布有稀疏植被。工程布置、料场选定、施工路线的确定，应尽可能避开植被生长相对良好的地段，禁止随意破坏自然植被，从而导致加剧土地沙化。</w:t>
            </w:r>
          </w:p>
          <w:p w14:paraId="328A9DF0">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6</w:t>
            </w: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项目建成后，应根据设计植树种草，增加植被覆盖度，防止产生水土流失造成风沙，严格执行“三禁”措施，禁止滥开垦、滥放牧、滥樵采。</w:t>
            </w:r>
          </w:p>
          <w:p w14:paraId="0155D9C7">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7</w:t>
            </w: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项目运行后，应对项目区植被进行定期养护，确保厂区绿化率。</w:t>
            </w:r>
          </w:p>
          <w:p w14:paraId="4623803C">
            <w:pPr>
              <w:pStyle w:val="34"/>
              <w:keepNext/>
              <w:keepLines/>
              <w:widowControl w:val="0"/>
              <w:suppressLineNumbers w:val="0"/>
              <w:tabs>
                <w:tab w:val="left" w:pos="360"/>
                <w:tab w:val="left" w:pos="900"/>
              </w:tabs>
              <w:spacing w:before="0" w:beforeAutospacing="0" w:after="0" w:afterAutospacing="0" w:line="360" w:lineRule="auto"/>
              <w:ind w:left="0" w:right="0" w:firstLine="480" w:firstLineChars="200"/>
              <w:outlineLvl w:val="2"/>
              <w:rPr>
                <w:rFonts w:hint="default" w:ascii="Times New Roman" w:hAnsi="Times New Roman" w:eastAsia="宋体" w:cs="Times New Roman"/>
                <w:b w:val="0"/>
                <w:caps w:val="0"/>
                <w:color w:val="auto"/>
                <w:spacing w:val="0"/>
                <w:kern w:val="0"/>
                <w:sz w:val="24"/>
                <w:szCs w:val="20"/>
                <w:lang w:val="en-US" w:eastAsia="zh-CN" w:bidi="ar-SA"/>
              </w:rPr>
            </w:pP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8</w:t>
            </w:r>
            <w:r>
              <w:rPr>
                <w:rFonts w:hint="eastAsia" w:ascii="Times New Roman" w:hAnsi="Times New Roman" w:cs="Times New Roman"/>
                <w:b w:val="0"/>
                <w:caps w:val="0"/>
                <w:color w:val="auto"/>
                <w:spacing w:val="0"/>
                <w:kern w:val="0"/>
                <w:sz w:val="24"/>
                <w:szCs w:val="20"/>
                <w:lang w:val="en-US" w:eastAsia="zh-CN" w:bidi="ar-SA"/>
              </w:rPr>
              <w:t>）</w:t>
            </w:r>
            <w:r>
              <w:rPr>
                <w:rFonts w:hint="default" w:ascii="Times New Roman" w:hAnsi="Times New Roman" w:eastAsia="宋体" w:cs="Times New Roman"/>
                <w:b w:val="0"/>
                <w:caps w:val="0"/>
                <w:color w:val="auto"/>
                <w:spacing w:val="0"/>
                <w:kern w:val="0"/>
                <w:sz w:val="24"/>
                <w:szCs w:val="20"/>
                <w:lang w:val="en-US" w:eastAsia="zh-CN" w:bidi="ar-SA"/>
              </w:rPr>
              <w:t>厂区除厂房、建构物、绿化等用地外，厂区进行水泥硬化，减少扬尘。</w:t>
            </w:r>
          </w:p>
        </w:tc>
      </w:tr>
      <w:tr w14:paraId="17739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579" w:type="dxa"/>
            <w:noWrap w:val="0"/>
            <w:tcMar>
              <w:left w:w="28" w:type="dxa"/>
              <w:right w:w="28" w:type="dxa"/>
            </w:tcMar>
            <w:vAlign w:val="center"/>
          </w:tcPr>
          <w:p w14:paraId="00B14C6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w:t>
            </w:r>
          </w:p>
          <w:p w14:paraId="195781D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期环</w:t>
            </w:r>
          </w:p>
          <w:p w14:paraId="1DE9171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境影</w:t>
            </w:r>
          </w:p>
          <w:p w14:paraId="0589236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响和</w:t>
            </w:r>
          </w:p>
          <w:p w14:paraId="3787EC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保护</w:t>
            </w:r>
          </w:p>
          <w:p w14:paraId="2D9F5BA7">
            <w:pPr>
              <w:pStyle w:val="34"/>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spacing w:val="8"/>
                <w:kern w:val="2"/>
                <w:szCs w:val="24"/>
              </w:rPr>
              <w:t>措施</w:t>
            </w:r>
          </w:p>
        </w:tc>
        <w:tc>
          <w:tcPr>
            <w:tcW w:w="8402" w:type="dxa"/>
            <w:noWrap w:val="0"/>
            <w:vAlign w:val="top"/>
          </w:tcPr>
          <w:p w14:paraId="7B3D31CD">
            <w:pPr>
              <w:keepNext w:val="0"/>
              <w:keepLines w:val="0"/>
              <w:suppressLineNumbers w:val="0"/>
              <w:spacing w:before="0" w:beforeAutospacing="0" w:after="0" w:afterAutospacing="0" w:line="360" w:lineRule="auto"/>
              <w:ind w:left="0" w:right="0"/>
              <w:rPr>
                <w:rFonts w:hint="default" w:ascii="Times New Roman" w:hAnsi="Times New Roman" w:eastAsia="宋体"/>
                <w:b/>
                <w:bCs/>
                <w:color w:val="auto"/>
                <w:sz w:val="24"/>
              </w:rPr>
            </w:pPr>
            <w:r>
              <w:rPr>
                <w:rFonts w:hint="default" w:ascii="Times New Roman" w:hAnsi="Times New Roman" w:eastAsia="宋体"/>
                <w:b/>
                <w:bCs/>
                <w:color w:val="auto"/>
                <w:sz w:val="24"/>
              </w:rPr>
              <w:t>1、大气</w:t>
            </w:r>
            <w:r>
              <w:rPr>
                <w:rFonts w:hint="eastAsia" w:ascii="Times New Roman" w:hAnsi="Times New Roman" w:eastAsia="宋体"/>
                <w:b/>
                <w:bCs/>
                <w:color w:val="auto"/>
                <w:sz w:val="24"/>
              </w:rPr>
              <w:t>环境</w:t>
            </w:r>
            <w:r>
              <w:rPr>
                <w:rFonts w:hint="default" w:ascii="Times New Roman" w:hAnsi="Times New Roman" w:eastAsia="宋体"/>
                <w:b/>
                <w:bCs/>
                <w:color w:val="auto"/>
                <w:sz w:val="24"/>
              </w:rPr>
              <w:t>影响分析</w:t>
            </w:r>
          </w:p>
          <w:p w14:paraId="0FF451F9">
            <w:pPr>
              <w:keepNext w:val="0"/>
              <w:keepLines w:val="0"/>
              <w:widowControl/>
              <w:suppressLineNumbers w:val="0"/>
              <w:spacing w:before="0" w:beforeAutospacing="0" w:after="0" w:afterAutospacing="0" w:line="360" w:lineRule="auto"/>
              <w:ind w:left="0" w:right="0" w:firstLine="482" w:firstLineChars="200"/>
              <w:rPr>
                <w:rFonts w:hint="default" w:ascii="Times New Roman" w:hAnsi="Times New Roman" w:eastAsia="宋体"/>
                <w:b/>
                <w:color w:val="auto"/>
                <w:sz w:val="24"/>
              </w:rPr>
            </w:pPr>
            <w:r>
              <w:rPr>
                <w:rFonts w:hint="default" w:ascii="Times New Roman" w:hAnsi="Times New Roman" w:eastAsia="宋体"/>
                <w:b/>
                <w:color w:val="auto"/>
                <w:sz w:val="24"/>
                <w:lang w:bidi="ar"/>
              </w:rPr>
              <w:t>1.1</w:t>
            </w:r>
            <w:r>
              <w:rPr>
                <w:rFonts w:hint="eastAsia" w:ascii="Times New Roman" w:hAnsi="Times New Roman" w:eastAsia="宋体"/>
                <w:b/>
                <w:color w:val="auto"/>
                <w:sz w:val="24"/>
                <w:lang w:bidi="ar"/>
              </w:rPr>
              <w:t xml:space="preserve"> 大气污染物源强估算</w:t>
            </w:r>
          </w:p>
          <w:p w14:paraId="7EAE2D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bCs/>
                <w:color w:val="auto"/>
                <w:sz w:val="24"/>
                <w:lang w:val="en-US" w:eastAsia="zh-CN"/>
              </w:rPr>
            </w:pPr>
            <w:r>
              <w:rPr>
                <w:rFonts w:hint="eastAsia"/>
                <w:b/>
                <w:bCs/>
                <w:color w:val="auto"/>
                <w:sz w:val="24"/>
                <w:lang w:val="en-US" w:eastAsia="zh-CN"/>
              </w:rPr>
              <w:t>1.1.1 热风炉废气</w:t>
            </w:r>
          </w:p>
          <w:p w14:paraId="0F2C0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宋体"/>
                <w:b w:val="0"/>
                <w:bCs w:val="0"/>
                <w:color w:val="auto"/>
                <w:kern w:val="0"/>
                <w:sz w:val="18"/>
                <w:szCs w:val="18"/>
                <w:lang w:val="en-US" w:eastAsia="zh-CN" w:bidi="ar"/>
              </w:rPr>
            </w:pPr>
            <w:r>
              <w:rPr>
                <w:rFonts w:hint="eastAsia" w:ascii="Times New Roman" w:hAnsi="Times New Roman" w:eastAsia="宋体"/>
                <w:color w:val="auto"/>
                <w:sz w:val="24"/>
              </w:rPr>
              <w:t>本项目锅炉</w:t>
            </w:r>
            <w:r>
              <w:rPr>
                <w:rFonts w:hint="eastAsia" w:ascii="Times New Roman" w:hAnsi="Times New Roman" w:eastAsia="宋体"/>
                <w:color w:val="auto"/>
                <w:sz w:val="24"/>
                <w:lang w:val="en-US" w:eastAsia="zh-CN"/>
              </w:rPr>
              <w:t>燃料</w:t>
            </w:r>
            <w:r>
              <w:rPr>
                <w:rFonts w:hint="eastAsia" w:ascii="Times New Roman" w:hAnsi="Times New Roman" w:eastAsia="宋体"/>
                <w:color w:val="auto"/>
                <w:sz w:val="24"/>
                <w:lang w:val="en-US"/>
              </w:rPr>
              <w:t>使用</w:t>
            </w:r>
            <w:r>
              <w:rPr>
                <w:rFonts w:hint="eastAsia" w:ascii="Times New Roman" w:hAnsi="Times New Roman" w:eastAsia="宋体"/>
                <w:color w:val="auto"/>
                <w:sz w:val="24"/>
                <w:lang w:val="en-US" w:eastAsia="zh-CN"/>
              </w:rPr>
              <w:t>生物质颗粒，</w:t>
            </w:r>
            <w:r>
              <w:rPr>
                <w:rFonts w:hint="eastAsia" w:ascii="Times New Roman" w:hAnsi="Times New Roman" w:eastAsia="宋体"/>
                <w:color w:val="auto"/>
                <w:sz w:val="24"/>
                <w:lang w:val="en-US"/>
              </w:rPr>
              <w:t>属于</w:t>
            </w:r>
            <w:r>
              <w:rPr>
                <w:rFonts w:hint="eastAsia" w:ascii="Times New Roman" w:hAnsi="Times New Roman" w:eastAsia="宋体"/>
                <w:color w:val="auto"/>
                <w:sz w:val="24"/>
                <w:lang w:val="en-US" w:eastAsia="zh-CN"/>
              </w:rPr>
              <w:t>可再生</w:t>
            </w:r>
            <w:r>
              <w:rPr>
                <w:rFonts w:hint="eastAsia" w:ascii="Times New Roman" w:hAnsi="Times New Roman" w:eastAsia="宋体"/>
                <w:color w:val="auto"/>
                <w:sz w:val="24"/>
                <w:lang w:val="en-US"/>
              </w:rPr>
              <w:t>能源，由</w:t>
            </w:r>
            <w:r>
              <w:rPr>
                <w:rFonts w:hint="eastAsia"/>
                <w:color w:val="auto"/>
                <w:sz w:val="24"/>
                <w:lang w:val="en-US" w:eastAsia="zh-CN"/>
              </w:rPr>
              <w:t>外部</w:t>
            </w:r>
            <w:r>
              <w:rPr>
                <w:rFonts w:hint="eastAsia" w:ascii="Times New Roman" w:hAnsi="Times New Roman" w:eastAsia="宋体"/>
                <w:color w:val="auto"/>
                <w:sz w:val="24"/>
                <w:lang w:val="en-US" w:eastAsia="zh-CN"/>
              </w:rPr>
              <w:t>收购能够满足需求</w:t>
            </w:r>
            <w:r>
              <w:rPr>
                <w:rFonts w:hint="eastAsia" w:ascii="Times New Roman" w:hAnsi="Times New Roman" w:eastAsia="宋体"/>
                <w:color w:val="auto"/>
                <w:sz w:val="24"/>
                <w:lang w:val="en-US"/>
              </w:rPr>
              <w:t>。锅炉燃烧</w:t>
            </w:r>
            <w:r>
              <w:rPr>
                <w:rFonts w:hint="eastAsia" w:ascii="Times New Roman" w:hAnsi="Times New Roman" w:eastAsia="宋体"/>
                <w:color w:val="auto"/>
                <w:sz w:val="24"/>
                <w:lang w:val="en-US" w:eastAsia="zh-CN"/>
              </w:rPr>
              <w:t>生物质颗粒</w:t>
            </w:r>
            <w:r>
              <w:rPr>
                <w:rFonts w:hint="eastAsia" w:ascii="Times New Roman" w:hAnsi="Times New Roman" w:eastAsia="宋体"/>
                <w:color w:val="auto"/>
                <w:sz w:val="24"/>
                <w:lang w:val="en-US"/>
              </w:rPr>
              <w:t>产生的烟气中主要污染物为SO</w:t>
            </w:r>
            <w:r>
              <w:rPr>
                <w:rFonts w:hint="eastAsia" w:ascii="Times New Roman" w:hAnsi="Times New Roman" w:eastAsia="宋体"/>
                <w:color w:val="auto"/>
                <w:sz w:val="24"/>
                <w:vertAlign w:val="subscript"/>
                <w:lang w:val="en-US"/>
              </w:rPr>
              <w:t>2</w:t>
            </w:r>
            <w:r>
              <w:rPr>
                <w:rFonts w:hint="eastAsia" w:ascii="Times New Roman" w:hAnsi="Times New Roman" w:eastAsia="宋体"/>
                <w:color w:val="auto"/>
                <w:sz w:val="24"/>
                <w:lang w:val="en-US"/>
              </w:rPr>
              <w:t>、NO</w:t>
            </w:r>
            <w:r>
              <w:rPr>
                <w:rFonts w:hint="eastAsia" w:ascii="Times New Roman" w:hAnsi="Times New Roman" w:eastAsia="宋体"/>
                <w:color w:val="auto"/>
                <w:sz w:val="24"/>
                <w:vertAlign w:val="subscript"/>
                <w:lang w:val="en-US"/>
              </w:rPr>
              <w:t>x</w:t>
            </w:r>
            <w:r>
              <w:rPr>
                <w:rFonts w:hint="eastAsia" w:ascii="Times New Roman" w:hAnsi="Times New Roman" w:eastAsia="宋体"/>
                <w:color w:val="auto"/>
                <w:sz w:val="24"/>
                <w:lang w:val="en-US"/>
              </w:rPr>
              <w:t>和烟尘等。污染物排放量与燃料组分、锅炉燃烧方式、燃烧工况及正常运行与否等因素有关。</w:t>
            </w:r>
          </w:p>
          <w:p w14:paraId="45452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lang w:eastAsia="zh-CN"/>
              </w:rPr>
            </w:pPr>
            <w:r>
              <w:rPr>
                <w:rFonts w:hint="default" w:ascii="Times New Roman" w:hAnsi="Times New Roman" w:eastAsia="宋体"/>
                <w:color w:val="auto"/>
                <w:sz w:val="24"/>
              </w:rPr>
              <w:t>本项目</w:t>
            </w:r>
            <w:r>
              <w:rPr>
                <w:rFonts w:hint="eastAsia"/>
                <w:color w:val="auto"/>
                <w:sz w:val="24"/>
                <w:lang w:val="en-US" w:eastAsia="zh-CN"/>
              </w:rPr>
              <w:t>新建1台生物质热风炉</w:t>
            </w:r>
            <w:r>
              <w:rPr>
                <w:rFonts w:hint="eastAsia" w:ascii="Times New Roman" w:hAnsi="Times New Roman" w:eastAsia="宋体"/>
                <w:color w:val="auto"/>
                <w:sz w:val="24"/>
                <w:lang w:val="en-US" w:eastAsia="zh-CN"/>
              </w:rPr>
              <w:t>。</w:t>
            </w:r>
            <w:r>
              <w:rPr>
                <w:rFonts w:hint="eastAsia" w:ascii="Times New Roman" w:hAnsi="Times New Roman" w:eastAsia="宋体" w:cs="Times New Roman"/>
                <w:color w:val="auto"/>
                <w:sz w:val="24"/>
                <w:highlight w:val="none"/>
                <w:lang w:val="en-US" w:eastAsia="zh-CN"/>
              </w:rPr>
              <w:t>根据建设单位提供资料，本项目</w:t>
            </w:r>
            <w:r>
              <w:rPr>
                <w:rFonts w:hint="eastAsia" w:cs="Times New Roman"/>
                <w:color w:val="auto"/>
                <w:sz w:val="24"/>
                <w:highlight w:val="none"/>
                <w:lang w:val="en-US" w:eastAsia="zh-CN"/>
              </w:rPr>
              <w:t>生物质热风炉</w:t>
            </w:r>
            <w:r>
              <w:rPr>
                <w:rFonts w:hint="eastAsia" w:ascii="Times New Roman" w:hAnsi="Times New Roman" w:eastAsia="宋体" w:cs="Times New Roman"/>
                <w:color w:val="auto"/>
                <w:sz w:val="24"/>
                <w:highlight w:val="none"/>
                <w:lang w:val="en-US" w:eastAsia="zh-CN"/>
              </w:rPr>
              <w:t>生物质颗粒燃料年用量为</w:t>
            </w:r>
            <w:r>
              <w:rPr>
                <w:rFonts w:hint="eastAsia" w:cs="Times New Roman"/>
                <w:color w:val="auto"/>
                <w:sz w:val="24"/>
                <w:highlight w:val="none"/>
                <w:lang w:val="en-US" w:eastAsia="zh-CN"/>
              </w:rPr>
              <w:t>3000t</w:t>
            </w:r>
            <w:r>
              <w:rPr>
                <w:rFonts w:hint="eastAsia" w:ascii="Times New Roman" w:hAnsi="Times New Roman" w:eastAsia="宋体" w:cs="Times New Roman"/>
                <w:color w:val="auto"/>
                <w:sz w:val="24"/>
                <w:highlight w:val="none"/>
                <w:lang w:val="en-US" w:eastAsia="zh-CN"/>
              </w:rPr>
              <w:t>。本</w:t>
            </w:r>
            <w:r>
              <w:rPr>
                <w:rFonts w:hint="eastAsia" w:ascii="Times New Roman" w:hAnsi="Times New Roman" w:eastAsia="宋体" w:cs="Times New Roman"/>
                <w:color w:val="auto"/>
                <w:sz w:val="24"/>
                <w:lang w:val="en-US" w:eastAsia="zh-CN"/>
              </w:rPr>
              <w:t>项目锅炉年运行</w:t>
            </w:r>
            <w:r>
              <w:rPr>
                <w:rFonts w:hint="eastAsia" w:cs="Times New Roman"/>
                <w:color w:val="auto"/>
                <w:sz w:val="24"/>
                <w:lang w:val="en-US" w:eastAsia="zh-CN"/>
              </w:rPr>
              <w:t>10</w:t>
            </w:r>
            <w:r>
              <w:rPr>
                <w:rFonts w:hint="eastAsia" w:ascii="Times New Roman" w:hAnsi="Times New Roman" w:eastAsia="宋体" w:cs="Times New Roman"/>
                <w:color w:val="auto"/>
                <w:sz w:val="24"/>
                <w:lang w:val="en-US" w:eastAsia="zh-CN"/>
              </w:rPr>
              <w:t>0天，平均每天运行</w:t>
            </w:r>
            <w:r>
              <w:rPr>
                <w:rFonts w:hint="eastAsia" w:cs="Times New Roman"/>
                <w:color w:val="auto"/>
                <w:sz w:val="24"/>
                <w:lang w:val="en-US" w:eastAsia="zh-CN"/>
              </w:rPr>
              <w:t>12</w:t>
            </w:r>
            <w:r>
              <w:rPr>
                <w:rFonts w:hint="eastAsia" w:ascii="Times New Roman" w:hAnsi="Times New Roman" w:eastAsia="宋体" w:cs="Times New Roman"/>
                <w:color w:val="auto"/>
                <w:sz w:val="24"/>
                <w:lang w:val="en-US" w:eastAsia="zh-CN"/>
              </w:rPr>
              <w:t>小时。</w:t>
            </w:r>
          </w:p>
          <w:p w14:paraId="39DEBE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bCs/>
                <w:color w:val="auto"/>
                <w:sz w:val="24"/>
                <w:lang w:eastAsia="zh-CN"/>
              </w:rPr>
            </w:pPr>
            <w:r>
              <w:rPr>
                <w:rFonts w:hint="eastAsia" w:ascii="Times New Roman" w:hAnsi="Times New Roman" w:eastAsia="宋体"/>
                <w:bCs/>
                <w:color w:val="auto"/>
                <w:sz w:val="24"/>
                <w:lang w:eastAsia="zh-CN"/>
              </w:rPr>
              <w:t>生物质颗粒燃烧</w:t>
            </w:r>
            <w:r>
              <w:rPr>
                <w:rFonts w:hint="default" w:ascii="Times New Roman" w:hAnsi="Times New Roman" w:eastAsia="宋体"/>
                <w:bCs/>
                <w:color w:val="auto"/>
                <w:sz w:val="24"/>
              </w:rPr>
              <w:t>产生的大气污染物主要为二氧化硫（SO</w:t>
            </w:r>
            <w:r>
              <w:rPr>
                <w:rFonts w:hint="default" w:ascii="Times New Roman" w:hAnsi="Times New Roman" w:eastAsia="宋体"/>
                <w:bCs/>
                <w:color w:val="auto"/>
                <w:sz w:val="24"/>
                <w:vertAlign w:val="subscript"/>
              </w:rPr>
              <w:t>2</w:t>
            </w:r>
            <w:r>
              <w:rPr>
                <w:rFonts w:hint="eastAsia"/>
                <w:bCs/>
                <w:color w:val="auto"/>
                <w:sz w:val="24"/>
                <w:lang w:eastAsia="zh-CN"/>
              </w:rPr>
              <w:t>）</w:t>
            </w:r>
            <w:r>
              <w:rPr>
                <w:rFonts w:hint="default" w:ascii="Times New Roman" w:hAnsi="Times New Roman" w:eastAsia="宋体"/>
                <w:bCs/>
                <w:color w:val="auto"/>
                <w:sz w:val="24"/>
              </w:rPr>
              <w:t>、氮氧化物（NO</w:t>
            </w:r>
            <w:r>
              <w:rPr>
                <w:rFonts w:hint="default" w:ascii="Times New Roman" w:hAnsi="Times New Roman" w:eastAsia="宋体"/>
                <w:bCs/>
                <w:color w:val="auto"/>
                <w:sz w:val="24"/>
                <w:vertAlign w:val="subscript"/>
              </w:rPr>
              <w:t>x</w:t>
            </w:r>
            <w:r>
              <w:rPr>
                <w:rFonts w:hint="eastAsia"/>
                <w:bCs/>
                <w:color w:val="auto"/>
                <w:sz w:val="24"/>
                <w:lang w:eastAsia="zh-CN"/>
              </w:rPr>
              <w:t>）</w:t>
            </w:r>
            <w:r>
              <w:rPr>
                <w:rFonts w:hint="default" w:ascii="Times New Roman" w:hAnsi="Times New Roman" w:eastAsia="宋体"/>
                <w:bCs/>
                <w:color w:val="auto"/>
                <w:sz w:val="24"/>
                <w:highlight w:val="none"/>
              </w:rPr>
              <w:t>及烟尘，根据《污染源源强核算技术指南 锅炉》（HJ</w:t>
            </w:r>
            <w:r>
              <w:rPr>
                <w:rFonts w:hint="eastAsia"/>
                <w:bCs/>
                <w:color w:val="auto"/>
                <w:sz w:val="24"/>
                <w:highlight w:val="none"/>
                <w:lang w:val="en-US" w:eastAsia="zh-CN"/>
              </w:rPr>
              <w:t xml:space="preserve"> </w:t>
            </w:r>
            <w:r>
              <w:rPr>
                <w:rFonts w:hint="default" w:ascii="Times New Roman" w:hAnsi="Times New Roman" w:eastAsia="宋体"/>
                <w:bCs/>
                <w:color w:val="auto"/>
                <w:sz w:val="24"/>
                <w:highlight w:val="none"/>
              </w:rPr>
              <w:t>991-2018</w:t>
            </w:r>
            <w:r>
              <w:rPr>
                <w:rFonts w:hint="eastAsia"/>
                <w:bCs/>
                <w:color w:val="auto"/>
                <w:sz w:val="24"/>
                <w:highlight w:val="none"/>
                <w:lang w:eastAsia="zh-CN"/>
              </w:rPr>
              <w:t>）</w:t>
            </w:r>
            <w:r>
              <w:rPr>
                <w:rFonts w:hint="default" w:ascii="Times New Roman" w:hAnsi="Times New Roman" w:eastAsia="宋体"/>
                <w:bCs/>
                <w:color w:val="auto"/>
                <w:sz w:val="24"/>
                <w:highlight w:val="none"/>
              </w:rPr>
              <w:t>，废气污染源源强核算方法有物料衡算法、类比法及产污系数法，本次评价采用</w:t>
            </w:r>
            <w:r>
              <w:rPr>
                <w:rFonts w:hint="eastAsia"/>
                <w:bCs/>
                <w:color w:val="auto"/>
                <w:sz w:val="24"/>
                <w:highlight w:val="none"/>
                <w:lang w:val="en-US" w:eastAsia="zh-CN"/>
              </w:rPr>
              <w:t>物料衡算法和</w:t>
            </w:r>
            <w:r>
              <w:rPr>
                <w:rFonts w:hint="default" w:ascii="Times New Roman" w:hAnsi="Times New Roman" w:eastAsia="宋体"/>
                <w:bCs/>
                <w:color w:val="auto"/>
                <w:sz w:val="24"/>
                <w:highlight w:val="none"/>
              </w:rPr>
              <w:t>产污系数法</w:t>
            </w:r>
            <w:r>
              <w:rPr>
                <w:rFonts w:hint="eastAsia" w:ascii="Times New Roman" w:hAnsi="Times New Roman" w:eastAsia="宋体"/>
                <w:bCs/>
                <w:color w:val="auto"/>
                <w:sz w:val="24"/>
                <w:highlight w:val="none"/>
                <w:lang w:eastAsia="zh-CN"/>
              </w:rPr>
              <w:t>。</w:t>
            </w:r>
          </w:p>
          <w:p w14:paraId="10F171DB">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olor w:val="auto"/>
                <w:sz w:val="24"/>
              </w:rPr>
            </w:pPr>
            <w:r>
              <w:rPr>
                <w:rFonts w:hint="eastAsia" w:ascii="Times New Roman" w:hAnsi="Times New Roman" w:eastAsia="宋体"/>
                <w:color w:val="auto"/>
                <w:sz w:val="24"/>
              </w:rPr>
              <w:t>产污系数：</w:t>
            </w:r>
            <w:r>
              <w:rPr>
                <w:rFonts w:hint="default" w:ascii="Times New Roman" w:hAnsi="Times New Roman" w:eastAsia="宋体"/>
                <w:color w:val="auto"/>
                <w:sz w:val="24"/>
              </w:rPr>
              <w:t>根据《排污许可证申请与核发技术规范</w:t>
            </w:r>
            <w:r>
              <w:rPr>
                <w:rFonts w:hint="eastAsia"/>
                <w:color w:val="auto"/>
                <w:sz w:val="24"/>
                <w:lang w:val="en-US" w:eastAsia="zh-CN"/>
              </w:rPr>
              <w:t xml:space="preserve"> </w:t>
            </w:r>
            <w:r>
              <w:rPr>
                <w:rFonts w:hint="default" w:ascii="Times New Roman" w:hAnsi="Times New Roman" w:eastAsia="宋体"/>
                <w:color w:val="auto"/>
                <w:sz w:val="24"/>
              </w:rPr>
              <w:t>锅炉》</w:t>
            </w:r>
            <w:r>
              <w:rPr>
                <w:rFonts w:hint="eastAsia" w:ascii="Times New Roman" w:hAnsi="Times New Roman" w:eastAsia="宋体"/>
                <w:color w:val="auto"/>
                <w:sz w:val="24"/>
              </w:rPr>
              <w:t>（</w:t>
            </w:r>
            <w:r>
              <w:rPr>
                <w:rFonts w:hint="default" w:ascii="Times New Roman" w:hAnsi="Times New Roman" w:eastAsia="宋体"/>
                <w:color w:val="auto"/>
                <w:sz w:val="24"/>
              </w:rPr>
              <w:t>HJ</w:t>
            </w:r>
            <w:r>
              <w:rPr>
                <w:rFonts w:hint="eastAsia"/>
                <w:color w:val="auto"/>
                <w:sz w:val="24"/>
                <w:lang w:val="en-US" w:eastAsia="zh-CN"/>
              </w:rPr>
              <w:t xml:space="preserve"> </w:t>
            </w:r>
            <w:r>
              <w:rPr>
                <w:rFonts w:hint="default" w:ascii="Times New Roman" w:hAnsi="Times New Roman" w:eastAsia="宋体"/>
                <w:color w:val="auto"/>
                <w:sz w:val="24"/>
              </w:rPr>
              <w:t>953-2018</w:t>
            </w:r>
            <w:r>
              <w:rPr>
                <w:rFonts w:hint="eastAsia"/>
                <w:color w:val="auto"/>
                <w:sz w:val="24"/>
                <w:lang w:eastAsia="zh-CN"/>
              </w:rPr>
              <w:t>）</w:t>
            </w:r>
            <w:r>
              <w:rPr>
                <w:rFonts w:hint="eastAsia" w:ascii="Times New Roman" w:hAnsi="Times New Roman" w:eastAsia="宋体"/>
                <w:color w:val="auto"/>
                <w:sz w:val="24"/>
              </w:rPr>
              <w:t>中锅炉废气产排污系数。各项污染物排放系数详见表4-</w:t>
            </w:r>
            <w:r>
              <w:rPr>
                <w:rFonts w:hint="eastAsia"/>
                <w:color w:val="auto"/>
                <w:sz w:val="24"/>
                <w:lang w:val="en-US" w:eastAsia="zh-CN"/>
              </w:rPr>
              <w:t>5</w:t>
            </w:r>
            <w:r>
              <w:rPr>
                <w:rFonts w:hint="eastAsia" w:ascii="Times New Roman" w:hAnsi="Times New Roman" w:eastAsia="宋体"/>
                <w:color w:val="auto"/>
                <w:sz w:val="24"/>
              </w:rPr>
              <w:t>。</w:t>
            </w:r>
          </w:p>
          <w:p w14:paraId="47A54BAD">
            <w:pPr>
              <w:pStyle w:val="37"/>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
                <w:bCs/>
                <w:color w:val="auto"/>
                <w:sz w:val="21"/>
                <w:szCs w:val="21"/>
                <w:lang w:eastAsia="zh-CN"/>
              </w:rPr>
            </w:pPr>
            <w:r>
              <w:rPr>
                <w:rFonts w:hint="eastAsia" w:ascii="Times New Roman" w:hAnsi="Times New Roman" w:eastAsia="宋体"/>
                <w:b/>
                <w:bCs/>
                <w:color w:val="auto"/>
                <w:sz w:val="21"/>
                <w:szCs w:val="21"/>
              </w:rPr>
              <w:t>表4-</w:t>
            </w:r>
            <w:r>
              <w:rPr>
                <w:rFonts w:hint="eastAsia" w:ascii="Times New Roman"/>
                <w:b/>
                <w:bCs/>
                <w:color w:val="auto"/>
                <w:sz w:val="21"/>
                <w:szCs w:val="21"/>
                <w:lang w:val="en-US" w:eastAsia="zh-CN"/>
              </w:rPr>
              <w:t>5</w:t>
            </w:r>
            <w:r>
              <w:rPr>
                <w:rFonts w:hint="eastAsia" w:ascii="Times New Roman" w:hAnsi="Times New Roman" w:eastAsia="宋体"/>
                <w:b/>
                <w:bCs/>
                <w:color w:val="auto"/>
                <w:sz w:val="21"/>
                <w:szCs w:val="21"/>
              </w:rPr>
              <w:t xml:space="preserve">  </w:t>
            </w:r>
            <w:r>
              <w:rPr>
                <w:rFonts w:hint="eastAsia" w:ascii="Times New Roman"/>
                <w:b/>
                <w:bCs/>
                <w:color w:val="auto"/>
                <w:sz w:val="21"/>
                <w:szCs w:val="21"/>
                <w:lang w:eastAsia="zh-CN"/>
              </w:rPr>
              <w:t>生物质热风炉排污系数</w:t>
            </w:r>
          </w:p>
          <w:tbl>
            <w:tblPr>
              <w:tblStyle w:val="40"/>
              <w:tblW w:w="498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655"/>
              <w:gridCol w:w="787"/>
              <w:gridCol w:w="892"/>
              <w:gridCol w:w="1060"/>
              <w:gridCol w:w="1057"/>
              <w:gridCol w:w="680"/>
              <w:gridCol w:w="1122"/>
              <w:gridCol w:w="1908"/>
            </w:tblGrid>
            <w:tr w14:paraId="6D33F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401" w:type="pct"/>
                  <w:tcBorders>
                    <w:tl2br w:val="nil"/>
                    <w:tr2bl w:val="nil"/>
                  </w:tcBorders>
                  <w:vAlign w:val="center"/>
                </w:tcPr>
                <w:p w14:paraId="09535A03">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eastAsia" w:ascii="Times New Roman" w:hAnsi="Times New Roman" w:eastAsia="宋体"/>
                      <w:b/>
                      <w:bCs/>
                      <w:color w:val="auto"/>
                      <w:sz w:val="21"/>
                      <w:szCs w:val="21"/>
                    </w:rPr>
                    <w:t>原料</w:t>
                  </w:r>
                </w:p>
              </w:tc>
              <w:tc>
                <w:tcPr>
                  <w:tcW w:w="482" w:type="pct"/>
                  <w:tcBorders>
                    <w:tl2br w:val="nil"/>
                    <w:tr2bl w:val="nil"/>
                  </w:tcBorders>
                  <w:vAlign w:val="center"/>
                </w:tcPr>
                <w:p w14:paraId="45F45A4D">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eastAsia" w:ascii="Times New Roman" w:hAnsi="Times New Roman" w:eastAsia="宋体"/>
                      <w:b/>
                      <w:bCs/>
                      <w:color w:val="auto"/>
                      <w:sz w:val="21"/>
                      <w:szCs w:val="21"/>
                    </w:rPr>
                    <w:t>污染物指标</w:t>
                  </w:r>
                </w:p>
              </w:tc>
              <w:tc>
                <w:tcPr>
                  <w:tcW w:w="546" w:type="pct"/>
                  <w:tcBorders>
                    <w:tl2br w:val="nil"/>
                    <w:tr2bl w:val="nil"/>
                  </w:tcBorders>
                  <w:vAlign w:val="center"/>
                </w:tcPr>
                <w:p w14:paraId="7577494C">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eastAsia" w:ascii="Times New Roman" w:hAnsi="Times New Roman" w:eastAsia="宋体"/>
                      <w:b/>
                      <w:bCs/>
                      <w:color w:val="auto"/>
                      <w:sz w:val="21"/>
                      <w:szCs w:val="21"/>
                    </w:rPr>
                    <w:t>单位</w:t>
                  </w:r>
                </w:p>
              </w:tc>
              <w:tc>
                <w:tcPr>
                  <w:tcW w:w="649" w:type="pct"/>
                  <w:tcBorders>
                    <w:tl2br w:val="nil"/>
                    <w:tr2bl w:val="nil"/>
                  </w:tcBorders>
                  <w:vAlign w:val="center"/>
                </w:tcPr>
                <w:p w14:paraId="6381E6D6">
                  <w:pPr>
                    <w:pStyle w:val="37"/>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
                      <w:bCs/>
                      <w:color w:val="auto"/>
                      <w:sz w:val="21"/>
                      <w:szCs w:val="21"/>
                      <w:lang w:eastAsia="zh-CN"/>
                    </w:rPr>
                  </w:pPr>
                  <w:r>
                    <w:rPr>
                      <w:rFonts w:hint="eastAsia" w:ascii="Times New Roman"/>
                      <w:b/>
                      <w:bCs/>
                      <w:color w:val="auto"/>
                      <w:sz w:val="21"/>
                      <w:szCs w:val="21"/>
                      <w:lang w:val="en-US" w:eastAsia="zh-CN"/>
                    </w:rPr>
                    <w:t>产污</w:t>
                  </w:r>
                  <w:r>
                    <w:rPr>
                      <w:rFonts w:hint="eastAsia" w:ascii="Times New Roman" w:hAnsi="Times New Roman" w:eastAsia="宋体"/>
                      <w:b/>
                      <w:bCs/>
                      <w:color w:val="auto"/>
                      <w:sz w:val="21"/>
                      <w:szCs w:val="21"/>
                    </w:rPr>
                    <w:t>系数（源强</w:t>
                  </w:r>
                  <w:r>
                    <w:rPr>
                      <w:rFonts w:hint="eastAsia" w:ascii="Times New Roman"/>
                      <w:b/>
                      <w:bCs/>
                      <w:color w:val="auto"/>
                      <w:sz w:val="21"/>
                      <w:szCs w:val="21"/>
                      <w:lang w:eastAsia="zh-CN"/>
                    </w:rPr>
                    <w:t>）</w:t>
                  </w:r>
                </w:p>
              </w:tc>
              <w:tc>
                <w:tcPr>
                  <w:tcW w:w="647" w:type="pct"/>
                  <w:tcBorders>
                    <w:tl2br w:val="nil"/>
                    <w:tr2bl w:val="nil"/>
                  </w:tcBorders>
                  <w:vAlign w:val="center"/>
                </w:tcPr>
                <w:p w14:paraId="36E0152A">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lang w:val="en-US" w:eastAsia="zh-CN"/>
                    </w:rPr>
                  </w:pPr>
                  <w:r>
                    <w:rPr>
                      <w:rFonts w:hint="eastAsia" w:ascii="Times New Roman"/>
                      <w:b/>
                      <w:bCs/>
                      <w:color w:val="auto"/>
                      <w:sz w:val="21"/>
                      <w:szCs w:val="21"/>
                      <w:lang w:val="en-US" w:eastAsia="zh-CN"/>
                    </w:rPr>
                    <w:t>末端治理技术</w:t>
                  </w:r>
                </w:p>
              </w:tc>
              <w:tc>
                <w:tcPr>
                  <w:tcW w:w="416" w:type="pct"/>
                  <w:tcBorders>
                    <w:tl2br w:val="nil"/>
                    <w:tr2bl w:val="nil"/>
                  </w:tcBorders>
                  <w:vAlign w:val="center"/>
                </w:tcPr>
                <w:p w14:paraId="715E94AB">
                  <w:pPr>
                    <w:pStyle w:val="37"/>
                    <w:keepNext w:val="0"/>
                    <w:keepLines w:val="0"/>
                    <w:suppressLineNumbers w:val="0"/>
                    <w:spacing w:before="0" w:beforeAutospacing="0" w:after="0" w:afterAutospacing="0" w:line="240" w:lineRule="auto"/>
                    <w:ind w:left="0" w:right="0" w:firstLine="0" w:firstLineChars="0"/>
                    <w:jc w:val="center"/>
                    <w:rPr>
                      <w:rFonts w:hint="eastAsia" w:ascii="Times New Roman"/>
                      <w:b/>
                      <w:bCs/>
                      <w:color w:val="auto"/>
                      <w:sz w:val="21"/>
                      <w:szCs w:val="21"/>
                      <w:lang w:val="en-US" w:eastAsia="zh-CN"/>
                    </w:rPr>
                  </w:pPr>
                  <w:r>
                    <w:rPr>
                      <w:rFonts w:hint="eastAsia" w:ascii="Times New Roman"/>
                      <w:b/>
                      <w:bCs/>
                      <w:color w:val="auto"/>
                      <w:sz w:val="21"/>
                      <w:szCs w:val="21"/>
                      <w:lang w:val="en-US" w:eastAsia="zh-CN"/>
                    </w:rPr>
                    <w:t>去除</w:t>
                  </w:r>
                </w:p>
                <w:p w14:paraId="79E88005">
                  <w:pPr>
                    <w:pStyle w:val="37"/>
                    <w:keepNext w:val="0"/>
                    <w:keepLines w:val="0"/>
                    <w:suppressLineNumbers w:val="0"/>
                    <w:spacing w:before="0" w:beforeAutospacing="0" w:after="0" w:afterAutospacing="0" w:line="240" w:lineRule="auto"/>
                    <w:ind w:left="0" w:right="0" w:firstLine="0" w:firstLineChars="0"/>
                    <w:jc w:val="center"/>
                    <w:rPr>
                      <w:rFonts w:hint="eastAsia" w:ascii="Times New Roman"/>
                      <w:b/>
                      <w:bCs/>
                      <w:color w:val="auto"/>
                      <w:sz w:val="21"/>
                      <w:szCs w:val="21"/>
                      <w:lang w:val="en-US" w:eastAsia="zh-CN"/>
                    </w:rPr>
                  </w:pPr>
                  <w:r>
                    <w:rPr>
                      <w:rFonts w:hint="eastAsia" w:ascii="Times New Roman"/>
                      <w:b/>
                      <w:bCs/>
                      <w:color w:val="auto"/>
                      <w:sz w:val="21"/>
                      <w:szCs w:val="21"/>
                      <w:lang w:val="en-US" w:eastAsia="zh-CN"/>
                    </w:rPr>
                    <w:t>效率</w:t>
                  </w:r>
                </w:p>
                <w:p w14:paraId="26F865ED">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b/>
                      <w:bCs/>
                      <w:color w:val="auto"/>
                      <w:sz w:val="21"/>
                      <w:szCs w:val="21"/>
                      <w:lang w:val="en-US" w:eastAsia="zh-CN"/>
                    </w:rPr>
                  </w:pPr>
                  <w:r>
                    <w:rPr>
                      <w:rFonts w:hint="eastAsia" w:ascii="Times New Roman"/>
                      <w:b/>
                      <w:bCs/>
                      <w:color w:val="auto"/>
                      <w:sz w:val="21"/>
                      <w:szCs w:val="21"/>
                      <w:lang w:val="en-US" w:eastAsia="zh-CN"/>
                    </w:rPr>
                    <w:t>%</w:t>
                  </w:r>
                </w:p>
              </w:tc>
              <w:tc>
                <w:tcPr>
                  <w:tcW w:w="687" w:type="pct"/>
                  <w:tcBorders>
                    <w:tl2br w:val="nil"/>
                    <w:tr2bl w:val="nil"/>
                  </w:tcBorders>
                  <w:vAlign w:val="center"/>
                </w:tcPr>
                <w:p w14:paraId="57C881EC">
                  <w:pPr>
                    <w:pStyle w:val="37"/>
                    <w:keepNext w:val="0"/>
                    <w:keepLines w:val="0"/>
                    <w:suppressLineNumbers w:val="0"/>
                    <w:spacing w:before="0" w:beforeAutospacing="0" w:after="0" w:afterAutospacing="0" w:line="240" w:lineRule="auto"/>
                    <w:ind w:left="0" w:right="0" w:firstLine="0" w:firstLineChars="0"/>
                    <w:jc w:val="center"/>
                    <w:rPr>
                      <w:rFonts w:hint="eastAsia" w:ascii="Times New Roman"/>
                      <w:b/>
                      <w:bCs/>
                      <w:color w:val="auto"/>
                      <w:sz w:val="21"/>
                      <w:szCs w:val="21"/>
                      <w:lang w:val="en-US" w:eastAsia="zh-CN"/>
                    </w:rPr>
                  </w:pPr>
                  <w:r>
                    <w:rPr>
                      <w:rFonts w:hint="eastAsia" w:ascii="Times New Roman"/>
                      <w:b/>
                      <w:bCs/>
                      <w:color w:val="auto"/>
                      <w:sz w:val="21"/>
                      <w:szCs w:val="21"/>
                      <w:lang w:val="en-US" w:eastAsia="zh-CN"/>
                    </w:rPr>
                    <w:t>排污</w:t>
                  </w:r>
                </w:p>
                <w:p w14:paraId="2CE34880">
                  <w:pPr>
                    <w:pStyle w:val="37"/>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
                      <w:bCs/>
                      <w:color w:val="auto"/>
                      <w:sz w:val="21"/>
                      <w:szCs w:val="21"/>
                      <w:lang w:val="en-US" w:eastAsia="zh-CN"/>
                    </w:rPr>
                  </w:pPr>
                  <w:r>
                    <w:rPr>
                      <w:rFonts w:hint="eastAsia" w:ascii="Times New Roman"/>
                      <w:b/>
                      <w:bCs/>
                      <w:color w:val="auto"/>
                      <w:sz w:val="21"/>
                      <w:szCs w:val="21"/>
                      <w:lang w:val="en-US" w:eastAsia="zh-CN"/>
                    </w:rPr>
                    <w:t>系数</w:t>
                  </w:r>
                </w:p>
              </w:tc>
              <w:tc>
                <w:tcPr>
                  <w:tcW w:w="1169" w:type="pct"/>
                  <w:tcBorders>
                    <w:tl2br w:val="nil"/>
                    <w:tr2bl w:val="nil"/>
                  </w:tcBorders>
                  <w:vAlign w:val="center"/>
                </w:tcPr>
                <w:p w14:paraId="4159D50B">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eastAsia" w:ascii="Times New Roman" w:hAnsi="Times New Roman" w:eastAsia="宋体"/>
                      <w:b/>
                      <w:bCs/>
                      <w:color w:val="auto"/>
                      <w:sz w:val="21"/>
                      <w:szCs w:val="21"/>
                    </w:rPr>
                    <w:t>依据来源</w:t>
                  </w:r>
                </w:p>
              </w:tc>
            </w:tr>
            <w:tr w14:paraId="28441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401" w:type="pct"/>
                  <w:vMerge w:val="restart"/>
                  <w:tcBorders>
                    <w:tl2br w:val="nil"/>
                    <w:tr2bl w:val="nil"/>
                  </w:tcBorders>
                  <w:vAlign w:val="center"/>
                </w:tcPr>
                <w:p w14:paraId="3B1843F9">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生物质颗粒</w:t>
                  </w:r>
                </w:p>
              </w:tc>
              <w:tc>
                <w:tcPr>
                  <w:tcW w:w="482" w:type="pct"/>
                  <w:tcBorders>
                    <w:tl2br w:val="nil"/>
                    <w:tr2bl w:val="nil"/>
                  </w:tcBorders>
                  <w:vAlign w:val="center"/>
                </w:tcPr>
                <w:p w14:paraId="0B2E625E">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基准烟气量</w:t>
                  </w:r>
                </w:p>
              </w:tc>
              <w:tc>
                <w:tcPr>
                  <w:tcW w:w="546" w:type="pct"/>
                  <w:tcBorders>
                    <w:tl2br w:val="nil"/>
                    <w:tr2bl w:val="nil"/>
                  </w:tcBorders>
                  <w:vAlign w:val="center"/>
                </w:tcPr>
                <w:p w14:paraId="6757A315">
                  <w:pPr>
                    <w:keepNext w:val="0"/>
                    <w:keepLines w:val="0"/>
                    <w:suppressLineNumbers w:val="0"/>
                    <w:snapToGrid w:val="0"/>
                    <w:spacing w:before="0" w:beforeAutospacing="0" w:after="0" w:afterAutospacing="0"/>
                    <w:ind w:left="0" w:right="0"/>
                    <w:jc w:val="center"/>
                    <w:rPr>
                      <w:rFonts w:hint="default" w:ascii="Times New Roman" w:hAnsi="Times New Roman" w:eastAsia="宋体"/>
                      <w:color w:val="auto"/>
                      <w:szCs w:val="21"/>
                    </w:rPr>
                  </w:pPr>
                  <w:r>
                    <w:rPr>
                      <w:rFonts w:hint="eastAsia" w:ascii="Times New Roman" w:hAnsi="Times New Roman" w:eastAsia="宋体"/>
                      <w:color w:val="auto"/>
                      <w:sz w:val="21"/>
                      <w:szCs w:val="21"/>
                      <w:lang w:val="en-US" w:eastAsia="zh-CN"/>
                    </w:rPr>
                    <w:t>N</w:t>
                  </w:r>
                  <w:r>
                    <w:rPr>
                      <w:rFonts w:hint="eastAsia" w:ascii="Times New Roman" w:hAnsi="Times New Roman" w:eastAsia="宋体"/>
                      <w:color w:val="auto"/>
                      <w:sz w:val="21"/>
                      <w:szCs w:val="21"/>
                    </w:rPr>
                    <w:t>m</w:t>
                  </w:r>
                  <w:r>
                    <w:rPr>
                      <w:rFonts w:hint="eastAsia" w:ascii="Times New Roman" w:hAnsi="Times New Roman" w:eastAsia="宋体"/>
                      <w:color w:val="auto"/>
                      <w:sz w:val="21"/>
                      <w:szCs w:val="21"/>
                      <w:vertAlign w:val="superscript"/>
                    </w:rPr>
                    <w:t>3</w:t>
                  </w:r>
                  <w:r>
                    <w:rPr>
                      <w:rFonts w:hint="eastAsia" w:ascii="Times New Roman" w:hAnsi="Times New Roman" w:eastAsia="宋体"/>
                      <w:color w:val="auto"/>
                      <w:sz w:val="21"/>
                      <w:szCs w:val="21"/>
                    </w:rPr>
                    <w:t>/</w:t>
                  </w:r>
                  <w:r>
                    <w:rPr>
                      <w:rFonts w:hint="eastAsia" w:ascii="Times New Roman" w:hAnsi="Times New Roman" w:eastAsia="宋体"/>
                      <w:color w:val="auto"/>
                      <w:sz w:val="21"/>
                      <w:szCs w:val="21"/>
                      <w:lang w:val="en-US" w:eastAsia="zh-CN"/>
                    </w:rPr>
                    <w:t>kg-</w:t>
                  </w:r>
                  <w:r>
                    <w:rPr>
                      <w:rFonts w:hint="eastAsia" w:ascii="Times New Roman" w:hAnsi="Times New Roman" w:eastAsia="宋体"/>
                      <w:color w:val="auto"/>
                      <w:sz w:val="21"/>
                      <w:szCs w:val="21"/>
                    </w:rPr>
                    <w:t>原料</w:t>
                  </w:r>
                </w:p>
              </w:tc>
              <w:tc>
                <w:tcPr>
                  <w:tcW w:w="649" w:type="pct"/>
                  <w:tcBorders>
                    <w:tl2br w:val="nil"/>
                    <w:tr2bl w:val="nil"/>
                  </w:tcBorders>
                  <w:vAlign w:val="center"/>
                </w:tcPr>
                <w:p w14:paraId="46C8FAE3">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lang w:val="en-US" w:eastAsia="zh-CN"/>
                    </w:rPr>
                  </w:pPr>
                  <w:r>
                    <w:rPr>
                      <w:rFonts w:hint="eastAsia" w:ascii="Times New Roman"/>
                      <w:color w:val="auto"/>
                      <w:sz w:val="21"/>
                      <w:szCs w:val="21"/>
                      <w:lang w:val="en-US" w:eastAsia="zh-CN"/>
                    </w:rPr>
                    <w:t>7.679</w:t>
                  </w:r>
                </w:p>
              </w:tc>
              <w:tc>
                <w:tcPr>
                  <w:tcW w:w="647" w:type="pct"/>
                  <w:tcBorders>
                    <w:tl2br w:val="nil"/>
                    <w:tr2bl w:val="nil"/>
                  </w:tcBorders>
                  <w:vAlign w:val="center"/>
                </w:tcPr>
                <w:p w14:paraId="5C886DB9">
                  <w:pPr>
                    <w:pStyle w:val="37"/>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olor w:val="auto"/>
                      <w:sz w:val="21"/>
                      <w:szCs w:val="21"/>
                      <w:lang w:val="en-US" w:eastAsia="zh-CN"/>
                    </w:rPr>
                  </w:pPr>
                  <w:r>
                    <w:rPr>
                      <w:rFonts w:hint="eastAsia" w:ascii="Times New Roman"/>
                      <w:color w:val="auto"/>
                      <w:sz w:val="21"/>
                      <w:szCs w:val="21"/>
                      <w:lang w:val="en-US" w:eastAsia="zh-CN"/>
                    </w:rPr>
                    <w:t>/</w:t>
                  </w:r>
                </w:p>
              </w:tc>
              <w:tc>
                <w:tcPr>
                  <w:tcW w:w="416" w:type="pct"/>
                  <w:tcBorders>
                    <w:tl2br w:val="nil"/>
                    <w:tr2bl w:val="nil"/>
                  </w:tcBorders>
                  <w:vAlign w:val="center"/>
                </w:tcPr>
                <w:p w14:paraId="2FEFE73A">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color w:val="auto"/>
                      <w:sz w:val="21"/>
                      <w:szCs w:val="21"/>
                      <w:lang w:val="en-US" w:eastAsia="zh-CN"/>
                    </w:rPr>
                  </w:pPr>
                  <w:r>
                    <w:rPr>
                      <w:rFonts w:hint="eastAsia" w:ascii="Times New Roman"/>
                      <w:color w:val="auto"/>
                      <w:sz w:val="21"/>
                      <w:szCs w:val="21"/>
                      <w:lang w:val="en-US" w:eastAsia="zh-CN"/>
                    </w:rPr>
                    <w:t>/</w:t>
                  </w:r>
                </w:p>
              </w:tc>
              <w:tc>
                <w:tcPr>
                  <w:tcW w:w="687" w:type="pct"/>
                  <w:tcBorders>
                    <w:tl2br w:val="nil"/>
                    <w:tr2bl w:val="nil"/>
                  </w:tcBorders>
                  <w:vAlign w:val="center"/>
                </w:tcPr>
                <w:p w14:paraId="169B0416">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lang w:val="en-US" w:eastAsia="zh-CN"/>
                    </w:rPr>
                  </w:pPr>
                  <w:r>
                    <w:rPr>
                      <w:rFonts w:hint="eastAsia" w:ascii="Times New Roman"/>
                      <w:color w:val="auto"/>
                      <w:sz w:val="21"/>
                      <w:szCs w:val="21"/>
                      <w:lang w:val="en-US" w:eastAsia="zh-CN"/>
                    </w:rPr>
                    <w:t>7.679</w:t>
                  </w:r>
                </w:p>
              </w:tc>
              <w:tc>
                <w:tcPr>
                  <w:tcW w:w="1169" w:type="pct"/>
                  <w:tcBorders>
                    <w:tl2br w:val="nil"/>
                    <w:tr2bl w:val="nil"/>
                  </w:tcBorders>
                  <w:vAlign w:val="center"/>
                </w:tcPr>
                <w:p w14:paraId="65C47354">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《排污许可证申请与核发技术规范 锅炉》（HJ953-2018</w:t>
                  </w:r>
                  <w:r>
                    <w:rPr>
                      <w:rFonts w:hint="eastAsia" w:ascii="Times New Roman"/>
                      <w:color w:val="auto"/>
                      <w:sz w:val="21"/>
                      <w:szCs w:val="21"/>
                      <w:lang w:eastAsia="zh-CN"/>
                    </w:rPr>
                    <w:t>）</w:t>
                  </w:r>
                  <w:r>
                    <w:rPr>
                      <w:rFonts w:hint="default" w:ascii="Times New Roman" w:hAnsi="Times New Roman" w:eastAsia="宋体"/>
                      <w:color w:val="auto"/>
                      <w:sz w:val="21"/>
                      <w:szCs w:val="21"/>
                    </w:rPr>
                    <w:t>表5基准烟气量</w:t>
                  </w:r>
                  <w:r>
                    <w:rPr>
                      <w:rFonts w:hint="eastAsia" w:ascii="Times New Roman" w:hAnsi="Times New Roman" w:eastAsia="宋体"/>
                      <w:color w:val="auto"/>
                      <w:sz w:val="21"/>
                      <w:szCs w:val="21"/>
                    </w:rPr>
                    <w:t>计算</w:t>
                  </w:r>
                </w:p>
              </w:tc>
            </w:tr>
            <w:tr w14:paraId="32EB7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401" w:type="pct"/>
                  <w:vMerge w:val="continue"/>
                  <w:tcBorders>
                    <w:tl2br w:val="nil"/>
                    <w:tr2bl w:val="nil"/>
                  </w:tcBorders>
                  <w:vAlign w:val="center"/>
                </w:tcPr>
                <w:p w14:paraId="5B08F79B">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p>
              </w:tc>
              <w:tc>
                <w:tcPr>
                  <w:tcW w:w="482" w:type="pct"/>
                  <w:tcBorders>
                    <w:tl2br w:val="nil"/>
                    <w:tr2bl w:val="nil"/>
                  </w:tcBorders>
                  <w:vAlign w:val="center"/>
                </w:tcPr>
                <w:p w14:paraId="34217179">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颗粒物</w:t>
                  </w:r>
                </w:p>
              </w:tc>
              <w:tc>
                <w:tcPr>
                  <w:tcW w:w="546" w:type="pct"/>
                  <w:tcBorders>
                    <w:tl2br w:val="nil"/>
                    <w:tr2bl w:val="nil"/>
                  </w:tcBorders>
                  <w:vAlign w:val="center"/>
                </w:tcPr>
                <w:p w14:paraId="03AA7C40">
                  <w:pPr>
                    <w:keepNext w:val="0"/>
                    <w:keepLines w:val="0"/>
                    <w:suppressLineNumbers w:val="0"/>
                    <w:snapToGrid w:val="0"/>
                    <w:spacing w:before="0" w:beforeAutospacing="0" w:after="0" w:afterAutospacing="0"/>
                    <w:ind w:left="0" w:right="0"/>
                    <w:jc w:val="center"/>
                    <w:rPr>
                      <w:rFonts w:hint="default" w:ascii="Times New Roman" w:hAnsi="Times New Roman" w:eastAsia="宋体"/>
                      <w:color w:val="auto"/>
                      <w:szCs w:val="21"/>
                      <w:lang w:val="en-US"/>
                    </w:rPr>
                  </w:pPr>
                  <w:r>
                    <w:rPr>
                      <w:rFonts w:hint="eastAsia" w:ascii="Times New Roman" w:hAnsi="Times New Roman" w:eastAsia="宋体"/>
                      <w:color w:val="auto"/>
                      <w:szCs w:val="21"/>
                    </w:rPr>
                    <w:t>kg/</w:t>
                  </w:r>
                  <w:r>
                    <w:rPr>
                      <w:rFonts w:hint="eastAsia" w:ascii="Times New Roman" w:hAnsi="Times New Roman" w:eastAsia="宋体"/>
                      <w:color w:val="auto"/>
                      <w:szCs w:val="21"/>
                      <w:lang w:val="en-US" w:eastAsia="zh-CN"/>
                    </w:rPr>
                    <w:t>t-</w:t>
                  </w:r>
                  <w:r>
                    <w:rPr>
                      <w:rFonts w:hint="eastAsia"/>
                      <w:color w:val="auto"/>
                      <w:szCs w:val="21"/>
                      <w:lang w:val="en-US" w:eastAsia="zh-CN"/>
                    </w:rPr>
                    <w:t>燃料</w:t>
                  </w:r>
                </w:p>
              </w:tc>
              <w:tc>
                <w:tcPr>
                  <w:tcW w:w="649" w:type="pct"/>
                  <w:tcBorders>
                    <w:tl2br w:val="nil"/>
                    <w:tr2bl w:val="nil"/>
                  </w:tcBorders>
                  <w:vAlign w:val="center"/>
                </w:tcPr>
                <w:p w14:paraId="19B06209">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lang w:val="en-US" w:eastAsia="zh-CN"/>
                    </w:rPr>
                  </w:pPr>
                  <w:r>
                    <w:rPr>
                      <w:rFonts w:hint="eastAsia" w:ascii="Times New Roman"/>
                      <w:color w:val="auto"/>
                      <w:sz w:val="21"/>
                      <w:szCs w:val="21"/>
                      <w:lang w:val="en-US" w:eastAsia="zh-CN"/>
                    </w:rPr>
                    <w:t>0.5</w:t>
                  </w:r>
                </w:p>
              </w:tc>
              <w:tc>
                <w:tcPr>
                  <w:tcW w:w="647" w:type="pct"/>
                  <w:tcBorders>
                    <w:tl2br w:val="nil"/>
                    <w:tr2bl w:val="nil"/>
                  </w:tcBorders>
                  <w:vAlign w:val="center"/>
                </w:tcPr>
                <w:p w14:paraId="4A22E4D5">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cs="Times New Roman"/>
                      <w:color w:val="auto"/>
                      <w:sz w:val="21"/>
                      <w:szCs w:val="21"/>
                      <w:lang w:val="en-US" w:eastAsia="zh-CN"/>
                    </w:rPr>
                    <w:t>旋风除尘+布袋除尘器</w:t>
                  </w:r>
                </w:p>
              </w:tc>
              <w:tc>
                <w:tcPr>
                  <w:tcW w:w="416" w:type="pct"/>
                  <w:tcBorders>
                    <w:tl2br w:val="nil"/>
                    <w:tr2bl w:val="nil"/>
                  </w:tcBorders>
                  <w:vAlign w:val="center"/>
                </w:tcPr>
                <w:p w14:paraId="4A01568A">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cs="Times New Roman"/>
                      <w:color w:val="auto"/>
                      <w:sz w:val="21"/>
                      <w:szCs w:val="21"/>
                      <w:lang w:val="en-US" w:eastAsia="zh-CN"/>
                    </w:rPr>
                  </w:pPr>
                  <w:r>
                    <w:rPr>
                      <w:rFonts w:hint="eastAsia" w:ascii="Times New Roman" w:cs="Times New Roman"/>
                      <w:color w:val="auto"/>
                      <w:sz w:val="21"/>
                      <w:szCs w:val="21"/>
                      <w:lang w:val="en-US" w:eastAsia="zh-CN"/>
                    </w:rPr>
                    <w:t>99</w:t>
                  </w:r>
                </w:p>
              </w:tc>
              <w:tc>
                <w:tcPr>
                  <w:tcW w:w="687" w:type="pct"/>
                  <w:tcBorders>
                    <w:tl2br w:val="nil"/>
                    <w:tr2bl w:val="nil"/>
                  </w:tcBorders>
                  <w:vAlign w:val="center"/>
                </w:tcPr>
                <w:p w14:paraId="5D34A329">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cs="Times New Roman"/>
                      <w:color w:val="auto"/>
                      <w:sz w:val="21"/>
                      <w:szCs w:val="21"/>
                      <w:lang w:val="en-US" w:eastAsia="zh-CN"/>
                    </w:rPr>
                    <w:t>0.005</w:t>
                  </w:r>
                </w:p>
              </w:tc>
              <w:tc>
                <w:tcPr>
                  <w:tcW w:w="1169" w:type="pct"/>
                  <w:vMerge w:val="restart"/>
                  <w:tcBorders>
                    <w:tl2br w:val="nil"/>
                    <w:tr2bl w:val="nil"/>
                  </w:tcBorders>
                  <w:vAlign w:val="center"/>
                </w:tcPr>
                <w:p w14:paraId="317DAB4A">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r>
                    <w:rPr>
                      <w:rFonts w:hint="eastAsia" w:ascii="Times New Roman" w:cs="Times New Roman"/>
                      <w:color w:val="auto"/>
                      <w:sz w:val="21"/>
                      <w:szCs w:val="21"/>
                      <w:lang w:eastAsia="zh-CN"/>
                    </w:rPr>
                    <w:t>《</w:t>
                  </w:r>
                  <w:r>
                    <w:rPr>
                      <w:rFonts w:hint="eastAsia" w:ascii="Times New Roman" w:cs="Times New Roman"/>
                      <w:color w:val="auto"/>
                      <w:sz w:val="21"/>
                      <w:szCs w:val="21"/>
                      <w:lang w:val="en-US" w:eastAsia="zh-CN"/>
                    </w:rPr>
                    <w:t>排污许可证申请与核发技术规范 锅炉</w:t>
                  </w:r>
                  <w:r>
                    <w:rPr>
                      <w:rFonts w:hint="eastAsia" w:ascii="Times New Roman" w:cs="Times New Roman"/>
                      <w:color w:val="auto"/>
                      <w:sz w:val="21"/>
                      <w:szCs w:val="21"/>
                      <w:lang w:eastAsia="zh-CN"/>
                    </w:rPr>
                    <w:t>》（</w:t>
                  </w:r>
                  <w:r>
                    <w:rPr>
                      <w:rFonts w:hint="eastAsia" w:ascii="Times New Roman" w:cs="Times New Roman"/>
                      <w:color w:val="auto"/>
                      <w:sz w:val="21"/>
                      <w:szCs w:val="21"/>
                      <w:lang w:val="en-US" w:eastAsia="zh-CN"/>
                    </w:rPr>
                    <w:t>HJ 953-2018</w:t>
                  </w:r>
                  <w:r>
                    <w:rPr>
                      <w:rFonts w:hint="eastAsia" w:ascii="Times New Roman" w:cs="Times New Roman"/>
                      <w:color w:val="auto"/>
                      <w:sz w:val="21"/>
                      <w:szCs w:val="21"/>
                      <w:lang w:eastAsia="zh-CN"/>
                    </w:rPr>
                    <w:t>）</w:t>
                  </w:r>
                  <w:r>
                    <w:rPr>
                      <w:rFonts w:hint="eastAsia" w:ascii="Times New Roman" w:cs="Times New Roman"/>
                      <w:color w:val="auto"/>
                      <w:sz w:val="21"/>
                      <w:szCs w:val="21"/>
                      <w:lang w:val="en-US" w:eastAsia="zh-CN"/>
                    </w:rPr>
                    <w:t>表F.4燃生物质工业锅炉的废气产排污系数</w:t>
                  </w:r>
                </w:p>
              </w:tc>
            </w:tr>
            <w:tr w14:paraId="52D3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401" w:type="pct"/>
                  <w:vMerge w:val="continue"/>
                  <w:tcBorders>
                    <w:tl2br w:val="nil"/>
                    <w:tr2bl w:val="nil"/>
                  </w:tcBorders>
                  <w:vAlign w:val="center"/>
                </w:tcPr>
                <w:p w14:paraId="245B7BB6">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p>
              </w:tc>
              <w:tc>
                <w:tcPr>
                  <w:tcW w:w="482" w:type="pct"/>
                  <w:tcBorders>
                    <w:tl2br w:val="nil"/>
                    <w:tr2bl w:val="nil"/>
                  </w:tcBorders>
                  <w:vAlign w:val="center"/>
                </w:tcPr>
                <w:p w14:paraId="6486B63F">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SO</w:t>
                  </w:r>
                  <w:r>
                    <w:rPr>
                      <w:rFonts w:hint="eastAsia" w:ascii="Times New Roman" w:hAnsi="Times New Roman" w:eastAsia="宋体"/>
                      <w:color w:val="auto"/>
                      <w:sz w:val="21"/>
                      <w:szCs w:val="21"/>
                      <w:vertAlign w:val="subscript"/>
                    </w:rPr>
                    <w:t>2</w:t>
                  </w:r>
                </w:p>
              </w:tc>
              <w:tc>
                <w:tcPr>
                  <w:tcW w:w="546" w:type="pct"/>
                  <w:tcBorders>
                    <w:tl2br w:val="nil"/>
                    <w:tr2bl w:val="nil"/>
                  </w:tcBorders>
                  <w:vAlign w:val="center"/>
                </w:tcPr>
                <w:p w14:paraId="3C8B3379">
                  <w:pPr>
                    <w:keepNext w:val="0"/>
                    <w:keepLines w:val="0"/>
                    <w:suppressLineNumbers w:val="0"/>
                    <w:snapToGrid w:val="0"/>
                    <w:spacing w:before="0" w:beforeAutospacing="0" w:after="0" w:afterAutospacing="0"/>
                    <w:ind w:left="0" w:right="0"/>
                    <w:jc w:val="center"/>
                    <w:rPr>
                      <w:rFonts w:hint="default" w:ascii="Times New Roman" w:hAnsi="Times New Roman" w:eastAsia="宋体"/>
                      <w:color w:val="auto"/>
                      <w:szCs w:val="21"/>
                      <w:lang w:val="en-US"/>
                    </w:rPr>
                  </w:pPr>
                  <w:r>
                    <w:rPr>
                      <w:rFonts w:hint="eastAsia" w:ascii="Times New Roman" w:hAnsi="Times New Roman" w:eastAsia="宋体"/>
                      <w:color w:val="auto"/>
                      <w:szCs w:val="21"/>
                    </w:rPr>
                    <w:t>kg/</w:t>
                  </w:r>
                  <w:r>
                    <w:rPr>
                      <w:rFonts w:hint="eastAsia" w:ascii="Times New Roman" w:hAnsi="Times New Roman" w:eastAsia="宋体"/>
                      <w:color w:val="auto"/>
                      <w:szCs w:val="21"/>
                      <w:lang w:val="en-US" w:eastAsia="zh-CN"/>
                    </w:rPr>
                    <w:t>t-</w:t>
                  </w:r>
                  <w:r>
                    <w:rPr>
                      <w:rFonts w:hint="eastAsia"/>
                      <w:color w:val="auto"/>
                      <w:szCs w:val="21"/>
                      <w:lang w:val="en-US" w:eastAsia="zh-CN"/>
                    </w:rPr>
                    <w:t>燃料</w:t>
                  </w:r>
                </w:p>
              </w:tc>
              <w:tc>
                <w:tcPr>
                  <w:tcW w:w="649" w:type="pct"/>
                  <w:tcBorders>
                    <w:tl2br w:val="nil"/>
                    <w:tr2bl w:val="nil"/>
                  </w:tcBorders>
                  <w:vAlign w:val="center"/>
                </w:tcPr>
                <w:p w14:paraId="3038EA07">
                  <w:pPr>
                    <w:pStyle w:val="37"/>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val="en-US" w:eastAsia="zh-CN"/>
                    </w:rPr>
                    <w:t>17</w:t>
                  </w:r>
                  <w:r>
                    <w:rPr>
                      <w:rFonts w:hint="eastAsia" w:ascii="Times New Roman" w:hAnsi="Times New Roman" w:eastAsia="宋体"/>
                      <w:color w:val="auto"/>
                      <w:sz w:val="21"/>
                      <w:szCs w:val="21"/>
                    </w:rPr>
                    <w:t>S</w:t>
                  </w:r>
                  <w:r>
                    <w:rPr>
                      <w:rFonts w:hint="eastAsia" w:ascii="Times New Roman"/>
                      <w:color w:val="auto"/>
                      <w:sz w:val="21"/>
                      <w:szCs w:val="21"/>
                      <w:lang w:eastAsia="zh-CN"/>
                    </w:rPr>
                    <w:t>（</w:t>
                  </w:r>
                  <w:r>
                    <w:rPr>
                      <w:rFonts w:hint="eastAsia" w:ascii="Times New Roman"/>
                      <w:color w:val="auto"/>
                      <w:sz w:val="21"/>
                      <w:szCs w:val="21"/>
                      <w:lang w:val="en-US" w:eastAsia="zh-CN"/>
                    </w:rPr>
                    <w:t>0.544）</w:t>
                  </w:r>
                </w:p>
              </w:tc>
              <w:tc>
                <w:tcPr>
                  <w:tcW w:w="647" w:type="pct"/>
                  <w:tcBorders>
                    <w:tl2br w:val="nil"/>
                    <w:tr2bl w:val="nil"/>
                  </w:tcBorders>
                  <w:vAlign w:val="center"/>
                </w:tcPr>
                <w:p w14:paraId="03A8292C">
                  <w:pPr>
                    <w:pStyle w:val="37"/>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olor w:val="auto"/>
                      <w:sz w:val="21"/>
                      <w:szCs w:val="21"/>
                      <w:lang w:val="en-US" w:eastAsia="zh-CN"/>
                    </w:rPr>
                  </w:pPr>
                  <w:r>
                    <w:rPr>
                      <w:rFonts w:hint="eastAsia" w:ascii="Times New Roman"/>
                      <w:color w:val="auto"/>
                      <w:sz w:val="21"/>
                      <w:szCs w:val="21"/>
                      <w:lang w:val="en-US" w:eastAsia="zh-CN"/>
                    </w:rPr>
                    <w:t>/</w:t>
                  </w:r>
                </w:p>
              </w:tc>
              <w:tc>
                <w:tcPr>
                  <w:tcW w:w="416" w:type="pct"/>
                  <w:tcBorders>
                    <w:tl2br w:val="nil"/>
                    <w:tr2bl w:val="nil"/>
                  </w:tcBorders>
                  <w:vAlign w:val="center"/>
                </w:tcPr>
                <w:p w14:paraId="54FE3984">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olor w:val="auto"/>
                      <w:sz w:val="21"/>
                      <w:szCs w:val="21"/>
                      <w:lang w:val="en-US" w:eastAsia="zh-CN"/>
                    </w:rPr>
                  </w:pPr>
                  <w:r>
                    <w:rPr>
                      <w:rFonts w:hint="eastAsia" w:ascii="Times New Roman"/>
                      <w:color w:val="auto"/>
                      <w:sz w:val="21"/>
                      <w:szCs w:val="21"/>
                      <w:lang w:val="en-US" w:eastAsia="zh-CN"/>
                    </w:rPr>
                    <w:t>/</w:t>
                  </w:r>
                </w:p>
              </w:tc>
              <w:tc>
                <w:tcPr>
                  <w:tcW w:w="687" w:type="pct"/>
                  <w:tcBorders>
                    <w:tl2br w:val="nil"/>
                    <w:tr2bl w:val="nil"/>
                  </w:tcBorders>
                  <w:vAlign w:val="center"/>
                </w:tcPr>
                <w:p w14:paraId="438B938C">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17</w:t>
                  </w:r>
                  <w:r>
                    <w:rPr>
                      <w:rFonts w:hint="eastAsia" w:ascii="Times New Roman" w:hAnsi="Times New Roman" w:eastAsia="宋体"/>
                      <w:color w:val="auto"/>
                      <w:sz w:val="21"/>
                      <w:szCs w:val="21"/>
                    </w:rPr>
                    <w:t>S</w:t>
                  </w:r>
                  <w:r>
                    <w:rPr>
                      <w:rFonts w:hint="eastAsia" w:ascii="Times New Roman"/>
                      <w:color w:val="auto"/>
                      <w:sz w:val="21"/>
                      <w:szCs w:val="21"/>
                      <w:lang w:eastAsia="zh-CN"/>
                    </w:rPr>
                    <w:t>（</w:t>
                  </w:r>
                  <w:r>
                    <w:rPr>
                      <w:rFonts w:hint="eastAsia" w:ascii="Times New Roman"/>
                      <w:color w:val="auto"/>
                      <w:sz w:val="21"/>
                      <w:szCs w:val="21"/>
                      <w:lang w:val="en-US" w:eastAsia="zh-CN"/>
                    </w:rPr>
                    <w:t>0.544）</w:t>
                  </w:r>
                </w:p>
              </w:tc>
              <w:tc>
                <w:tcPr>
                  <w:tcW w:w="1169" w:type="pct"/>
                  <w:vMerge w:val="continue"/>
                  <w:tcBorders>
                    <w:tl2br w:val="nil"/>
                    <w:tr2bl w:val="nil"/>
                  </w:tcBorders>
                  <w:vAlign w:val="center"/>
                </w:tcPr>
                <w:p w14:paraId="2A8A1F70">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p>
              </w:tc>
            </w:tr>
            <w:tr w14:paraId="407D3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401" w:type="pct"/>
                  <w:vMerge w:val="continue"/>
                  <w:tcBorders>
                    <w:tl2br w:val="nil"/>
                    <w:tr2bl w:val="nil"/>
                  </w:tcBorders>
                  <w:vAlign w:val="center"/>
                </w:tcPr>
                <w:p w14:paraId="32A38884">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p>
              </w:tc>
              <w:tc>
                <w:tcPr>
                  <w:tcW w:w="482" w:type="pct"/>
                  <w:tcBorders>
                    <w:tl2br w:val="nil"/>
                    <w:tr2bl w:val="nil"/>
                  </w:tcBorders>
                  <w:vAlign w:val="center"/>
                </w:tcPr>
                <w:p w14:paraId="064E8360">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NO</w:t>
                  </w:r>
                  <w:r>
                    <w:rPr>
                      <w:rFonts w:hint="eastAsia" w:ascii="Times New Roman" w:hAnsi="Times New Roman" w:eastAsia="宋体"/>
                      <w:color w:val="auto"/>
                      <w:sz w:val="21"/>
                      <w:szCs w:val="21"/>
                      <w:vertAlign w:val="subscript"/>
                    </w:rPr>
                    <w:t>X</w:t>
                  </w:r>
                </w:p>
              </w:tc>
              <w:tc>
                <w:tcPr>
                  <w:tcW w:w="546" w:type="pct"/>
                  <w:tcBorders>
                    <w:tl2br w:val="nil"/>
                    <w:tr2bl w:val="nil"/>
                  </w:tcBorders>
                  <w:vAlign w:val="center"/>
                </w:tcPr>
                <w:p w14:paraId="6A297459">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lang w:val="en-US"/>
                    </w:rPr>
                  </w:pPr>
                  <w:r>
                    <w:rPr>
                      <w:rFonts w:hint="eastAsia" w:ascii="Times New Roman" w:hAnsi="Times New Roman" w:eastAsia="宋体"/>
                      <w:color w:val="auto"/>
                      <w:sz w:val="21"/>
                      <w:szCs w:val="16"/>
                    </w:rPr>
                    <w:t>kg/</w:t>
                  </w:r>
                  <w:r>
                    <w:rPr>
                      <w:rFonts w:hint="eastAsia" w:ascii="Times New Roman" w:hAnsi="Times New Roman" w:eastAsia="宋体"/>
                      <w:color w:val="auto"/>
                      <w:sz w:val="21"/>
                      <w:szCs w:val="16"/>
                      <w:lang w:val="en-US" w:eastAsia="zh-CN"/>
                    </w:rPr>
                    <w:t>t-</w:t>
                  </w:r>
                  <w:r>
                    <w:rPr>
                      <w:rFonts w:hint="eastAsia" w:ascii="Times New Roman"/>
                      <w:color w:val="auto"/>
                      <w:sz w:val="21"/>
                      <w:szCs w:val="16"/>
                      <w:lang w:val="en-US" w:eastAsia="zh-CN"/>
                    </w:rPr>
                    <w:t>燃料</w:t>
                  </w:r>
                </w:p>
              </w:tc>
              <w:tc>
                <w:tcPr>
                  <w:tcW w:w="649" w:type="pct"/>
                  <w:tcBorders>
                    <w:tl2br w:val="nil"/>
                    <w:tr2bl w:val="nil"/>
                  </w:tcBorders>
                  <w:vAlign w:val="center"/>
                </w:tcPr>
                <w:p w14:paraId="29106998">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lang w:val="en-US" w:eastAsia="zh-CN"/>
                    </w:rPr>
                  </w:pPr>
                  <w:r>
                    <w:rPr>
                      <w:rFonts w:hint="eastAsia" w:ascii="Times New Roman"/>
                      <w:color w:val="auto"/>
                      <w:sz w:val="21"/>
                      <w:szCs w:val="21"/>
                      <w:lang w:val="en-US" w:eastAsia="zh-CN"/>
                    </w:rPr>
                    <w:t>0.51</w:t>
                  </w:r>
                </w:p>
              </w:tc>
              <w:tc>
                <w:tcPr>
                  <w:tcW w:w="647" w:type="pct"/>
                  <w:tcBorders>
                    <w:tl2br w:val="nil"/>
                    <w:tr2bl w:val="nil"/>
                  </w:tcBorders>
                  <w:vAlign w:val="center"/>
                </w:tcPr>
                <w:p w14:paraId="4DCC20A5">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olor w:val="auto"/>
                      <w:sz w:val="21"/>
                      <w:szCs w:val="21"/>
                      <w:lang w:val="en-US" w:eastAsia="zh-CN"/>
                    </w:rPr>
                  </w:pPr>
                  <w:r>
                    <w:rPr>
                      <w:rFonts w:hint="eastAsia" w:ascii="Times New Roman" w:cs="Times New Roman"/>
                      <w:color w:val="auto"/>
                      <w:sz w:val="21"/>
                      <w:szCs w:val="21"/>
                      <w:lang w:val="en-US" w:eastAsia="zh-CN"/>
                    </w:rPr>
                    <w:t>SNCR</w:t>
                  </w:r>
                </w:p>
              </w:tc>
              <w:tc>
                <w:tcPr>
                  <w:tcW w:w="416" w:type="pct"/>
                  <w:tcBorders>
                    <w:tl2br w:val="nil"/>
                    <w:tr2bl w:val="nil"/>
                  </w:tcBorders>
                  <w:vAlign w:val="center"/>
                </w:tcPr>
                <w:p w14:paraId="1E0CACEE">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olor w:val="auto"/>
                      <w:sz w:val="21"/>
                      <w:szCs w:val="21"/>
                      <w:lang w:val="en-US" w:eastAsia="zh-CN"/>
                    </w:rPr>
                  </w:pPr>
                  <w:r>
                    <w:rPr>
                      <w:rFonts w:hint="eastAsia" w:ascii="Times New Roman"/>
                      <w:color w:val="auto"/>
                      <w:sz w:val="21"/>
                      <w:szCs w:val="21"/>
                      <w:lang w:val="en-US" w:eastAsia="zh-CN"/>
                    </w:rPr>
                    <w:t>/</w:t>
                  </w:r>
                </w:p>
              </w:tc>
              <w:tc>
                <w:tcPr>
                  <w:tcW w:w="687" w:type="pct"/>
                  <w:tcBorders>
                    <w:tl2br w:val="nil"/>
                    <w:tr2bl w:val="nil"/>
                  </w:tcBorders>
                  <w:vAlign w:val="center"/>
                </w:tcPr>
                <w:p w14:paraId="16F2F432">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olor w:val="auto"/>
                      <w:sz w:val="21"/>
                      <w:szCs w:val="21"/>
                      <w:lang w:val="en-US" w:eastAsia="zh-CN"/>
                    </w:rPr>
                  </w:pPr>
                  <w:r>
                    <w:rPr>
                      <w:rFonts w:hint="eastAsia" w:ascii="Times New Roman"/>
                      <w:color w:val="auto"/>
                      <w:sz w:val="21"/>
                      <w:szCs w:val="21"/>
                      <w:lang w:val="en-US" w:eastAsia="zh-CN"/>
                    </w:rPr>
                    <w:t>0.51</w:t>
                  </w:r>
                </w:p>
              </w:tc>
              <w:tc>
                <w:tcPr>
                  <w:tcW w:w="1169" w:type="pct"/>
                  <w:vMerge w:val="continue"/>
                  <w:tcBorders>
                    <w:tl2br w:val="nil"/>
                    <w:tr2bl w:val="nil"/>
                  </w:tcBorders>
                  <w:vAlign w:val="center"/>
                </w:tcPr>
                <w:p w14:paraId="2341BEE1">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olor w:val="auto"/>
                      <w:sz w:val="21"/>
                      <w:szCs w:val="21"/>
                    </w:rPr>
                  </w:pPr>
                </w:p>
              </w:tc>
            </w:tr>
          </w:tbl>
          <w:p w14:paraId="58B8EB07">
            <w:pPr>
              <w:keepNext w:val="0"/>
              <w:keepLines w:val="0"/>
              <w:widowControl/>
              <w:suppressLineNumbers w:val="0"/>
              <w:spacing w:before="0" w:beforeAutospacing="0" w:after="0" w:afterAutospacing="0"/>
              <w:ind w:left="0" w:right="0" w:firstLine="422" w:firstLineChars="200"/>
              <w:jc w:val="left"/>
              <w:rPr>
                <w:rFonts w:hint="eastAsia" w:ascii="Times New Roman" w:hAnsi="Times New Roman" w:eastAsia="宋体"/>
                <w:color w:val="auto"/>
                <w:sz w:val="24"/>
                <w:lang w:eastAsia="zh-CN"/>
              </w:rPr>
            </w:pPr>
            <w:r>
              <w:rPr>
                <w:rFonts w:hint="eastAsia" w:ascii="Times New Roman" w:hAnsi="Times New Roman" w:eastAsia="宋体" w:cs="宋体"/>
                <w:b/>
                <w:bCs/>
                <w:color w:val="auto"/>
                <w:kern w:val="0"/>
                <w:szCs w:val="21"/>
                <w:lang w:bidi="ar"/>
              </w:rPr>
              <w:t>备注：</w:t>
            </w:r>
            <w:r>
              <w:rPr>
                <w:rFonts w:hint="eastAsia"/>
                <w:color w:val="auto"/>
              </w:rPr>
              <w:t>二氧化硫的产污系数是以含硫量（S</w:t>
            </w:r>
            <w:r>
              <w:rPr>
                <w:rFonts w:hint="eastAsia"/>
                <w:color w:val="auto"/>
                <w:lang w:val="en-US" w:eastAsia="zh-CN"/>
              </w:rPr>
              <w:t>%</w:t>
            </w:r>
            <w:r>
              <w:rPr>
                <w:rFonts w:hint="eastAsia"/>
                <w:color w:val="auto"/>
                <w:lang w:eastAsia="zh-CN"/>
              </w:rPr>
              <w:t>）</w:t>
            </w:r>
            <w:r>
              <w:rPr>
                <w:rFonts w:hint="eastAsia"/>
                <w:color w:val="auto"/>
              </w:rPr>
              <w:t>的形式表示的，其中含硫量（S</w:t>
            </w:r>
            <w:r>
              <w:rPr>
                <w:rFonts w:hint="eastAsia"/>
                <w:color w:val="auto"/>
                <w:lang w:val="en-US" w:eastAsia="zh-CN"/>
              </w:rPr>
              <w:t>%</w:t>
            </w:r>
            <w:r>
              <w:rPr>
                <w:rFonts w:hint="eastAsia"/>
                <w:color w:val="auto"/>
                <w:lang w:eastAsia="zh-CN"/>
              </w:rPr>
              <w:t>）</w:t>
            </w:r>
            <w:r>
              <w:rPr>
                <w:rFonts w:hint="eastAsia"/>
                <w:color w:val="auto"/>
              </w:rPr>
              <w:t>是指生物质收到基硫分含量，以质量百分数的形式表示。例如生物质中含硫量（S</w:t>
            </w:r>
            <w:r>
              <w:rPr>
                <w:rFonts w:hint="eastAsia"/>
                <w:color w:val="auto"/>
                <w:lang w:val="en-US" w:eastAsia="zh-CN"/>
              </w:rPr>
              <w:t>%</w:t>
            </w:r>
            <w:r>
              <w:rPr>
                <w:rFonts w:hint="eastAsia"/>
                <w:color w:val="auto"/>
                <w:lang w:eastAsia="zh-CN"/>
              </w:rPr>
              <w:t>）</w:t>
            </w:r>
            <w:r>
              <w:rPr>
                <w:rFonts w:hint="eastAsia"/>
                <w:color w:val="auto"/>
              </w:rPr>
              <w:t>为0.1</w:t>
            </w:r>
            <w:r>
              <w:rPr>
                <w:rFonts w:hint="eastAsia"/>
                <w:color w:val="auto"/>
                <w:lang w:val="en-US" w:eastAsia="zh-CN"/>
              </w:rPr>
              <w:t>%</w:t>
            </w:r>
            <w:r>
              <w:rPr>
                <w:rFonts w:hint="eastAsia"/>
                <w:color w:val="auto"/>
              </w:rPr>
              <w:t>，则S=0.1。</w:t>
            </w:r>
            <w:r>
              <w:rPr>
                <w:rFonts w:hint="eastAsia"/>
                <w:color w:val="auto"/>
                <w:lang w:val="en-US" w:eastAsia="zh-CN"/>
              </w:rPr>
              <w:t>本项目</w:t>
            </w:r>
            <w:r>
              <w:rPr>
                <w:rFonts w:hint="eastAsia"/>
                <w:color w:val="auto"/>
              </w:rPr>
              <w:t>生物质中含硫量（S</w:t>
            </w:r>
            <w:r>
              <w:rPr>
                <w:rFonts w:hint="eastAsia"/>
                <w:color w:val="auto"/>
                <w:lang w:val="en-US" w:eastAsia="zh-CN"/>
              </w:rPr>
              <w:t>%</w:t>
            </w:r>
            <w:r>
              <w:rPr>
                <w:rFonts w:hint="eastAsia"/>
                <w:color w:val="auto"/>
                <w:lang w:eastAsia="zh-CN"/>
              </w:rPr>
              <w:t>）</w:t>
            </w:r>
            <w:r>
              <w:rPr>
                <w:rFonts w:hint="eastAsia"/>
                <w:color w:val="auto"/>
              </w:rPr>
              <w:t>为</w:t>
            </w:r>
            <w:r>
              <w:rPr>
                <w:rFonts w:hint="eastAsia"/>
                <w:color w:val="auto"/>
                <w:lang w:val="en-US" w:eastAsia="zh-CN"/>
              </w:rPr>
              <w:t>0.032%</w:t>
            </w:r>
            <w:r>
              <w:rPr>
                <w:rFonts w:hint="eastAsia"/>
                <w:color w:val="auto"/>
              </w:rPr>
              <w:t>，则S=</w:t>
            </w:r>
            <w:r>
              <w:rPr>
                <w:rFonts w:hint="eastAsia"/>
                <w:color w:val="auto"/>
                <w:lang w:val="en-US" w:eastAsia="zh-CN"/>
              </w:rPr>
              <w:t>0.032</w:t>
            </w:r>
            <w:r>
              <w:rPr>
                <w:rFonts w:hint="eastAsia"/>
                <w:color w:val="auto"/>
              </w:rPr>
              <w:t>。</w:t>
            </w:r>
          </w:p>
          <w:p w14:paraId="200F2D68">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b w:val="0"/>
                <w:bCs w:val="0"/>
                <w:color w:val="auto"/>
                <w:sz w:val="24"/>
              </w:rPr>
            </w:pPr>
            <w:r>
              <w:rPr>
                <w:rFonts w:hint="eastAsia"/>
                <w:b w:val="0"/>
                <w:bCs w:val="0"/>
                <w:color w:val="auto"/>
                <w:sz w:val="24"/>
                <w:lang w:val="en-US" w:eastAsia="zh-CN"/>
              </w:rPr>
              <w:t>（</w:t>
            </w:r>
            <w:r>
              <w:rPr>
                <w:rFonts w:hint="eastAsia" w:ascii="Times New Roman" w:hAnsi="Times New Roman" w:eastAsia="宋体"/>
                <w:b w:val="0"/>
                <w:bCs w:val="0"/>
                <w:color w:val="auto"/>
                <w:sz w:val="24"/>
                <w:lang w:val="en-US" w:eastAsia="zh-CN"/>
              </w:rPr>
              <w:t>1</w:t>
            </w:r>
            <w:r>
              <w:rPr>
                <w:rFonts w:hint="eastAsia"/>
                <w:b w:val="0"/>
                <w:bCs w:val="0"/>
                <w:color w:val="auto"/>
                <w:sz w:val="24"/>
                <w:lang w:eastAsia="zh-CN"/>
              </w:rPr>
              <w:t>）</w:t>
            </w:r>
            <w:r>
              <w:rPr>
                <w:rFonts w:hint="default" w:ascii="Times New Roman" w:hAnsi="Times New Roman" w:eastAsia="宋体"/>
                <w:b w:val="0"/>
                <w:bCs w:val="0"/>
                <w:color w:val="auto"/>
                <w:sz w:val="24"/>
              </w:rPr>
              <w:t>烟气量</w:t>
            </w:r>
          </w:p>
          <w:p w14:paraId="1B70B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sz w:val="24"/>
              </w:rPr>
            </w:pPr>
            <w:r>
              <w:rPr>
                <w:rFonts w:hint="eastAsia" w:ascii="Times New Roman" w:hAnsi="Times New Roman" w:eastAsia="宋体" w:cs="宋体"/>
                <w:color w:val="auto"/>
                <w:kern w:val="0"/>
                <w:sz w:val="24"/>
                <w:szCs w:val="24"/>
                <w:lang w:val="en-US" w:eastAsia="zh-CN" w:bidi="ar"/>
              </w:rPr>
              <w:t>本项目基准烟气量计算参照《排污许可证申请与核发技术规范</w:t>
            </w:r>
            <w:r>
              <w:rPr>
                <w:rFonts w:hint="eastAsia" w:cs="宋体"/>
                <w:color w:val="auto"/>
                <w:kern w:val="0"/>
                <w:sz w:val="24"/>
                <w:szCs w:val="24"/>
                <w:lang w:val="en-US" w:eastAsia="zh-CN" w:bidi="ar"/>
              </w:rPr>
              <w:t xml:space="preserve"> </w:t>
            </w:r>
            <w:r>
              <w:rPr>
                <w:rFonts w:hint="eastAsia" w:ascii="Times New Roman" w:hAnsi="Times New Roman" w:eastAsia="宋体" w:cs="宋体"/>
                <w:color w:val="auto"/>
                <w:kern w:val="0"/>
                <w:sz w:val="24"/>
                <w:szCs w:val="24"/>
                <w:lang w:val="en-US" w:eastAsia="zh-CN" w:bidi="ar"/>
              </w:rPr>
              <w:t>锅炉》（</w:t>
            </w:r>
            <w:r>
              <w:rPr>
                <w:rFonts w:hint="default" w:ascii="Times New Roman" w:hAnsi="Times New Roman" w:eastAsia="宋体" w:cs="Times New Roman"/>
                <w:color w:val="auto"/>
                <w:kern w:val="0"/>
                <w:sz w:val="24"/>
                <w:szCs w:val="24"/>
                <w:lang w:val="en-US" w:eastAsia="zh-CN" w:bidi="ar"/>
              </w:rPr>
              <w:t>HJ</w:t>
            </w:r>
            <w:r>
              <w:rPr>
                <w:rFonts w:hint="eastAsia"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953-2018</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5</w:t>
            </w:r>
            <w:r>
              <w:rPr>
                <w:rFonts w:hint="eastAsia" w:ascii="Times New Roman" w:hAnsi="Times New Roman" w:eastAsia="宋体" w:cs="宋体"/>
                <w:color w:val="auto"/>
                <w:kern w:val="0"/>
                <w:sz w:val="24"/>
                <w:szCs w:val="24"/>
                <w:lang w:val="en-US" w:eastAsia="zh-CN" w:bidi="ar"/>
              </w:rPr>
              <w:t>中的燃</w:t>
            </w:r>
            <w:r>
              <w:rPr>
                <w:rFonts w:hint="eastAsia" w:cs="宋体"/>
                <w:color w:val="auto"/>
                <w:kern w:val="0"/>
                <w:sz w:val="24"/>
                <w:szCs w:val="24"/>
                <w:lang w:val="en-US" w:eastAsia="zh-CN" w:bidi="ar"/>
              </w:rPr>
              <w:t>生物质热风炉</w:t>
            </w:r>
            <w:r>
              <w:rPr>
                <w:rFonts w:hint="eastAsia" w:ascii="Times New Roman" w:hAnsi="Times New Roman" w:eastAsia="宋体" w:cs="宋体"/>
                <w:color w:val="auto"/>
                <w:kern w:val="0"/>
                <w:sz w:val="24"/>
                <w:szCs w:val="24"/>
                <w:lang w:val="en-US" w:eastAsia="zh-CN" w:bidi="ar"/>
              </w:rPr>
              <w:t>基准烟气量计算公式。本项目使用的生物质燃料收到基低位发热量</w:t>
            </w:r>
            <w:r>
              <w:rPr>
                <w:rFonts w:hint="default" w:ascii="Times New Roman" w:hAnsi="Times New Roman" w:eastAsia="宋体" w:cs="Times New Roman"/>
                <w:color w:val="auto"/>
                <w:kern w:val="0"/>
                <w:sz w:val="24"/>
                <w:szCs w:val="24"/>
                <w:lang w:val="en-US" w:eastAsia="zh-CN" w:bidi="ar"/>
              </w:rPr>
              <w:t>Q</w:t>
            </w:r>
            <w:r>
              <w:rPr>
                <w:rFonts w:hint="default" w:ascii="Times New Roman" w:hAnsi="Times New Roman" w:eastAsia="宋体" w:cs="Times New Roman"/>
                <w:color w:val="auto"/>
                <w:kern w:val="0"/>
                <w:sz w:val="24"/>
                <w:szCs w:val="15"/>
                <w:vertAlign w:val="subscript"/>
                <w:lang w:val="en-US" w:eastAsia="zh-CN" w:bidi="ar"/>
              </w:rPr>
              <w:t>net</w:t>
            </w:r>
            <w:r>
              <w:rPr>
                <w:rFonts w:hint="eastAsia" w:cs="Times New Roman"/>
                <w:color w:val="auto"/>
                <w:kern w:val="0"/>
                <w:sz w:val="24"/>
                <w:szCs w:val="15"/>
                <w:vertAlign w:val="subscript"/>
                <w:lang w:val="en-US" w:eastAsia="zh-CN" w:bidi="ar"/>
              </w:rPr>
              <w:t>，</w:t>
            </w:r>
            <w:r>
              <w:rPr>
                <w:rFonts w:hint="default" w:ascii="Times New Roman" w:hAnsi="Times New Roman" w:eastAsia="宋体" w:cs="Times New Roman"/>
                <w:color w:val="auto"/>
                <w:kern w:val="0"/>
                <w:sz w:val="24"/>
                <w:szCs w:val="15"/>
                <w:vertAlign w:val="subscript"/>
                <w:lang w:val="en-US" w:eastAsia="zh-CN" w:bidi="ar"/>
              </w:rPr>
              <w:t>ar</w:t>
            </w:r>
            <w:r>
              <w:rPr>
                <w:rFonts w:hint="eastAsia" w:cs="Times New Roman"/>
                <w:color w:val="auto"/>
                <w:kern w:val="0"/>
                <w:sz w:val="24"/>
                <w:szCs w:val="15"/>
                <w:vertAlign w:val="baseline"/>
                <w:lang w:val="en-US" w:eastAsia="zh-CN" w:bidi="ar"/>
              </w:rPr>
              <w:t>=17.31MJ/kg</w:t>
            </w:r>
            <w:r>
              <w:rPr>
                <w:rFonts w:hint="default" w:ascii="Times New Roman" w:hAnsi="Times New Roman" w:eastAsia="宋体" w:cs="Times New Roman"/>
                <w:color w:val="auto"/>
                <w:kern w:val="0"/>
                <w:sz w:val="24"/>
                <w:szCs w:val="24"/>
                <w:lang w:val="en-US" w:eastAsia="zh-CN" w:bidi="ar"/>
              </w:rPr>
              <w:t>&gt;12.54MJ/kg</w:t>
            </w:r>
            <w:r>
              <w:rPr>
                <w:rFonts w:hint="eastAsia" w:ascii="Times New Roman" w:hAnsi="Times New Roman" w:eastAsia="宋体" w:cs="宋体"/>
                <w:color w:val="auto"/>
                <w:kern w:val="0"/>
                <w:sz w:val="24"/>
                <w:szCs w:val="24"/>
                <w:lang w:val="en-US" w:eastAsia="zh-CN" w:bidi="ar"/>
              </w:rPr>
              <w:t>，燃料干燥无灰基挥发分</w:t>
            </w:r>
            <w:r>
              <w:rPr>
                <w:rFonts w:hint="default" w:ascii="Times New Roman" w:hAnsi="Times New Roman" w:eastAsia="宋体" w:cs="Times New Roman"/>
                <w:color w:val="auto"/>
                <w:kern w:val="0"/>
                <w:sz w:val="24"/>
                <w:szCs w:val="24"/>
                <w:lang w:val="en-US" w:eastAsia="zh-CN" w:bidi="ar"/>
              </w:rPr>
              <w:t>V</w:t>
            </w:r>
            <w:r>
              <w:rPr>
                <w:rFonts w:hint="default" w:ascii="Times New Roman" w:hAnsi="Times New Roman" w:eastAsia="宋体" w:cs="Times New Roman"/>
                <w:color w:val="auto"/>
                <w:kern w:val="0"/>
                <w:sz w:val="24"/>
                <w:szCs w:val="15"/>
                <w:vertAlign w:val="subscript"/>
                <w:lang w:val="en-US" w:eastAsia="zh-CN" w:bidi="ar"/>
              </w:rPr>
              <w:t>daf</w:t>
            </w:r>
            <w:r>
              <w:rPr>
                <w:rFonts w:hint="eastAsia" w:cs="Times New Roman"/>
                <w:color w:val="auto"/>
                <w:kern w:val="0"/>
                <w:sz w:val="24"/>
                <w:szCs w:val="15"/>
                <w:vertAlign w:val="baseline"/>
                <w:lang w:val="en-US" w:eastAsia="zh-CN" w:bidi="ar"/>
              </w:rPr>
              <w:t>=078.18</w:t>
            </w:r>
            <w:r>
              <w:rPr>
                <w:rFonts w:hint="eastAsia" w:ascii="Times New Roman" w:hAnsi="Times New Roman"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w:t>
            </w:r>
            <w:r>
              <w:rPr>
                <w:rFonts w:hint="eastAsia"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&gt;15</w:t>
            </w:r>
            <w:r>
              <w:rPr>
                <w:rFonts w:hint="eastAsia" w:cs="Times New Roman"/>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，具体计算公式选用如下：</w:t>
            </w:r>
          </w:p>
          <w:p w14:paraId="5D6B4A2B">
            <w:pPr>
              <w:pStyle w:val="38"/>
              <w:keepNext w:val="0"/>
              <w:keepLines w:val="0"/>
              <w:suppressLineNumbers w:val="0"/>
              <w:spacing w:before="0" w:beforeAutospacing="0" w:after="0" w:afterAutospacing="0" w:line="360" w:lineRule="auto"/>
              <w:ind w:left="0" w:leftChars="0" w:right="0" w:firstLine="0" w:firstLineChars="0"/>
              <w:jc w:val="center"/>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rPr>
              <w:t>V</w:t>
            </w:r>
            <w:r>
              <w:rPr>
                <w:rFonts w:hint="eastAsia" w:ascii="Times New Roman" w:hAnsi="Times New Roman" w:eastAsia="宋体"/>
                <w:color w:val="auto"/>
                <w:sz w:val="24"/>
                <w:szCs w:val="24"/>
                <w:vertAlign w:val="subscript"/>
              </w:rPr>
              <w:t>gy</w:t>
            </w:r>
            <w:r>
              <w:rPr>
                <w:rFonts w:hint="eastAsia" w:ascii="Times New Roman" w:hAnsi="Times New Roman" w:eastAsia="宋体"/>
                <w:color w:val="auto"/>
                <w:sz w:val="24"/>
                <w:szCs w:val="24"/>
              </w:rPr>
              <w:t>=0.</w:t>
            </w:r>
            <w:r>
              <w:rPr>
                <w:rFonts w:hint="eastAsia" w:ascii="Times New Roman" w:hAnsi="Times New Roman" w:eastAsia="宋体"/>
                <w:color w:val="auto"/>
                <w:sz w:val="24"/>
                <w:szCs w:val="24"/>
                <w:lang w:val="en-US" w:eastAsia="zh-CN"/>
              </w:rPr>
              <w:t>393</w:t>
            </w:r>
            <w:r>
              <w:rPr>
                <w:rFonts w:hint="eastAsia" w:ascii="Times New Roman" w:hAnsi="Times New Roman" w:eastAsia="宋体"/>
                <w:color w:val="auto"/>
                <w:sz w:val="24"/>
                <w:szCs w:val="24"/>
              </w:rPr>
              <w:t>Q</w:t>
            </w:r>
            <w:r>
              <w:rPr>
                <w:rFonts w:hint="eastAsia" w:ascii="Times New Roman" w:hAnsi="Times New Roman" w:eastAsia="宋体"/>
                <w:color w:val="auto"/>
                <w:sz w:val="24"/>
                <w:szCs w:val="24"/>
                <w:vertAlign w:val="subscript"/>
              </w:rPr>
              <w:t>net</w:t>
            </w:r>
            <w:r>
              <w:rPr>
                <w:rFonts w:hint="eastAsia"/>
                <w:color w:val="auto"/>
                <w:sz w:val="24"/>
                <w:szCs w:val="24"/>
                <w:vertAlign w:val="subscript"/>
                <w:lang w:val="en-US" w:eastAsia="zh-CN"/>
              </w:rPr>
              <w:t>，ar</w:t>
            </w:r>
            <w:r>
              <w:rPr>
                <w:rFonts w:hint="eastAsia" w:ascii="Times New Roman" w:hAnsi="Times New Roman" w:eastAsia="宋体"/>
                <w:color w:val="auto"/>
                <w:sz w:val="24"/>
                <w:szCs w:val="24"/>
              </w:rPr>
              <w:t>+0.</w:t>
            </w:r>
            <w:r>
              <w:rPr>
                <w:rFonts w:hint="eastAsia" w:ascii="Times New Roman" w:hAnsi="Times New Roman" w:eastAsia="宋体"/>
                <w:color w:val="auto"/>
                <w:sz w:val="24"/>
                <w:szCs w:val="24"/>
                <w:lang w:val="en-US" w:eastAsia="zh-CN"/>
              </w:rPr>
              <w:t>876</w:t>
            </w:r>
          </w:p>
          <w:p w14:paraId="2CE793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olor w:val="auto"/>
                <w:lang w:val="en-US" w:eastAsia="zh-CN"/>
              </w:rPr>
            </w:pPr>
            <w:r>
              <w:rPr>
                <w:rFonts w:hint="eastAsia" w:ascii="Times New Roman" w:hAnsi="Times New Roman" w:eastAsia="宋体" w:cs="宋体"/>
                <w:color w:val="auto"/>
                <w:kern w:val="0"/>
                <w:sz w:val="24"/>
                <w:szCs w:val="24"/>
                <w:lang w:val="en-US" w:eastAsia="zh-CN" w:bidi="ar"/>
              </w:rPr>
              <w:t>式中：</w:t>
            </w:r>
            <w:r>
              <w:rPr>
                <w:rFonts w:hint="default" w:ascii="Times New Roman" w:hAnsi="Times New Roman" w:eastAsia="宋体" w:cs="Times New Roman"/>
                <w:color w:val="auto"/>
                <w:kern w:val="0"/>
                <w:sz w:val="24"/>
                <w:szCs w:val="24"/>
                <w:lang w:val="en-US" w:eastAsia="zh-CN" w:bidi="ar"/>
              </w:rPr>
              <w:t>V</w:t>
            </w:r>
            <w:r>
              <w:rPr>
                <w:rFonts w:hint="default" w:ascii="Times New Roman" w:hAnsi="Times New Roman" w:eastAsia="宋体" w:cs="Times New Roman"/>
                <w:color w:val="auto"/>
                <w:kern w:val="0"/>
                <w:sz w:val="15"/>
                <w:szCs w:val="15"/>
                <w:lang w:val="en-US" w:eastAsia="zh-CN" w:bidi="ar"/>
              </w:rPr>
              <w:t>gy</w:t>
            </w:r>
            <w:r>
              <w:rPr>
                <w:rFonts w:hint="default" w:ascii="Times New Roman" w:hAnsi="Times New Roman" w:eastAsia="宋体" w:cs="Times New Roman"/>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基准烟气量，</w:t>
            </w:r>
            <w:r>
              <w:rPr>
                <w:rFonts w:hint="default" w:ascii="Times New Roman" w:hAnsi="Times New Roman" w:eastAsia="宋体" w:cs="Times New Roman"/>
                <w:color w:val="auto"/>
                <w:kern w:val="0"/>
                <w:sz w:val="24"/>
                <w:szCs w:val="24"/>
                <w:lang w:val="en-US" w:eastAsia="zh-CN" w:bidi="ar"/>
              </w:rPr>
              <w:t>Nm</w:t>
            </w:r>
            <w:r>
              <w:rPr>
                <w:rFonts w:hint="eastAsia"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15"/>
                <w:szCs w:val="15"/>
                <w:lang w:val="en-US" w:eastAsia="zh-CN" w:bidi="ar"/>
              </w:rPr>
              <w:t xml:space="preserve"> </w:t>
            </w:r>
            <w:r>
              <w:rPr>
                <w:rFonts w:hint="default" w:ascii="Times New Roman" w:hAnsi="Times New Roman" w:eastAsia="宋体" w:cs="Times New Roman"/>
                <w:color w:val="auto"/>
                <w:kern w:val="0"/>
                <w:sz w:val="24"/>
                <w:szCs w:val="24"/>
                <w:lang w:val="en-US" w:eastAsia="zh-CN" w:bidi="ar"/>
              </w:rPr>
              <w:t>/kg</w:t>
            </w:r>
            <w:r>
              <w:rPr>
                <w:rFonts w:hint="eastAsia" w:ascii="Times New Roman" w:hAnsi="Times New Roman" w:eastAsia="宋体" w:cs="宋体"/>
                <w:color w:val="auto"/>
                <w:kern w:val="0"/>
                <w:sz w:val="24"/>
                <w:szCs w:val="24"/>
                <w:lang w:val="en-US" w:eastAsia="zh-CN" w:bidi="ar"/>
              </w:rPr>
              <w:t>；</w:t>
            </w:r>
          </w:p>
          <w:p w14:paraId="7CD18B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olor w:val="auto"/>
                <w:lang w:val="en-US" w:eastAsia="zh-CN"/>
              </w:rPr>
            </w:pPr>
            <w:r>
              <w:rPr>
                <w:rFonts w:hint="default" w:ascii="Times New Roman" w:hAnsi="Times New Roman" w:eastAsia="宋体" w:cs="Times New Roman"/>
                <w:color w:val="auto"/>
                <w:kern w:val="0"/>
                <w:sz w:val="24"/>
                <w:szCs w:val="24"/>
                <w:lang w:val="en-US" w:eastAsia="zh-CN" w:bidi="ar"/>
              </w:rPr>
              <w:t>Q</w:t>
            </w:r>
            <w:r>
              <w:rPr>
                <w:rFonts w:hint="default" w:ascii="Times New Roman" w:hAnsi="Times New Roman" w:eastAsia="宋体" w:cs="Times New Roman"/>
                <w:color w:val="auto"/>
                <w:kern w:val="0"/>
                <w:sz w:val="15"/>
                <w:szCs w:val="15"/>
                <w:lang w:val="en-US" w:eastAsia="zh-CN" w:bidi="ar"/>
              </w:rPr>
              <w:t>net</w:t>
            </w:r>
            <w:r>
              <w:rPr>
                <w:rFonts w:hint="eastAsia" w:cs="Times New Roman"/>
                <w:color w:val="auto"/>
                <w:kern w:val="0"/>
                <w:sz w:val="15"/>
                <w:szCs w:val="15"/>
                <w:lang w:val="en-US" w:eastAsia="zh-CN" w:bidi="ar"/>
              </w:rPr>
              <w:t>，</w:t>
            </w:r>
            <w:r>
              <w:rPr>
                <w:rFonts w:hint="default" w:ascii="Times New Roman" w:hAnsi="Times New Roman" w:eastAsia="宋体" w:cs="Times New Roman"/>
                <w:color w:val="auto"/>
                <w:kern w:val="0"/>
                <w:sz w:val="15"/>
                <w:szCs w:val="15"/>
                <w:lang w:val="en-US" w:eastAsia="zh-CN" w:bidi="ar"/>
              </w:rPr>
              <w:t>ar</w:t>
            </w:r>
            <w:r>
              <w:rPr>
                <w:rFonts w:hint="default" w:ascii="Times New Roman" w:hAnsi="Times New Roman" w:eastAsia="宋体" w:cs="Times New Roman"/>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固体燃料收到基低位发热量，</w:t>
            </w:r>
            <w:r>
              <w:rPr>
                <w:rFonts w:hint="default" w:ascii="Times New Roman" w:hAnsi="Times New Roman" w:eastAsia="宋体" w:cs="Times New Roman"/>
                <w:color w:val="auto"/>
                <w:kern w:val="0"/>
                <w:sz w:val="24"/>
                <w:szCs w:val="24"/>
                <w:lang w:val="en-US" w:eastAsia="zh-CN" w:bidi="ar"/>
              </w:rPr>
              <w:t>MJ/kg</w:t>
            </w:r>
            <w:r>
              <w:rPr>
                <w:rFonts w:hint="eastAsia" w:ascii="Times New Roman" w:hAnsi="Times New Roman" w:eastAsia="宋体" w:cs="宋体"/>
                <w:color w:val="auto"/>
                <w:kern w:val="0"/>
                <w:sz w:val="24"/>
                <w:szCs w:val="24"/>
                <w:lang w:val="en-US" w:eastAsia="zh-CN" w:bidi="ar"/>
              </w:rPr>
              <w:t>，本项目为</w:t>
            </w:r>
            <w:r>
              <w:rPr>
                <w:rFonts w:hint="eastAsia" w:cs="Times New Roman"/>
                <w:color w:val="auto"/>
                <w:kern w:val="0"/>
                <w:sz w:val="24"/>
                <w:szCs w:val="24"/>
                <w:lang w:val="en-US" w:eastAsia="zh-CN" w:bidi="ar"/>
              </w:rPr>
              <w:t>17.31</w:t>
            </w:r>
            <w:r>
              <w:rPr>
                <w:rFonts w:hint="eastAsia" w:ascii="Times New Roman" w:hAnsi="Times New Roman" w:eastAsia="宋体" w:cs="宋体"/>
                <w:color w:val="auto"/>
                <w:kern w:val="0"/>
                <w:sz w:val="24"/>
                <w:szCs w:val="24"/>
                <w:lang w:val="en-US" w:eastAsia="zh-CN" w:bidi="ar"/>
              </w:rPr>
              <w:t>。</w:t>
            </w:r>
          </w:p>
          <w:p w14:paraId="331DA058">
            <w:pPr>
              <w:keepNext w:val="0"/>
              <w:keepLines w:val="0"/>
              <w:widowControl/>
              <w:suppressLineNumbers w:val="0"/>
              <w:spacing w:before="0" w:beforeAutospacing="0" w:after="0" w:afterAutospacing="0" w:line="360" w:lineRule="auto"/>
              <w:ind w:left="0" w:right="0" w:firstLine="480" w:firstLineChars="200"/>
              <w:jc w:val="center"/>
              <w:rPr>
                <w:rFonts w:hint="eastAsia" w:ascii="Times New Roman" w:hAnsi="Times New Roman" w:eastAsia="宋体"/>
                <w:color w:val="auto"/>
                <w:sz w:val="24"/>
                <w:lang w:val="en-US" w:eastAsia="zh-CN"/>
              </w:rPr>
            </w:pPr>
            <w:r>
              <w:rPr>
                <w:rFonts w:hint="eastAsia" w:ascii="Times New Roman" w:hAnsi="Times New Roman" w:eastAsia="宋体"/>
                <w:color w:val="auto"/>
                <w:sz w:val="24"/>
              </w:rPr>
              <w:t>V</w:t>
            </w:r>
            <w:r>
              <w:rPr>
                <w:rFonts w:hint="eastAsia" w:ascii="Times New Roman" w:hAnsi="Times New Roman" w:eastAsia="宋体"/>
                <w:color w:val="auto"/>
                <w:sz w:val="24"/>
                <w:vertAlign w:val="subscript"/>
              </w:rPr>
              <w:t>gy</w:t>
            </w:r>
            <w:r>
              <w:rPr>
                <w:rFonts w:hint="eastAsia" w:ascii="Times New Roman" w:hAnsi="Times New Roman" w:eastAsia="宋体"/>
                <w:color w:val="auto"/>
                <w:sz w:val="24"/>
              </w:rPr>
              <w:t>=0.</w:t>
            </w:r>
            <w:r>
              <w:rPr>
                <w:rFonts w:hint="eastAsia" w:ascii="Times New Roman" w:hAnsi="Times New Roman" w:eastAsia="宋体"/>
                <w:color w:val="auto"/>
                <w:sz w:val="24"/>
                <w:lang w:val="en-US" w:eastAsia="zh-CN"/>
              </w:rPr>
              <w:t>393</w:t>
            </w:r>
            <w:r>
              <w:rPr>
                <w:rFonts w:hint="eastAsia" w:ascii="Times New Roman" w:hAnsi="Times New Roman" w:eastAsia="宋体"/>
                <w:color w:val="auto"/>
                <w:sz w:val="24"/>
              </w:rPr>
              <w:t>×</w:t>
            </w:r>
            <w:r>
              <w:rPr>
                <w:rFonts w:hint="eastAsia"/>
                <w:color w:val="auto"/>
                <w:sz w:val="24"/>
                <w:lang w:val="en-US" w:eastAsia="zh-CN"/>
              </w:rPr>
              <w:t>17.31</w:t>
            </w:r>
            <w:r>
              <w:rPr>
                <w:rFonts w:hint="eastAsia" w:ascii="Times New Roman" w:hAnsi="Times New Roman" w:eastAsia="宋体"/>
                <w:color w:val="auto"/>
                <w:sz w:val="24"/>
              </w:rPr>
              <w:t>+0.</w:t>
            </w:r>
            <w:r>
              <w:rPr>
                <w:rFonts w:hint="eastAsia" w:ascii="Times New Roman" w:hAnsi="Times New Roman" w:eastAsia="宋体"/>
                <w:color w:val="auto"/>
                <w:sz w:val="24"/>
                <w:lang w:val="en-US" w:eastAsia="zh-CN"/>
              </w:rPr>
              <w:t>876</w:t>
            </w:r>
            <w:r>
              <w:rPr>
                <w:rFonts w:hint="eastAsia" w:ascii="Times New Roman" w:hAnsi="Times New Roman" w:eastAsia="宋体"/>
                <w:color w:val="auto"/>
                <w:sz w:val="24"/>
              </w:rPr>
              <w:t>=</w:t>
            </w:r>
            <w:r>
              <w:rPr>
                <w:rFonts w:hint="eastAsia"/>
                <w:color w:val="auto"/>
                <w:sz w:val="24"/>
                <w:lang w:val="en-US" w:eastAsia="zh-CN"/>
              </w:rPr>
              <w:t>7.679</w:t>
            </w:r>
            <w:r>
              <w:rPr>
                <w:rFonts w:hint="eastAsia" w:ascii="Times New Roman" w:hAnsi="Times New Roman" w:eastAsia="宋体"/>
                <w:color w:val="auto"/>
                <w:sz w:val="24"/>
              </w:rPr>
              <w:t>Nm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w:t>
            </w:r>
            <w:r>
              <w:rPr>
                <w:rFonts w:hint="eastAsia" w:ascii="Times New Roman" w:hAnsi="Times New Roman" w:eastAsia="宋体"/>
                <w:color w:val="auto"/>
                <w:sz w:val="24"/>
                <w:lang w:val="en-US" w:eastAsia="zh-CN"/>
              </w:rPr>
              <w:t>kg</w:t>
            </w:r>
          </w:p>
          <w:p w14:paraId="150979A9">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lang w:val="en-US"/>
              </w:rPr>
            </w:pPr>
            <w:r>
              <w:rPr>
                <w:rFonts w:hint="eastAsia" w:ascii="Times New Roman" w:hAnsi="Times New Roman" w:eastAsia="宋体" w:cs="宋体"/>
                <w:color w:val="auto"/>
                <w:kern w:val="0"/>
                <w:sz w:val="24"/>
                <w:szCs w:val="24"/>
                <w:lang w:val="en-US" w:eastAsia="zh-CN" w:bidi="ar"/>
              </w:rPr>
              <w:t>经计算，本项目燃烧</w:t>
            </w:r>
            <w:r>
              <w:rPr>
                <w:rFonts w:hint="default" w:ascii="Times New Roman" w:hAnsi="Times New Roman" w:eastAsia="宋体" w:cs="Times New Roman"/>
                <w:color w:val="auto"/>
                <w:kern w:val="0"/>
                <w:sz w:val="24"/>
                <w:szCs w:val="24"/>
                <w:lang w:val="en-US" w:eastAsia="zh-CN" w:bidi="ar"/>
              </w:rPr>
              <w:t>1kg</w:t>
            </w:r>
            <w:r>
              <w:rPr>
                <w:rFonts w:hint="eastAsia" w:ascii="Times New Roman" w:hAnsi="Times New Roman" w:eastAsia="宋体" w:cs="宋体"/>
                <w:color w:val="auto"/>
                <w:kern w:val="0"/>
                <w:sz w:val="24"/>
                <w:szCs w:val="24"/>
                <w:lang w:val="en-US" w:eastAsia="zh-CN" w:bidi="ar"/>
              </w:rPr>
              <w:t>生物质燃料理论空气量为</w:t>
            </w:r>
            <w:r>
              <w:rPr>
                <w:rFonts w:hint="eastAsia" w:cs="Times New Roman"/>
                <w:color w:val="auto"/>
                <w:kern w:val="0"/>
                <w:sz w:val="24"/>
                <w:szCs w:val="24"/>
                <w:lang w:val="en-US" w:eastAsia="zh-CN" w:bidi="ar"/>
              </w:rPr>
              <w:t>7.679N</w:t>
            </w:r>
            <w:r>
              <w:rPr>
                <w:rFonts w:hint="eastAsia" w:ascii="Times New Roman" w:hAnsi="Times New Roman" w:eastAsia="宋体" w:cs="Times New Roman"/>
                <w:color w:val="auto"/>
                <w:kern w:val="0"/>
                <w:sz w:val="24"/>
                <w:szCs w:val="24"/>
                <w:lang w:val="en-US" w:eastAsia="zh-CN" w:bidi="ar"/>
              </w:rPr>
              <w:t>m</w:t>
            </w:r>
            <w:r>
              <w:rPr>
                <w:rFonts w:hint="eastAsia"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/kg</w:t>
            </w:r>
            <w:r>
              <w:rPr>
                <w:rFonts w:hint="eastAsia" w:ascii="Times New Roman" w:hAnsi="Times New Roman" w:eastAsia="宋体" w:cs="宋体"/>
                <w:color w:val="auto"/>
                <w:kern w:val="0"/>
                <w:sz w:val="24"/>
                <w:szCs w:val="24"/>
                <w:lang w:val="en-US" w:eastAsia="zh-CN" w:bidi="ar"/>
              </w:rPr>
              <w:t>，</w:t>
            </w:r>
            <w:r>
              <w:rPr>
                <w:rFonts w:hint="eastAsia" w:cs="宋体"/>
                <w:color w:val="auto"/>
                <w:kern w:val="0"/>
                <w:sz w:val="24"/>
                <w:szCs w:val="24"/>
                <w:lang w:val="en-US" w:eastAsia="zh-CN" w:bidi="ar"/>
              </w:rPr>
              <w:t>本项目生物质颗粒年消耗量为3000t，</w:t>
            </w:r>
            <w:r>
              <w:rPr>
                <w:rFonts w:hint="eastAsia" w:ascii="Times New Roman" w:hAnsi="Times New Roman" w:eastAsia="宋体" w:cs="宋体"/>
                <w:color w:val="auto"/>
                <w:kern w:val="0"/>
                <w:sz w:val="24"/>
                <w:szCs w:val="24"/>
                <w:lang w:val="en-US" w:eastAsia="zh-CN" w:bidi="ar"/>
              </w:rPr>
              <w:t>则本项目烟气量约为</w:t>
            </w:r>
            <w:r>
              <w:rPr>
                <w:rFonts w:hint="eastAsia" w:cs="宋体"/>
                <w:color w:val="auto"/>
                <w:kern w:val="0"/>
                <w:sz w:val="24"/>
                <w:szCs w:val="24"/>
                <w:lang w:val="en-US" w:eastAsia="zh-CN" w:bidi="ar"/>
              </w:rPr>
              <w:t>19197.5</w:t>
            </w:r>
            <w:r>
              <w:rPr>
                <w:rFonts w:hint="eastAsia" w:ascii="Times New Roman" w:hAnsi="Times New Roman" w:eastAsia="宋体" w:cs="宋体"/>
                <w:color w:val="auto"/>
                <w:kern w:val="0"/>
                <w:sz w:val="24"/>
                <w:szCs w:val="24"/>
                <w:lang w:val="en-US" w:eastAsia="zh-CN" w:bidi="ar"/>
              </w:rPr>
              <w:t>m</w:t>
            </w:r>
            <w:r>
              <w:rPr>
                <w:rFonts w:hint="eastAsia" w:ascii="Times New Roman" w:hAnsi="Times New Roman" w:eastAsia="宋体" w:cs="宋体"/>
                <w:color w:val="auto"/>
                <w:kern w:val="0"/>
                <w:sz w:val="24"/>
                <w:szCs w:val="24"/>
                <w:vertAlign w:val="superscript"/>
                <w:lang w:val="en-US" w:eastAsia="zh-CN" w:bidi="ar"/>
              </w:rPr>
              <w:t>3</w:t>
            </w:r>
            <w:r>
              <w:rPr>
                <w:rFonts w:hint="eastAsia" w:ascii="Times New Roman" w:hAnsi="Times New Roman" w:eastAsia="宋体" w:cs="宋体"/>
                <w:color w:val="auto"/>
                <w:kern w:val="0"/>
                <w:sz w:val="24"/>
                <w:szCs w:val="24"/>
                <w:lang w:val="en-US" w:eastAsia="zh-CN" w:bidi="ar"/>
              </w:rPr>
              <w:t>/h（</w:t>
            </w:r>
            <w:r>
              <w:rPr>
                <w:rFonts w:hint="eastAsia" w:cs="宋体"/>
                <w:color w:val="auto"/>
                <w:kern w:val="0"/>
                <w:sz w:val="24"/>
                <w:szCs w:val="24"/>
                <w:lang w:val="en-US" w:eastAsia="zh-CN" w:bidi="ar"/>
              </w:rPr>
              <w:t>23037000</w:t>
            </w:r>
            <w:r>
              <w:rPr>
                <w:rFonts w:hint="eastAsia" w:ascii="Times New Roman" w:hAnsi="Times New Roman" w:eastAsia="宋体" w:cs="宋体"/>
                <w:color w:val="auto"/>
                <w:kern w:val="0"/>
                <w:sz w:val="24"/>
                <w:szCs w:val="24"/>
                <w:lang w:val="en-US" w:eastAsia="zh-CN" w:bidi="ar"/>
              </w:rPr>
              <w:t>m</w:t>
            </w:r>
            <w:r>
              <w:rPr>
                <w:rFonts w:hint="eastAsia" w:ascii="Times New Roman" w:hAnsi="Times New Roman" w:eastAsia="宋体" w:cs="宋体"/>
                <w:color w:val="auto"/>
                <w:kern w:val="0"/>
                <w:sz w:val="24"/>
                <w:szCs w:val="24"/>
                <w:vertAlign w:val="superscript"/>
                <w:lang w:val="en-US" w:eastAsia="zh-CN" w:bidi="ar"/>
              </w:rPr>
              <w:t>3</w:t>
            </w:r>
            <w:r>
              <w:rPr>
                <w:rFonts w:hint="eastAsia" w:ascii="Times New Roman" w:hAnsi="Times New Roman" w:eastAsia="宋体" w:cs="宋体"/>
                <w:color w:val="auto"/>
                <w:kern w:val="0"/>
                <w:sz w:val="24"/>
                <w:szCs w:val="24"/>
                <w:lang w:val="en-US" w:eastAsia="zh-CN" w:bidi="ar"/>
              </w:rPr>
              <w:t>/a</w:t>
            </w:r>
            <w:r>
              <w:rPr>
                <w:rFonts w:hint="eastAsia" w:cs="宋体"/>
                <w:color w:val="auto"/>
                <w:kern w:val="0"/>
                <w:sz w:val="24"/>
                <w:szCs w:val="24"/>
                <w:lang w:val="en-US" w:eastAsia="zh-CN" w:bidi="ar"/>
              </w:rPr>
              <w:t>）。</w:t>
            </w:r>
          </w:p>
          <w:p w14:paraId="0698DB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b w:val="0"/>
                <w:bCs w:val="0"/>
                <w:color w:val="auto"/>
                <w:sz w:val="24"/>
                <w:lang w:val="en-US" w:eastAsia="zh-CN"/>
              </w:rPr>
            </w:pPr>
            <w:r>
              <w:rPr>
                <w:rFonts w:hint="eastAsia"/>
                <w:b w:val="0"/>
                <w:bCs w:val="0"/>
                <w:color w:val="auto"/>
                <w:sz w:val="24"/>
                <w:lang w:val="en-US" w:eastAsia="zh-CN"/>
              </w:rPr>
              <w:t>（</w:t>
            </w:r>
            <w:r>
              <w:rPr>
                <w:rFonts w:hint="eastAsia" w:ascii="Times New Roman" w:hAnsi="Times New Roman" w:eastAsia="宋体"/>
                <w:b w:val="0"/>
                <w:bCs w:val="0"/>
                <w:color w:val="auto"/>
                <w:sz w:val="24"/>
                <w:lang w:val="en-US" w:eastAsia="zh-CN"/>
              </w:rPr>
              <w:t>2</w:t>
            </w:r>
            <w:r>
              <w:rPr>
                <w:rFonts w:hint="eastAsia"/>
                <w:b w:val="0"/>
                <w:bCs w:val="0"/>
                <w:color w:val="auto"/>
                <w:sz w:val="24"/>
                <w:lang w:eastAsia="zh-CN"/>
              </w:rPr>
              <w:t>）</w:t>
            </w:r>
            <w:r>
              <w:rPr>
                <w:rFonts w:hint="eastAsia" w:ascii="Times New Roman" w:hAnsi="Times New Roman" w:eastAsia="宋体"/>
                <w:b w:val="0"/>
                <w:bCs w:val="0"/>
                <w:color w:val="auto"/>
                <w:sz w:val="24"/>
                <w:lang w:val="en-US" w:eastAsia="zh-CN"/>
              </w:rPr>
              <w:t>污染物排放量计算</w:t>
            </w:r>
          </w:p>
          <w:p w14:paraId="33DDE3D3">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olor w:val="auto"/>
                <w:sz w:val="24"/>
                <w:lang w:val="en-US" w:eastAsia="zh-CN"/>
              </w:rPr>
            </w:pPr>
            <w:r>
              <w:rPr>
                <w:rFonts w:hint="eastAsia"/>
                <w:color w:val="auto"/>
                <w:sz w:val="24"/>
                <w:lang w:val="en-US" w:eastAsia="zh-CN"/>
              </w:rPr>
              <w:t>1）颗粒物（产污系数法）</w:t>
            </w:r>
          </w:p>
          <w:p w14:paraId="270CB86D">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eastAsia="宋体"/>
                <w:color w:val="auto"/>
                <w:sz w:val="24"/>
              </w:rPr>
            </w:pPr>
            <w:r>
              <w:rPr>
                <w:rFonts w:hint="default" w:ascii="Times New Roman" w:hAnsi="Times New Roman" w:eastAsia="宋体"/>
                <w:color w:val="auto"/>
                <w:sz w:val="24"/>
              </w:rPr>
              <w:t>由《污染源源强核算技术指南</w:t>
            </w:r>
            <w:r>
              <w:rPr>
                <w:rFonts w:hint="eastAsia" w:ascii="Times New Roman" w:hAnsi="Times New Roman" w:eastAsia="宋体"/>
                <w:color w:val="auto"/>
                <w:sz w:val="24"/>
              </w:rPr>
              <w:t xml:space="preserve"> </w:t>
            </w:r>
            <w:r>
              <w:rPr>
                <w:rFonts w:hint="default" w:ascii="Times New Roman" w:hAnsi="Times New Roman" w:eastAsia="宋体"/>
                <w:color w:val="auto"/>
                <w:sz w:val="24"/>
              </w:rPr>
              <w:t>锅炉》</w:t>
            </w:r>
            <w:r>
              <w:rPr>
                <w:rFonts w:hint="eastAsia" w:ascii="Times New Roman" w:hAnsi="Times New Roman"/>
                <w:color w:val="auto"/>
                <w:sz w:val="24"/>
                <w:lang w:eastAsia="zh-CN"/>
              </w:rPr>
              <w:t>（</w:t>
            </w:r>
            <w:r>
              <w:rPr>
                <w:rFonts w:hint="default" w:ascii="Times New Roman" w:hAnsi="Times New Roman" w:eastAsia="宋体"/>
                <w:color w:val="auto"/>
                <w:sz w:val="24"/>
              </w:rPr>
              <w:t>HJ</w:t>
            </w:r>
            <w:r>
              <w:rPr>
                <w:rFonts w:hint="eastAsia" w:ascii="Times New Roman" w:hAnsi="Times New Roman"/>
                <w:color w:val="auto"/>
                <w:sz w:val="24"/>
                <w:lang w:val="en-US" w:eastAsia="zh-CN"/>
              </w:rPr>
              <w:t xml:space="preserve"> </w:t>
            </w:r>
            <w:r>
              <w:rPr>
                <w:rFonts w:hint="default" w:ascii="Times New Roman" w:hAnsi="Times New Roman" w:eastAsia="宋体"/>
                <w:color w:val="auto"/>
                <w:sz w:val="24"/>
              </w:rPr>
              <w:t>991-2018</w:t>
            </w:r>
            <w:r>
              <w:rPr>
                <w:rFonts w:hint="eastAsia"/>
                <w:color w:val="auto"/>
                <w:sz w:val="24"/>
                <w:lang w:eastAsia="zh-CN"/>
              </w:rPr>
              <w:t>）</w:t>
            </w:r>
            <w:r>
              <w:rPr>
                <w:rFonts w:hint="eastAsia" w:ascii="Times New Roman" w:hAnsi="Times New Roman" w:eastAsia="宋体"/>
                <w:color w:val="auto"/>
                <w:sz w:val="24"/>
              </w:rPr>
              <w:t>，</w:t>
            </w:r>
            <w:r>
              <w:rPr>
                <w:rFonts w:hint="eastAsia"/>
                <w:color w:val="auto"/>
                <w:sz w:val="24"/>
                <w:lang w:val="en-US" w:eastAsia="zh-CN"/>
              </w:rPr>
              <w:t>颗粒物</w:t>
            </w:r>
            <w:r>
              <w:rPr>
                <w:rFonts w:hint="default" w:ascii="Times New Roman" w:hAnsi="Times New Roman" w:eastAsia="宋体"/>
                <w:color w:val="auto"/>
                <w:sz w:val="24"/>
              </w:rPr>
              <w:t>排放量采用产污系数法进行计算。</w:t>
            </w:r>
          </w:p>
          <w:p w14:paraId="0D502E98">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olor w:val="auto"/>
                <w:sz w:val="24"/>
              </w:rPr>
            </w:pPr>
            <w:r>
              <w:rPr>
                <w:rFonts w:hint="default" w:ascii="Times New Roman" w:hAnsi="Times New Roman" w:eastAsia="宋体"/>
                <w:color w:val="auto"/>
                <w:sz w:val="24"/>
              </w:rPr>
              <w:drawing>
                <wp:inline distT="0" distB="0" distL="114300" distR="114300">
                  <wp:extent cx="1735455" cy="356870"/>
                  <wp:effectExtent l="0" t="0" r="17145" b="5080"/>
                  <wp:docPr id="8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2"/>
                          <pic:cNvPicPr>
                            <a:picLocks noChangeAspect="1"/>
                          </pic:cNvPicPr>
                        </pic:nvPicPr>
                        <pic:blipFill>
                          <a:blip r:embed="rId40"/>
                          <a:srcRect t="14740" b="13850"/>
                          <a:stretch>
                            <a:fillRect/>
                          </a:stretch>
                        </pic:blipFill>
                        <pic:spPr>
                          <a:xfrm>
                            <a:off x="0" y="0"/>
                            <a:ext cx="1735455" cy="356870"/>
                          </a:xfrm>
                          <a:prstGeom prst="rect">
                            <a:avLst/>
                          </a:prstGeom>
                          <a:noFill/>
                          <a:ln>
                            <a:noFill/>
                          </a:ln>
                        </pic:spPr>
                      </pic:pic>
                    </a:graphicData>
                  </a:graphic>
                </wp:inline>
              </w:drawing>
            </w:r>
          </w:p>
          <w:p w14:paraId="6E044F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eastAsia" w:ascii="Times New Roman" w:hAnsi="Times New Roman" w:eastAsia="宋体"/>
                <w:color w:val="auto"/>
                <w:sz w:val="24"/>
              </w:rPr>
              <w:t>其中：E</w:t>
            </w:r>
            <w:r>
              <w:rPr>
                <w:rFonts w:hint="eastAsia" w:ascii="Times New Roman" w:hAnsi="Times New Roman" w:eastAsia="宋体"/>
                <w:color w:val="auto"/>
                <w:sz w:val="24"/>
                <w:vertAlign w:val="subscript"/>
              </w:rPr>
              <w:t>j</w:t>
            </w:r>
            <w:r>
              <w:rPr>
                <w:rFonts w:hint="eastAsia" w:ascii="Times New Roman" w:hAnsi="Times New Roman" w:eastAsia="宋体"/>
                <w:color w:val="auto"/>
                <w:sz w:val="24"/>
              </w:rPr>
              <w:t>——核算时段内第j种污染物排放量，t；</w:t>
            </w:r>
          </w:p>
          <w:p w14:paraId="13801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textAlignment w:val="auto"/>
              <w:rPr>
                <w:rFonts w:hint="default" w:ascii="Times New Roman" w:hAnsi="Times New Roman" w:eastAsia="宋体"/>
                <w:color w:val="auto"/>
                <w:sz w:val="24"/>
              </w:rPr>
            </w:pPr>
            <w:r>
              <w:rPr>
                <w:rFonts w:hint="eastAsia" w:ascii="Times New Roman" w:hAnsi="Times New Roman" w:eastAsia="宋体"/>
                <w:color w:val="auto"/>
                <w:sz w:val="24"/>
              </w:rPr>
              <w:t>R——核算时段内燃料耗量，t或万m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w:t>
            </w:r>
          </w:p>
          <w:p w14:paraId="0C1920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textAlignment w:val="auto"/>
              <w:rPr>
                <w:rFonts w:hint="default" w:ascii="Times New Roman" w:hAnsi="Times New Roman" w:eastAsia="宋体"/>
                <w:color w:val="auto"/>
                <w:sz w:val="24"/>
              </w:rPr>
            </w:pPr>
            <w:r>
              <w:rPr>
                <w:rFonts w:hint="default" w:ascii="Times New Roman" w:hAnsi="Times New Roman" w:eastAsia="宋体"/>
                <w:color w:val="auto"/>
                <w:sz w:val="24"/>
              </w:rPr>
              <w:t>β</w:t>
            </w:r>
            <w:r>
              <w:rPr>
                <w:rFonts w:hint="eastAsia" w:ascii="Times New Roman" w:hAnsi="Times New Roman" w:eastAsia="宋体"/>
                <w:color w:val="auto"/>
                <w:sz w:val="24"/>
                <w:vertAlign w:val="subscript"/>
              </w:rPr>
              <w:t>j</w:t>
            </w:r>
            <w:r>
              <w:rPr>
                <w:rFonts w:hint="eastAsia" w:ascii="Times New Roman" w:hAnsi="Times New Roman" w:eastAsia="宋体"/>
                <w:color w:val="auto"/>
                <w:sz w:val="24"/>
              </w:rPr>
              <w:t>——产物系数，kg/t或kg/万m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，参见全国污染源普查工业污染源普查数据（以最新版本为准</w:t>
            </w:r>
            <w:r>
              <w:rPr>
                <w:rFonts w:hint="eastAsia"/>
                <w:color w:val="auto"/>
                <w:sz w:val="24"/>
                <w:lang w:eastAsia="zh-CN"/>
              </w:rPr>
              <w:t>）</w:t>
            </w:r>
            <w:r>
              <w:rPr>
                <w:rFonts w:hint="eastAsia" w:ascii="Times New Roman" w:hAnsi="Times New Roman" w:eastAsia="宋体"/>
                <w:color w:val="auto"/>
                <w:sz w:val="24"/>
              </w:rPr>
              <w:t>和</w:t>
            </w:r>
            <w:r>
              <w:rPr>
                <w:rFonts w:hint="default" w:ascii="Times New Roman" w:hAnsi="Times New Roman" w:eastAsia="宋体"/>
                <w:color w:val="auto"/>
                <w:sz w:val="24"/>
              </w:rPr>
              <w:t>HJ953</w:t>
            </w:r>
            <w:r>
              <w:rPr>
                <w:rFonts w:hint="eastAsia" w:ascii="Times New Roman" w:hAnsi="Times New Roman" w:eastAsia="宋体"/>
                <w:color w:val="auto"/>
                <w:sz w:val="24"/>
              </w:rPr>
              <w:t>。采用罕见、特殊原料或工艺的，或手册中未涉及的，可类比国外同类工艺对应的产排污系数文件或咨询行业专业技术人员选取近似产品、原料、炉型的产污系数代替；</w:t>
            </w:r>
          </w:p>
          <w:p w14:paraId="1F5198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textAlignment w:val="auto"/>
              <w:rPr>
                <w:rFonts w:hint="default" w:ascii="Times New Roman" w:hAnsi="Times New Roman" w:eastAsia="宋体"/>
                <w:color w:val="auto"/>
                <w:sz w:val="24"/>
              </w:rPr>
            </w:pPr>
            <w:r>
              <w:rPr>
                <w:rFonts w:hint="default" w:ascii="Times New Roman" w:hAnsi="Times New Roman" w:eastAsia="宋体" w:cs="Times New Roman"/>
                <w:color w:val="auto"/>
                <w:sz w:val="24"/>
                <w:szCs w:val="32"/>
                <w:lang w:val="en-US" w:eastAsia="zh-CN"/>
              </w:rPr>
              <w:t>η</w:t>
            </w:r>
            <w:r>
              <w:rPr>
                <w:rFonts w:hint="eastAsia" w:ascii="Times New Roman" w:hAnsi="Times New Roman" w:eastAsia="宋体"/>
                <w:color w:val="auto"/>
                <w:sz w:val="24"/>
              </w:rPr>
              <w:t>——污染物的脱除效率，%；</w:t>
            </w:r>
          </w:p>
          <w:p w14:paraId="13E7E5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eastAsia" w:ascii="Times New Roman" w:hAnsi="Times New Roman" w:eastAsia="宋体"/>
                <w:color w:val="auto"/>
                <w:sz w:val="24"/>
              </w:rPr>
              <w:t>根据《污染源源强核算技术指南锅炉》（HJ991-2018</w:t>
            </w:r>
            <w:r>
              <w:rPr>
                <w:rFonts w:hint="eastAsia"/>
                <w:color w:val="auto"/>
                <w:sz w:val="24"/>
                <w:lang w:eastAsia="zh-CN"/>
              </w:rPr>
              <w:t>）</w:t>
            </w:r>
            <w:r>
              <w:rPr>
                <w:rFonts w:hint="eastAsia" w:ascii="Times New Roman" w:hAnsi="Times New Roman" w:eastAsia="宋体"/>
                <w:color w:val="auto"/>
                <w:sz w:val="24"/>
              </w:rPr>
              <w:t>，</w:t>
            </w:r>
            <w:r>
              <w:rPr>
                <w:rFonts w:hint="eastAsia"/>
                <w:color w:val="auto"/>
                <w:sz w:val="24"/>
                <w:lang w:val="en-US" w:eastAsia="zh-CN"/>
              </w:rPr>
              <w:t>颗粒物</w:t>
            </w:r>
            <w:r>
              <w:rPr>
                <w:rFonts w:hint="eastAsia" w:ascii="Times New Roman" w:hAnsi="Times New Roman" w:eastAsia="宋体"/>
                <w:color w:val="auto"/>
                <w:sz w:val="24"/>
              </w:rPr>
              <w:t>排放量采用产污系数法进行计算，排污系数选取</w:t>
            </w:r>
            <w:r>
              <w:rPr>
                <w:rFonts w:hint="default" w:ascii="Times New Roman" w:hAnsi="Times New Roman" w:eastAsia="宋体" w:cs="Times New Roman"/>
                <w:color w:val="auto"/>
                <w:sz w:val="24"/>
                <w:szCs w:val="24"/>
              </w:rPr>
              <w:t>《排污许可证申请与核发技术规范 锅炉》（HJ 953-2018）表F.4燃生物质工业锅炉的废气产排污系数</w:t>
            </w:r>
            <w:r>
              <w:rPr>
                <w:rFonts w:hint="eastAsia" w:cs="Times New Roman"/>
                <w:color w:val="auto"/>
                <w:sz w:val="24"/>
                <w:szCs w:val="24"/>
                <w:lang w:eastAsia="zh-CN"/>
              </w:rPr>
              <w:t>“</w:t>
            </w:r>
            <w:r>
              <w:rPr>
                <w:rFonts w:hint="eastAsia" w:cs="Times New Roman"/>
                <w:color w:val="auto"/>
                <w:sz w:val="24"/>
                <w:szCs w:val="24"/>
                <w:lang w:val="en-US" w:eastAsia="zh-CN"/>
              </w:rPr>
              <w:t>生物质—层燃炉—所有规模—成型燃料</w:t>
            </w:r>
            <w:r>
              <w:rPr>
                <w:rFonts w:hint="eastAsia" w:cs="Times New Roman"/>
                <w:color w:val="auto"/>
                <w:sz w:val="24"/>
                <w:szCs w:val="24"/>
                <w:lang w:eastAsia="zh-CN"/>
              </w:rPr>
              <w:t>”</w:t>
            </w:r>
            <w:r>
              <w:rPr>
                <w:rFonts w:hint="eastAsia" w:ascii="Times New Roman" w:hAnsi="Times New Roman" w:eastAsia="宋体"/>
                <w:color w:val="auto"/>
                <w:sz w:val="24"/>
                <w:szCs w:val="21"/>
              </w:rPr>
              <w:t>中</w:t>
            </w:r>
            <w:r>
              <w:rPr>
                <w:rFonts w:hint="eastAsia"/>
                <w:color w:val="auto"/>
                <w:sz w:val="24"/>
                <w:szCs w:val="21"/>
                <w:lang w:val="en-US" w:eastAsia="zh-CN"/>
              </w:rPr>
              <w:t>0.5</w:t>
            </w:r>
            <w:r>
              <w:rPr>
                <w:rFonts w:hint="eastAsia" w:ascii="Times New Roman" w:hAnsi="Times New Roman" w:eastAsia="宋体"/>
                <w:color w:val="auto"/>
                <w:sz w:val="24"/>
                <w:szCs w:val="21"/>
                <w:lang w:eastAsia="zh-CN"/>
              </w:rPr>
              <w:t>kg/t-</w:t>
            </w:r>
            <w:r>
              <w:rPr>
                <w:rFonts w:hint="eastAsia"/>
                <w:color w:val="auto"/>
                <w:sz w:val="24"/>
                <w:szCs w:val="21"/>
                <w:lang w:val="en-US" w:eastAsia="zh-CN"/>
              </w:rPr>
              <w:t>燃料</w:t>
            </w:r>
            <w:r>
              <w:rPr>
                <w:rFonts w:hint="eastAsia"/>
                <w:color w:val="auto"/>
                <w:sz w:val="24"/>
                <w:szCs w:val="21"/>
                <w:lang w:eastAsia="zh-CN"/>
              </w:rPr>
              <w:t>，</w:t>
            </w:r>
            <w:r>
              <w:rPr>
                <w:rFonts w:hint="eastAsia"/>
                <w:color w:val="auto"/>
                <w:sz w:val="24"/>
                <w:szCs w:val="21"/>
                <w:lang w:val="en-US" w:eastAsia="zh-CN"/>
              </w:rPr>
              <w:t>除尘方式采用旋风除尘+布袋除尘器，排污系数为0.005</w:t>
            </w:r>
            <w:r>
              <w:rPr>
                <w:rFonts w:hint="eastAsia" w:ascii="Times New Roman" w:hAnsi="Times New Roman" w:eastAsia="宋体"/>
                <w:color w:val="auto"/>
                <w:sz w:val="24"/>
                <w:szCs w:val="21"/>
                <w:lang w:eastAsia="zh-CN"/>
              </w:rPr>
              <w:t>kg/t-</w:t>
            </w:r>
            <w:r>
              <w:rPr>
                <w:rFonts w:hint="eastAsia" w:ascii="Times New Roman" w:hAnsi="Times New Roman" w:eastAsia="宋体"/>
                <w:color w:val="auto"/>
                <w:sz w:val="24"/>
                <w:szCs w:val="21"/>
                <w:lang w:val="en-US" w:eastAsia="zh-CN"/>
              </w:rPr>
              <w:t>燃料</w:t>
            </w:r>
            <w:r>
              <w:rPr>
                <w:rFonts w:hint="eastAsia"/>
                <w:color w:val="auto"/>
                <w:sz w:val="24"/>
                <w:szCs w:val="21"/>
                <w:lang w:val="en-US" w:eastAsia="zh-CN"/>
              </w:rPr>
              <w:t>。</w:t>
            </w:r>
          </w:p>
          <w:p w14:paraId="4CC87A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b/>
                <w:bCs/>
                <w:color w:val="auto"/>
                <w:sz w:val="24"/>
                <w:lang w:val="en-US" w:eastAsia="zh-CN"/>
              </w:rPr>
            </w:pPr>
            <w:r>
              <w:rPr>
                <w:rFonts w:hint="eastAsia"/>
                <w:b/>
                <w:bCs/>
                <w:color w:val="auto"/>
                <w:sz w:val="24"/>
                <w:lang w:val="en-US" w:eastAsia="zh-CN"/>
              </w:rPr>
              <w:t>锅炉颗粒物产排污计算过程：</w:t>
            </w:r>
          </w:p>
          <w:p w14:paraId="1696F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rPr>
            </w:pPr>
            <w:r>
              <w:rPr>
                <w:rFonts w:hint="eastAsia" w:ascii="Times New Roman" w:hAnsi="Times New Roman" w:eastAsia="宋体"/>
                <w:color w:val="auto"/>
                <w:sz w:val="24"/>
              </w:rPr>
              <w:t>颗粒物</w:t>
            </w:r>
            <w:r>
              <w:rPr>
                <w:rFonts w:hint="eastAsia"/>
                <w:color w:val="auto"/>
                <w:sz w:val="24"/>
                <w:lang w:val="en-US" w:eastAsia="zh-CN"/>
              </w:rPr>
              <w:t>产生</w:t>
            </w:r>
            <w:r>
              <w:rPr>
                <w:rFonts w:hint="eastAsia" w:ascii="Times New Roman" w:hAnsi="Times New Roman" w:eastAsia="宋体"/>
                <w:color w:val="auto"/>
                <w:sz w:val="24"/>
              </w:rPr>
              <w:t>量=</w:t>
            </w:r>
            <w:r>
              <w:rPr>
                <w:rFonts w:hint="eastAsia"/>
                <w:color w:val="auto"/>
                <w:sz w:val="24"/>
                <w:lang w:val="en-US" w:eastAsia="zh-CN"/>
              </w:rPr>
              <w:t>0.5</w:t>
            </w:r>
            <w:r>
              <w:rPr>
                <w:rFonts w:hint="eastAsia" w:ascii="Times New Roman" w:hAnsi="Times New Roman" w:eastAsia="宋体"/>
                <w:color w:val="auto"/>
                <w:sz w:val="24"/>
              </w:rPr>
              <w:t>kg/</w:t>
            </w:r>
            <w:r>
              <w:rPr>
                <w:rFonts w:hint="eastAsia"/>
                <w:color w:val="auto"/>
                <w:sz w:val="24"/>
                <w:lang w:val="en-US" w:eastAsia="zh-CN"/>
              </w:rPr>
              <w:t>t</w:t>
            </w:r>
            <w:r>
              <w:rPr>
                <w:rFonts w:hint="eastAsia" w:ascii="Times New Roman" w:hAnsi="Times New Roman" w:eastAsia="宋体"/>
                <w:color w:val="auto"/>
                <w:sz w:val="24"/>
              </w:rPr>
              <w:t>×</w:t>
            </w:r>
            <w:r>
              <w:rPr>
                <w:rFonts w:hint="eastAsia"/>
                <w:color w:val="auto"/>
                <w:sz w:val="24"/>
                <w:lang w:val="en-US" w:eastAsia="zh-CN"/>
              </w:rPr>
              <w:t>3000t/a</w:t>
            </w:r>
            <w:r>
              <w:rPr>
                <w:rFonts w:hint="eastAsia" w:ascii="Times New Roman" w:hAnsi="Times New Roman" w:eastAsia="宋体"/>
                <w:color w:val="auto"/>
                <w:sz w:val="24"/>
              </w:rPr>
              <w:t>=</w:t>
            </w:r>
            <w:r>
              <w:rPr>
                <w:rFonts w:hint="eastAsia"/>
                <w:color w:val="auto"/>
                <w:sz w:val="24"/>
                <w:lang w:val="en-US" w:eastAsia="zh-CN"/>
              </w:rPr>
              <w:t>1500k</w:t>
            </w:r>
            <w:r>
              <w:rPr>
                <w:rFonts w:hint="eastAsia" w:ascii="Times New Roman" w:hAnsi="Times New Roman" w:eastAsia="宋体"/>
                <w:color w:val="auto"/>
                <w:sz w:val="24"/>
              </w:rPr>
              <w:t>g/a=</w:t>
            </w:r>
            <w:r>
              <w:rPr>
                <w:rFonts w:hint="eastAsia"/>
                <w:color w:val="auto"/>
                <w:sz w:val="24"/>
                <w:lang w:val="en-US" w:eastAsia="zh-CN"/>
              </w:rPr>
              <w:t>1.5</w:t>
            </w:r>
            <w:r>
              <w:rPr>
                <w:rFonts w:hint="eastAsia" w:ascii="Times New Roman" w:hAnsi="Times New Roman" w:eastAsia="宋体"/>
                <w:color w:val="auto"/>
                <w:sz w:val="24"/>
              </w:rPr>
              <w:t>t/a。</w:t>
            </w:r>
          </w:p>
          <w:p w14:paraId="69950D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lang w:val="en-US" w:eastAsia="zh-CN"/>
              </w:rPr>
            </w:pPr>
            <w:r>
              <w:rPr>
                <w:rFonts w:hint="eastAsia" w:ascii="Times New Roman" w:hAnsi="Times New Roman" w:eastAsia="宋体"/>
                <w:color w:val="auto"/>
                <w:sz w:val="24"/>
              </w:rPr>
              <w:t>颗粒物</w:t>
            </w:r>
            <w:r>
              <w:rPr>
                <w:rFonts w:hint="eastAsia"/>
                <w:color w:val="auto"/>
                <w:sz w:val="24"/>
                <w:lang w:val="en-US" w:eastAsia="zh-CN"/>
              </w:rPr>
              <w:t>产生速率=1500k</w:t>
            </w:r>
            <w:r>
              <w:rPr>
                <w:rFonts w:hint="eastAsia" w:ascii="Times New Roman" w:hAnsi="Times New Roman" w:eastAsia="宋体"/>
                <w:color w:val="auto"/>
                <w:sz w:val="24"/>
              </w:rPr>
              <w:t>g/a</w:t>
            </w:r>
            <w:r>
              <w:rPr>
                <w:rFonts w:hint="eastAsia"/>
                <w:color w:val="auto"/>
                <w:sz w:val="24"/>
                <w:lang w:val="en-US" w:eastAsia="zh-CN"/>
              </w:rPr>
              <w:t>÷100÷12=1.25kg/h。</w:t>
            </w:r>
          </w:p>
          <w:p w14:paraId="6B8E80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rPr>
            </w:pPr>
            <w:r>
              <w:rPr>
                <w:rFonts w:hint="eastAsia" w:ascii="Times New Roman" w:hAnsi="Times New Roman" w:eastAsia="宋体"/>
                <w:color w:val="auto"/>
                <w:sz w:val="24"/>
              </w:rPr>
              <w:t>颗粒物</w:t>
            </w:r>
            <w:r>
              <w:rPr>
                <w:rFonts w:hint="eastAsia"/>
                <w:color w:val="auto"/>
                <w:sz w:val="24"/>
                <w:lang w:val="en-US" w:eastAsia="zh-CN"/>
              </w:rPr>
              <w:t>产生</w:t>
            </w:r>
            <w:r>
              <w:rPr>
                <w:rFonts w:hint="eastAsia" w:ascii="Times New Roman" w:hAnsi="Times New Roman" w:eastAsia="宋体"/>
                <w:color w:val="auto"/>
                <w:sz w:val="24"/>
              </w:rPr>
              <w:t>浓度=</w:t>
            </w:r>
            <w:r>
              <w:rPr>
                <w:rFonts w:hint="eastAsia"/>
                <w:color w:val="auto"/>
                <w:sz w:val="24"/>
                <w:lang w:val="en-US" w:eastAsia="zh-CN"/>
              </w:rPr>
              <w:t>1500</w:t>
            </w:r>
            <w:r>
              <w:rPr>
                <w:rFonts w:hint="eastAsia" w:ascii="Times New Roman" w:hAnsi="Times New Roman" w:eastAsia="宋体"/>
                <w:color w:val="auto"/>
                <w:sz w:val="24"/>
              </w:rPr>
              <w:t>kg/a÷</w:t>
            </w:r>
            <w:r>
              <w:rPr>
                <w:rFonts w:hint="eastAsia" w:cs="宋体"/>
                <w:color w:val="auto"/>
                <w:kern w:val="0"/>
                <w:sz w:val="24"/>
                <w:szCs w:val="24"/>
                <w:lang w:val="en-US" w:eastAsia="zh-CN" w:bidi="ar"/>
              </w:rPr>
              <w:t>23037000</w:t>
            </w:r>
            <w:r>
              <w:rPr>
                <w:rFonts w:hint="eastAsia" w:ascii="Times New Roman" w:hAnsi="Times New Roman" w:eastAsia="宋体"/>
                <w:color w:val="auto"/>
                <w:sz w:val="24"/>
              </w:rPr>
              <w:t>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/a=</w:t>
            </w:r>
            <w:r>
              <w:rPr>
                <w:rFonts w:hint="eastAsia"/>
                <w:color w:val="auto"/>
                <w:sz w:val="24"/>
                <w:lang w:val="en-US" w:eastAsia="zh-CN"/>
              </w:rPr>
              <w:t>65.11</w:t>
            </w:r>
            <w:r>
              <w:rPr>
                <w:rFonts w:hint="eastAsia" w:ascii="Times New Roman" w:hAnsi="Times New Roman" w:eastAsia="宋体"/>
                <w:color w:val="auto"/>
                <w:sz w:val="24"/>
              </w:rPr>
              <w:t>mg/m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w:t>
            </w:r>
          </w:p>
          <w:p w14:paraId="188E64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eastAsia" w:ascii="Times New Roman" w:hAnsi="Times New Roman" w:eastAsia="宋体"/>
                <w:color w:val="auto"/>
                <w:sz w:val="24"/>
              </w:rPr>
              <w:t>颗粒物排放量=</w:t>
            </w:r>
            <w:r>
              <w:rPr>
                <w:rFonts w:hint="eastAsia"/>
                <w:color w:val="auto"/>
                <w:sz w:val="24"/>
                <w:lang w:val="en-US" w:eastAsia="zh-CN"/>
              </w:rPr>
              <w:t>0.005</w:t>
            </w:r>
            <w:r>
              <w:rPr>
                <w:rFonts w:hint="eastAsia" w:ascii="Times New Roman" w:hAnsi="Times New Roman" w:eastAsia="宋体"/>
                <w:color w:val="auto"/>
                <w:sz w:val="24"/>
              </w:rPr>
              <w:t>kg/</w:t>
            </w:r>
            <w:r>
              <w:rPr>
                <w:rFonts w:hint="eastAsia"/>
                <w:color w:val="auto"/>
                <w:sz w:val="24"/>
                <w:lang w:val="en-US" w:eastAsia="zh-CN"/>
              </w:rPr>
              <w:t>t</w:t>
            </w:r>
            <w:r>
              <w:rPr>
                <w:rFonts w:hint="eastAsia" w:ascii="Times New Roman" w:hAnsi="Times New Roman" w:eastAsia="宋体"/>
                <w:color w:val="auto"/>
                <w:sz w:val="24"/>
              </w:rPr>
              <w:t>×</w:t>
            </w:r>
            <w:r>
              <w:rPr>
                <w:rFonts w:hint="eastAsia"/>
                <w:color w:val="auto"/>
                <w:sz w:val="24"/>
                <w:lang w:val="en-US" w:eastAsia="zh-CN"/>
              </w:rPr>
              <w:t>3000t/a</w:t>
            </w:r>
            <w:r>
              <w:rPr>
                <w:rFonts w:hint="eastAsia" w:ascii="Times New Roman" w:hAnsi="Times New Roman" w:eastAsia="宋体"/>
                <w:color w:val="auto"/>
                <w:sz w:val="24"/>
              </w:rPr>
              <w:t>=</w:t>
            </w:r>
            <w:r>
              <w:rPr>
                <w:rFonts w:hint="eastAsia"/>
                <w:color w:val="auto"/>
                <w:sz w:val="24"/>
                <w:lang w:val="en-US" w:eastAsia="zh-CN"/>
              </w:rPr>
              <w:t>15k</w:t>
            </w:r>
            <w:r>
              <w:rPr>
                <w:rFonts w:hint="eastAsia" w:ascii="Times New Roman" w:hAnsi="Times New Roman" w:eastAsia="宋体"/>
                <w:color w:val="auto"/>
                <w:sz w:val="24"/>
              </w:rPr>
              <w:t>g/a=</w:t>
            </w:r>
            <w:r>
              <w:rPr>
                <w:rFonts w:hint="eastAsia"/>
                <w:color w:val="auto"/>
                <w:sz w:val="24"/>
                <w:lang w:val="en-US" w:eastAsia="zh-CN"/>
              </w:rPr>
              <w:t>0.015</w:t>
            </w:r>
            <w:r>
              <w:rPr>
                <w:rFonts w:hint="eastAsia" w:ascii="Times New Roman" w:hAnsi="Times New Roman" w:eastAsia="宋体"/>
                <w:color w:val="auto"/>
                <w:sz w:val="24"/>
              </w:rPr>
              <w:t>t/a。</w:t>
            </w:r>
          </w:p>
          <w:p w14:paraId="6AD45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lang w:val="en-US" w:eastAsia="zh-CN"/>
              </w:rPr>
            </w:pPr>
            <w:r>
              <w:rPr>
                <w:rFonts w:hint="eastAsia" w:ascii="Times New Roman" w:hAnsi="Times New Roman" w:eastAsia="宋体"/>
                <w:color w:val="auto"/>
                <w:sz w:val="24"/>
              </w:rPr>
              <w:t>颗粒物排放</w:t>
            </w:r>
            <w:r>
              <w:rPr>
                <w:rFonts w:hint="eastAsia"/>
                <w:color w:val="auto"/>
                <w:sz w:val="24"/>
                <w:lang w:val="en-US" w:eastAsia="zh-CN"/>
              </w:rPr>
              <w:t>速率=15k</w:t>
            </w:r>
            <w:r>
              <w:rPr>
                <w:rFonts w:hint="eastAsia" w:ascii="Times New Roman" w:hAnsi="Times New Roman" w:eastAsia="宋体"/>
                <w:color w:val="auto"/>
                <w:sz w:val="24"/>
              </w:rPr>
              <w:t>g/a</w:t>
            </w:r>
            <w:r>
              <w:rPr>
                <w:rFonts w:hint="eastAsia"/>
                <w:color w:val="auto"/>
                <w:sz w:val="24"/>
                <w:lang w:val="en-US" w:eastAsia="zh-CN"/>
              </w:rPr>
              <w:t>÷100÷12=0.0125kg/h。</w:t>
            </w:r>
          </w:p>
          <w:p w14:paraId="646D06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rPr>
            </w:pPr>
            <w:r>
              <w:rPr>
                <w:rFonts w:hint="eastAsia" w:ascii="Times New Roman" w:hAnsi="Times New Roman" w:eastAsia="宋体"/>
                <w:color w:val="auto"/>
                <w:sz w:val="24"/>
              </w:rPr>
              <w:t>颗粒物排放浓度=</w:t>
            </w:r>
            <w:r>
              <w:rPr>
                <w:rFonts w:hint="eastAsia"/>
                <w:color w:val="auto"/>
                <w:sz w:val="24"/>
                <w:lang w:val="en-US" w:eastAsia="zh-CN"/>
              </w:rPr>
              <w:t>15</w:t>
            </w:r>
            <w:r>
              <w:rPr>
                <w:rFonts w:hint="eastAsia" w:ascii="Times New Roman" w:hAnsi="Times New Roman" w:eastAsia="宋体"/>
                <w:color w:val="auto"/>
                <w:sz w:val="24"/>
              </w:rPr>
              <w:t>kg/a÷</w:t>
            </w:r>
            <w:r>
              <w:rPr>
                <w:rFonts w:hint="eastAsia" w:cs="宋体"/>
                <w:color w:val="auto"/>
                <w:kern w:val="0"/>
                <w:sz w:val="24"/>
                <w:szCs w:val="24"/>
                <w:lang w:val="en-US" w:eastAsia="zh-CN" w:bidi="ar"/>
              </w:rPr>
              <w:t>23037000</w:t>
            </w:r>
            <w:r>
              <w:rPr>
                <w:rFonts w:hint="eastAsia" w:ascii="Times New Roman" w:hAnsi="Times New Roman" w:eastAsia="宋体"/>
                <w:color w:val="auto"/>
                <w:sz w:val="24"/>
              </w:rPr>
              <w:t>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/a=</w:t>
            </w:r>
            <w:r>
              <w:rPr>
                <w:rFonts w:hint="eastAsia"/>
                <w:color w:val="auto"/>
                <w:sz w:val="24"/>
                <w:lang w:val="en-US" w:eastAsia="zh-CN"/>
              </w:rPr>
              <w:t>0.65</w:t>
            </w:r>
            <w:r>
              <w:rPr>
                <w:rFonts w:hint="eastAsia" w:ascii="Times New Roman" w:hAnsi="Times New Roman" w:eastAsia="宋体"/>
                <w:color w:val="auto"/>
                <w:sz w:val="24"/>
              </w:rPr>
              <w:t>mg/m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w:t>
            </w:r>
          </w:p>
          <w:p w14:paraId="64C3C4CA">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olor w:val="auto"/>
                <w:sz w:val="24"/>
                <w:lang w:val="en-US" w:eastAsia="zh-CN"/>
              </w:rPr>
            </w:pPr>
            <w:r>
              <w:rPr>
                <w:rFonts w:hint="eastAsia"/>
                <w:color w:val="auto"/>
                <w:sz w:val="24"/>
                <w:lang w:val="en-US" w:eastAsia="zh-CN"/>
              </w:rPr>
              <w:t>2）</w:t>
            </w:r>
            <w:r>
              <w:rPr>
                <w:rFonts w:hint="eastAsia" w:ascii="Times New Roman" w:hAnsi="Times New Roman"/>
                <w:color w:val="auto"/>
                <w:sz w:val="24"/>
                <w:lang w:val="en-US" w:eastAsia="zh-CN"/>
              </w:rPr>
              <w:t>二氧化硫</w:t>
            </w:r>
          </w:p>
          <w:p w14:paraId="291F8295">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eastAsia" w:ascii="Times New Roman" w:hAnsi="Times New Roman"/>
                <w:color w:val="auto"/>
                <w:sz w:val="24"/>
                <w:lang w:val="en-US" w:eastAsia="zh-CN"/>
              </w:rPr>
            </w:pPr>
            <w:r>
              <w:rPr>
                <w:rFonts w:hint="eastAsia" w:ascii="Times New Roman" w:hAnsi="Times New Roman"/>
                <w:color w:val="auto"/>
                <w:sz w:val="24"/>
                <w:lang w:val="en-US" w:eastAsia="zh-CN"/>
              </w:rPr>
              <w:t>SO</w:t>
            </w:r>
            <w:r>
              <w:rPr>
                <w:rFonts w:hint="eastAsia" w:ascii="Times New Roman" w:hAnsi="Times New Roman"/>
                <w:color w:val="auto"/>
                <w:sz w:val="24"/>
                <w:vertAlign w:val="subscript"/>
                <w:lang w:val="en-US" w:eastAsia="zh-CN"/>
              </w:rPr>
              <w:t>2</w:t>
            </w:r>
            <w:r>
              <w:rPr>
                <w:rFonts w:hint="eastAsia" w:ascii="Times New Roman" w:hAnsi="Times New Roman"/>
                <w:color w:val="auto"/>
                <w:sz w:val="24"/>
                <w:lang w:val="en-US" w:eastAsia="zh-CN"/>
              </w:rPr>
              <w:t>排放量计算公式如下（物料衡算法）：</w:t>
            </w:r>
          </w:p>
          <w:p w14:paraId="7C112F02">
            <w:pPr>
              <w:keepNext w:val="0"/>
              <w:keepLines w:val="0"/>
              <w:suppressLineNumbers w:val="0"/>
              <w:spacing w:before="0" w:beforeAutospacing="0" w:after="0" w:afterAutospacing="0"/>
              <w:ind w:left="0" w:right="0"/>
              <w:jc w:val="center"/>
              <w:rPr>
                <w:rFonts w:hint="default"/>
                <w:color w:val="auto"/>
                <w:lang w:val="en-US" w:eastAsia="zh-CN"/>
              </w:rPr>
            </w:pPr>
            <w:r>
              <w:rPr>
                <w:rFonts w:hint="default"/>
                <w:color w:val="auto"/>
                <w:position w:val="-24"/>
                <w:lang w:val="en-US" w:eastAsia="zh-CN"/>
              </w:rPr>
              <w:object>
                <v:shape id="_x0000_i1031" o:spt="75" type="#_x0000_t75" style="height:31pt;width:203pt;" o:ole="t" filled="f" o:preferrelative="t" stroked="f" coordsize="21600,21600">
                  <v:path/>
                  <v:fill on="f" focussize="0,0"/>
                  <v:stroke on="f"/>
                  <v:imagedata r:id="rId42" o:title=""/>
                  <o:lock v:ext="edit" aspectratio="t"/>
                  <w10:wrap type="none"/>
                  <w10:anchorlock/>
                </v:shape>
                <o:OLEObject Type="Embed" ProgID="Equation.KSEE3" ShapeID="_x0000_i1031" DrawAspect="Content" ObjectID="_1468075731" r:id="rId41">
                  <o:LockedField>false</o:LockedField>
                </o:OLEObject>
              </w:object>
            </w:r>
          </w:p>
          <w:p w14:paraId="5C53B837">
            <w:pPr>
              <w:keepNext w:val="0"/>
              <w:keepLines w:val="0"/>
              <w:pageBreakBefore w:val="0"/>
              <w:widowControl/>
              <w:suppressLineNumbers w:val="0"/>
              <w:kinsoku/>
              <w:wordWrap/>
              <w:overflowPunct/>
              <w:topLinePunct w:val="0"/>
              <w:bidi w:val="0"/>
              <w:snapToGrid/>
              <w:spacing w:before="0" w:beforeAutospacing="0" w:after="0" w:afterAutospacing="0" w:line="360" w:lineRule="auto"/>
              <w:ind w:left="0" w:right="0" w:firstLine="480" w:firstLineChars="200"/>
              <w:textAlignment w:val="auto"/>
              <w:rPr>
                <w:rFonts w:hint="eastAsia" w:ascii="Times New Roman" w:hAnsi="Times New Roman"/>
                <w:color w:val="auto"/>
                <w:sz w:val="24"/>
                <w:lang w:val="en-US" w:eastAsia="zh-CN"/>
              </w:rPr>
            </w:pPr>
            <w:r>
              <w:rPr>
                <w:rFonts w:hint="eastAsia" w:ascii="Times New Roman" w:hAnsi="Times New Roman"/>
                <w:color w:val="auto"/>
                <w:sz w:val="24"/>
                <w:lang w:val="en-US" w:eastAsia="zh-CN"/>
              </w:rPr>
              <w:t>E</w:t>
            </w:r>
            <w:r>
              <w:rPr>
                <w:rFonts w:hint="eastAsia" w:ascii="Times New Roman" w:hAnsi="Times New Roman"/>
                <w:color w:val="auto"/>
                <w:sz w:val="24"/>
                <w:vertAlign w:val="subscript"/>
                <w:lang w:val="en-US" w:eastAsia="zh-CN"/>
              </w:rPr>
              <w:t>SO2</w:t>
            </w:r>
            <w:r>
              <w:rPr>
                <w:rFonts w:hint="eastAsia" w:ascii="Times New Roman" w:hAnsi="Times New Roman"/>
                <w:color w:val="auto"/>
                <w:sz w:val="24"/>
                <w:lang w:val="en-US" w:eastAsia="zh-CN"/>
              </w:rPr>
              <w:t>——核算时段内二氧化硫排放量，t；</w:t>
            </w:r>
          </w:p>
          <w:p w14:paraId="0ADBD9E7">
            <w:pPr>
              <w:pStyle w:val="2"/>
              <w:keepNext w:val="0"/>
              <w:keepLines w:val="0"/>
              <w:pageBreakBefore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rFonts w:hint="eastAsia" w:ascii="Times New Roman" w:hAnsi="Times New Roman"/>
                <w:color w:val="auto"/>
                <w:sz w:val="24"/>
                <w:lang w:val="en-US" w:eastAsia="zh-CN"/>
              </w:rPr>
            </w:pPr>
            <w:r>
              <w:rPr>
                <w:rFonts w:hint="eastAsia" w:ascii="Times New Roman" w:hAnsi="Times New Roman"/>
                <w:color w:val="auto"/>
                <w:sz w:val="24"/>
                <w:lang w:val="en-US" w:eastAsia="zh-CN"/>
              </w:rPr>
              <w:t>R——核算时段内锅炉燃料耗量，t，本项目为3000t；</w:t>
            </w:r>
          </w:p>
          <w:p w14:paraId="2B4FB75C">
            <w:pPr>
              <w:keepNext w:val="0"/>
              <w:keepLines w:val="0"/>
              <w:pageBreakBefore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rFonts w:hint="eastAsia" w:ascii="Times New Roman" w:hAnsi="Times New Roman"/>
                <w:color w:val="auto"/>
                <w:sz w:val="24"/>
                <w:lang w:val="en-US" w:eastAsia="zh-CN"/>
              </w:rPr>
            </w:pPr>
            <w:r>
              <w:rPr>
                <w:rFonts w:hint="eastAsia" w:ascii="Times New Roman" w:hAnsi="Times New Roman"/>
                <w:color w:val="auto"/>
                <w:sz w:val="24"/>
                <w:lang w:val="en-US" w:eastAsia="zh-CN"/>
              </w:rPr>
              <w:t>S</w:t>
            </w:r>
            <w:r>
              <w:rPr>
                <w:rFonts w:hint="eastAsia" w:ascii="Times New Roman" w:hAnsi="Times New Roman"/>
                <w:color w:val="auto"/>
                <w:sz w:val="24"/>
                <w:vertAlign w:val="subscript"/>
                <w:lang w:val="en-US" w:eastAsia="zh-CN"/>
              </w:rPr>
              <w:t>ar</w:t>
            </w:r>
            <w:r>
              <w:rPr>
                <w:rFonts w:hint="eastAsia" w:ascii="Times New Roman" w:hAnsi="Times New Roman"/>
                <w:color w:val="auto"/>
                <w:sz w:val="24"/>
                <w:lang w:val="en-US" w:eastAsia="zh-CN"/>
              </w:rPr>
              <w:t>——收到基硫的质量分数，%，本项目为</w:t>
            </w:r>
            <w:r>
              <w:rPr>
                <w:rFonts w:hint="eastAsia"/>
                <w:color w:val="auto"/>
                <w:sz w:val="24"/>
                <w:lang w:val="en-US" w:eastAsia="zh-CN"/>
              </w:rPr>
              <w:t>0.032</w:t>
            </w:r>
            <w:r>
              <w:rPr>
                <w:rFonts w:hint="eastAsia" w:ascii="Times New Roman" w:hAnsi="Times New Roman"/>
                <w:color w:val="auto"/>
                <w:sz w:val="24"/>
                <w:lang w:val="en-US" w:eastAsia="zh-CN"/>
              </w:rPr>
              <w:t>；</w:t>
            </w:r>
          </w:p>
          <w:p w14:paraId="06CECB41">
            <w:pPr>
              <w:pStyle w:val="2"/>
              <w:keepNext w:val="0"/>
              <w:keepLines w:val="0"/>
              <w:pageBreakBefore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rFonts w:hint="eastAsia" w:ascii="Times New Roman" w:hAnsi="Times New Roman"/>
                <w:color w:val="auto"/>
                <w:sz w:val="24"/>
                <w:lang w:val="en-US" w:eastAsia="zh-CN"/>
              </w:rPr>
            </w:pPr>
            <w:r>
              <w:rPr>
                <w:rFonts w:hint="eastAsia" w:ascii="Times New Roman" w:hAnsi="Times New Roman"/>
                <w:color w:val="auto"/>
                <w:sz w:val="24"/>
                <w:lang w:val="en-US" w:eastAsia="zh-CN"/>
              </w:rPr>
              <w:t>q</w:t>
            </w:r>
            <w:r>
              <w:rPr>
                <w:rFonts w:hint="eastAsia" w:ascii="Times New Roman" w:hAnsi="Times New Roman"/>
                <w:color w:val="auto"/>
                <w:sz w:val="24"/>
                <w:vertAlign w:val="subscript"/>
                <w:lang w:val="en-US" w:eastAsia="zh-CN"/>
              </w:rPr>
              <w:t>4</w:t>
            </w:r>
            <w:r>
              <w:rPr>
                <w:rFonts w:hint="eastAsia" w:ascii="Times New Roman" w:hAnsi="Times New Roman"/>
                <w:color w:val="auto"/>
                <w:sz w:val="24"/>
                <w:lang w:val="en-US" w:eastAsia="zh-CN"/>
              </w:rPr>
              <w:t>——锅炉机械不完全燃烧热损失，%，本项目取10；</w:t>
            </w:r>
          </w:p>
          <w:p w14:paraId="2F5A634E">
            <w:pPr>
              <w:keepNext w:val="0"/>
              <w:keepLines w:val="0"/>
              <w:pageBreakBefore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rFonts w:hint="default" w:ascii="Times New Roman" w:hAnsi="Times New Roman" w:eastAsia="宋体" w:cs="宋体"/>
                <w:color w:val="auto"/>
                <w:sz w:val="24"/>
                <w:lang w:val="en-US" w:eastAsia="zh-CN"/>
              </w:rPr>
            </w:pPr>
            <w:r>
              <w:rPr>
                <w:rFonts w:hint="default" w:ascii="Times New Roman" w:hAnsi="Times New Roman" w:eastAsia="宋体" w:cs="Times New Roman"/>
                <w:color w:val="auto"/>
                <w:sz w:val="24"/>
                <w:szCs w:val="32"/>
                <w:lang w:val="en-US" w:eastAsia="zh-CN"/>
              </w:rPr>
              <w:t>η</w:t>
            </w:r>
            <w:r>
              <w:rPr>
                <w:rFonts w:hint="default" w:ascii="Times New Roman" w:hAnsi="Times New Roman" w:cs="Times New Roman"/>
                <w:color w:val="auto"/>
                <w:sz w:val="24"/>
                <w:szCs w:val="32"/>
                <w:vertAlign w:val="subscript"/>
                <w:lang w:val="en-US" w:eastAsia="zh-CN"/>
              </w:rPr>
              <w:t>s</w:t>
            </w:r>
            <w:r>
              <w:rPr>
                <w:rFonts w:hint="eastAsia" w:ascii="Times New Roman" w:hAnsi="Times New Roman" w:cs="Times New Roman"/>
                <w:color w:val="auto"/>
                <w:sz w:val="24"/>
                <w:szCs w:val="32"/>
                <w:lang w:val="en-US" w:eastAsia="zh-CN"/>
              </w:rPr>
              <w:t>——脱硫效率，%，本项目</w:t>
            </w:r>
            <w:r>
              <w:rPr>
                <w:rFonts w:hint="eastAsia" w:cs="Times New Roman"/>
                <w:color w:val="auto"/>
                <w:sz w:val="24"/>
                <w:szCs w:val="32"/>
                <w:lang w:val="en-US" w:eastAsia="zh-CN"/>
              </w:rPr>
              <w:t>计算时</w:t>
            </w:r>
            <w:r>
              <w:rPr>
                <w:rFonts w:hint="eastAsia" w:ascii="Times New Roman" w:hAnsi="Times New Roman" w:cs="Times New Roman"/>
                <w:color w:val="auto"/>
                <w:sz w:val="24"/>
                <w:szCs w:val="32"/>
                <w:lang w:val="en-US" w:eastAsia="zh-CN"/>
              </w:rPr>
              <w:t>取0；</w:t>
            </w:r>
          </w:p>
          <w:p w14:paraId="118419F6">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eastAsia="宋体"/>
                <w:color w:val="auto"/>
                <w:sz w:val="24"/>
                <w:lang w:eastAsia="zh-CN"/>
              </w:rPr>
            </w:pPr>
            <w:r>
              <w:rPr>
                <w:rFonts w:hint="eastAsia" w:ascii="Times New Roman" w:hAnsi="Times New Roman" w:eastAsia="宋体"/>
                <w:color w:val="auto"/>
                <w:sz w:val="24"/>
              </w:rPr>
              <w:t>K——燃料中的硫燃烧后氧化成二氧化硫的份额，量纲一的量，燃</w:t>
            </w:r>
            <w:r>
              <w:rPr>
                <w:rFonts w:hint="eastAsia"/>
                <w:color w:val="auto"/>
                <w:sz w:val="24"/>
                <w:lang w:eastAsia="zh-CN"/>
              </w:rPr>
              <w:t>生物质热风炉</w:t>
            </w:r>
            <w:r>
              <w:rPr>
                <w:rFonts w:hint="eastAsia" w:ascii="Times New Roman" w:hAnsi="Times New Roman" w:eastAsia="宋体"/>
                <w:color w:val="auto"/>
                <w:sz w:val="24"/>
              </w:rPr>
              <w:t>K值为0.3~0.5，本项目取中间值0.4</w:t>
            </w:r>
            <w:r>
              <w:rPr>
                <w:rFonts w:hint="eastAsia" w:ascii="Times New Roman" w:hAnsi="Times New Roman"/>
                <w:color w:val="auto"/>
                <w:sz w:val="24"/>
                <w:lang w:eastAsia="zh-CN"/>
              </w:rPr>
              <w:t>。</w:t>
            </w:r>
          </w:p>
          <w:p w14:paraId="605DC810">
            <w:pPr>
              <w:keepNext w:val="0"/>
              <w:keepLines w:val="0"/>
              <w:widowControl/>
              <w:suppressLineNumbers w:val="0"/>
              <w:spacing w:before="0" w:beforeAutospacing="0" w:after="0" w:afterAutospacing="0" w:line="360" w:lineRule="auto"/>
              <w:ind w:left="0" w:right="0" w:firstLine="480" w:firstLineChars="200"/>
              <w:rPr>
                <w:rFonts w:hint="eastAsia" w:cs="宋体"/>
                <w:color w:val="auto"/>
                <w:kern w:val="0"/>
                <w:sz w:val="24"/>
                <w:szCs w:val="24"/>
                <w:lang w:val="en-US" w:eastAsia="zh-CN" w:bidi="ar"/>
              </w:rPr>
            </w:pPr>
            <w:r>
              <w:rPr>
                <w:rFonts w:hint="eastAsia"/>
                <w:color w:val="auto"/>
                <w:sz w:val="24"/>
                <w:lang w:val="en-US" w:eastAsia="zh-CN"/>
              </w:rPr>
              <w:t>经计算，本项目燃生物质热风炉SO</w:t>
            </w:r>
            <w:r>
              <w:rPr>
                <w:rFonts w:hint="eastAsia"/>
                <w:color w:val="auto"/>
                <w:sz w:val="24"/>
                <w:vertAlign w:val="subscript"/>
                <w:lang w:val="en-US" w:eastAsia="zh-CN"/>
              </w:rPr>
              <w:t>2</w:t>
            </w:r>
            <w:r>
              <w:rPr>
                <w:rFonts w:hint="eastAsia"/>
                <w:color w:val="auto"/>
                <w:sz w:val="24"/>
                <w:lang w:val="en-US" w:eastAsia="zh-CN"/>
              </w:rPr>
              <w:t>产生量为0.691t/a，</w:t>
            </w:r>
            <w:r>
              <w:rPr>
                <w:rFonts w:hint="eastAsia" w:cs="宋体"/>
                <w:color w:val="auto"/>
                <w:kern w:val="0"/>
                <w:sz w:val="24"/>
                <w:szCs w:val="24"/>
                <w:lang w:val="en-US" w:eastAsia="zh-CN" w:bidi="ar"/>
              </w:rPr>
              <w:t>SO</w:t>
            </w:r>
            <w:r>
              <w:rPr>
                <w:rFonts w:hint="eastAsia" w:cs="宋体"/>
                <w:color w:val="auto"/>
                <w:kern w:val="0"/>
                <w:sz w:val="24"/>
                <w:szCs w:val="24"/>
                <w:vertAlign w:val="subscript"/>
                <w:lang w:val="en-US" w:eastAsia="zh-CN" w:bidi="ar"/>
              </w:rPr>
              <w:t>2</w:t>
            </w:r>
            <w:r>
              <w:rPr>
                <w:rFonts w:hint="eastAsia" w:cs="宋体"/>
                <w:color w:val="auto"/>
                <w:kern w:val="0"/>
                <w:sz w:val="24"/>
                <w:szCs w:val="24"/>
                <w:lang w:val="en-US" w:eastAsia="zh-CN" w:bidi="ar"/>
              </w:rPr>
              <w:t>的产生速率为0.5758kg/h，</w:t>
            </w:r>
            <w:r>
              <w:rPr>
                <w:rFonts w:hint="eastAsia"/>
                <w:color w:val="auto"/>
                <w:sz w:val="24"/>
                <w:lang w:val="en-US" w:eastAsia="zh-CN"/>
              </w:rPr>
              <w:t>基准烟气量为</w:t>
            </w:r>
            <w:r>
              <w:rPr>
                <w:rFonts w:hint="eastAsia" w:cs="宋体"/>
                <w:color w:val="auto"/>
                <w:kern w:val="0"/>
                <w:sz w:val="24"/>
                <w:szCs w:val="24"/>
                <w:lang w:val="en-US" w:eastAsia="zh-CN" w:bidi="ar"/>
              </w:rPr>
              <w:t>23037000</w:t>
            </w:r>
            <w:r>
              <w:rPr>
                <w:rFonts w:hint="eastAsia" w:ascii="Times New Roman" w:hAnsi="Times New Roman" w:eastAsia="宋体" w:cs="宋体"/>
                <w:color w:val="auto"/>
                <w:kern w:val="0"/>
                <w:sz w:val="24"/>
                <w:szCs w:val="24"/>
                <w:lang w:val="en-US" w:eastAsia="zh-CN" w:bidi="ar"/>
              </w:rPr>
              <w:t>m</w:t>
            </w:r>
            <w:r>
              <w:rPr>
                <w:rFonts w:hint="eastAsia" w:ascii="Times New Roman" w:hAnsi="Times New Roman" w:eastAsia="宋体" w:cs="宋体"/>
                <w:color w:val="auto"/>
                <w:kern w:val="0"/>
                <w:sz w:val="24"/>
                <w:szCs w:val="24"/>
                <w:vertAlign w:val="superscript"/>
                <w:lang w:val="en-US" w:eastAsia="zh-CN" w:bidi="ar"/>
              </w:rPr>
              <w:t>3</w:t>
            </w:r>
            <w:r>
              <w:rPr>
                <w:rFonts w:hint="eastAsia" w:ascii="Times New Roman" w:hAnsi="Times New Roman" w:eastAsia="宋体" w:cs="宋体"/>
                <w:color w:val="auto"/>
                <w:kern w:val="0"/>
                <w:sz w:val="24"/>
                <w:szCs w:val="24"/>
                <w:lang w:val="en-US" w:eastAsia="zh-CN" w:bidi="ar"/>
              </w:rPr>
              <w:t>/a</w:t>
            </w:r>
            <w:r>
              <w:rPr>
                <w:rFonts w:hint="eastAsia" w:cs="宋体"/>
                <w:color w:val="auto"/>
                <w:kern w:val="0"/>
                <w:sz w:val="24"/>
                <w:szCs w:val="24"/>
                <w:lang w:val="en-US" w:eastAsia="zh-CN" w:bidi="ar"/>
              </w:rPr>
              <w:t>，则产生浓度约为30.00mg/m</w:t>
            </w:r>
            <w:r>
              <w:rPr>
                <w:rFonts w:hint="eastAsia" w:cs="宋体"/>
                <w:color w:val="auto"/>
                <w:kern w:val="0"/>
                <w:sz w:val="24"/>
                <w:szCs w:val="24"/>
                <w:vertAlign w:val="superscript"/>
                <w:lang w:val="en-US" w:eastAsia="zh-CN" w:bidi="ar"/>
              </w:rPr>
              <w:t>3</w:t>
            </w:r>
            <w:r>
              <w:rPr>
                <w:rFonts w:hint="eastAsia" w:cs="宋体"/>
                <w:color w:val="auto"/>
                <w:kern w:val="0"/>
                <w:sz w:val="24"/>
                <w:szCs w:val="24"/>
                <w:lang w:val="en-US" w:eastAsia="zh-CN" w:bidi="ar"/>
              </w:rPr>
              <w:t>。</w:t>
            </w:r>
            <w:r>
              <w:rPr>
                <w:rFonts w:hint="eastAsia"/>
                <w:color w:val="auto"/>
                <w:sz w:val="24"/>
                <w:lang w:val="en-US" w:eastAsia="zh-CN"/>
              </w:rPr>
              <w:t>本项目未采取针对SO</w:t>
            </w:r>
            <w:r>
              <w:rPr>
                <w:rFonts w:hint="eastAsia"/>
                <w:color w:val="auto"/>
                <w:sz w:val="24"/>
                <w:vertAlign w:val="subscript"/>
                <w:lang w:val="en-US" w:eastAsia="zh-CN"/>
              </w:rPr>
              <w:t>2</w:t>
            </w:r>
            <w:r>
              <w:rPr>
                <w:rFonts w:hint="eastAsia"/>
                <w:color w:val="auto"/>
                <w:sz w:val="24"/>
                <w:lang w:val="en-US" w:eastAsia="zh-CN"/>
              </w:rPr>
              <w:t>的末端治理技术，故产生量即为排放量。</w:t>
            </w:r>
          </w:p>
          <w:p w14:paraId="0F862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lang w:eastAsia="zh-CN"/>
              </w:rPr>
            </w:pPr>
            <w:r>
              <w:rPr>
                <w:rFonts w:hint="eastAsia"/>
                <w:color w:val="auto"/>
                <w:sz w:val="24"/>
                <w:lang w:val="en-US" w:eastAsia="zh-CN"/>
              </w:rPr>
              <w:t>3）</w:t>
            </w:r>
            <w:r>
              <w:rPr>
                <w:rFonts w:hint="eastAsia" w:ascii="Times New Roman" w:hAnsi="Times New Roman" w:eastAsia="宋体"/>
                <w:color w:val="auto"/>
                <w:sz w:val="24"/>
              </w:rPr>
              <w:t>氮氧化物</w:t>
            </w:r>
            <w:r>
              <w:rPr>
                <w:rFonts w:hint="eastAsia"/>
                <w:color w:val="auto"/>
                <w:sz w:val="24"/>
                <w:lang w:eastAsia="zh-CN"/>
              </w:rPr>
              <w:t>（</w:t>
            </w:r>
            <w:r>
              <w:rPr>
                <w:rFonts w:hint="eastAsia"/>
                <w:color w:val="auto"/>
                <w:sz w:val="24"/>
                <w:lang w:val="en-US" w:eastAsia="zh-CN"/>
              </w:rPr>
              <w:t>产污系数法</w:t>
            </w:r>
            <w:r>
              <w:rPr>
                <w:rFonts w:hint="eastAsia"/>
                <w:color w:val="auto"/>
                <w:sz w:val="24"/>
                <w:lang w:eastAsia="zh-CN"/>
              </w:rPr>
              <w:t>）</w:t>
            </w:r>
          </w:p>
          <w:p w14:paraId="7815E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szCs w:val="24"/>
              </w:rPr>
            </w:pPr>
            <w:r>
              <w:rPr>
                <w:rFonts w:hint="eastAsia" w:ascii="Times New Roman" w:hAnsi="Times New Roman" w:eastAsia="宋体"/>
                <w:color w:val="auto"/>
                <w:sz w:val="24"/>
              </w:rPr>
              <w:t>排污系数选取</w:t>
            </w:r>
            <w:r>
              <w:rPr>
                <w:rFonts w:hint="default" w:ascii="Times New Roman" w:hAnsi="Times New Roman" w:eastAsia="宋体" w:cs="Times New Roman"/>
                <w:color w:val="auto"/>
                <w:sz w:val="24"/>
                <w:szCs w:val="24"/>
              </w:rPr>
              <w:t>《排污许可证申请与核发技术规范 锅炉》（HJ 953-2018）表F.4燃生物质工业锅炉的废气产排污系数</w:t>
            </w:r>
            <w:r>
              <w:rPr>
                <w:rFonts w:hint="eastAsia" w:cs="Times New Roman"/>
                <w:color w:val="auto"/>
                <w:sz w:val="24"/>
                <w:szCs w:val="24"/>
                <w:lang w:eastAsia="zh-CN"/>
              </w:rPr>
              <w:t>“</w:t>
            </w:r>
            <w:r>
              <w:rPr>
                <w:rFonts w:hint="eastAsia" w:cs="Times New Roman"/>
                <w:color w:val="auto"/>
                <w:sz w:val="24"/>
                <w:szCs w:val="24"/>
                <w:lang w:val="en-US" w:eastAsia="zh-CN"/>
              </w:rPr>
              <w:t>生物质—层燃炉—所有规模—未经低氮燃烧—SNCR</w:t>
            </w:r>
            <w:r>
              <w:rPr>
                <w:rFonts w:hint="eastAsia" w:cs="Times New Roman"/>
                <w:color w:val="auto"/>
                <w:sz w:val="24"/>
                <w:szCs w:val="24"/>
                <w:lang w:eastAsia="zh-CN"/>
              </w:rPr>
              <w:t>”</w:t>
            </w:r>
            <w:r>
              <w:rPr>
                <w:rFonts w:hint="eastAsia" w:ascii="Times New Roman" w:hAnsi="Times New Roman" w:eastAsia="宋体"/>
                <w:color w:val="auto"/>
                <w:sz w:val="24"/>
                <w:szCs w:val="21"/>
              </w:rPr>
              <w:t>中</w:t>
            </w:r>
            <w:r>
              <w:rPr>
                <w:rFonts w:hint="eastAsia"/>
                <w:color w:val="auto"/>
                <w:sz w:val="24"/>
                <w:szCs w:val="21"/>
                <w:lang w:val="en-US" w:eastAsia="zh-CN"/>
              </w:rPr>
              <w:t>0.51</w:t>
            </w:r>
            <w:r>
              <w:rPr>
                <w:rFonts w:hint="eastAsia" w:ascii="Times New Roman" w:hAnsi="Times New Roman" w:eastAsia="宋体"/>
                <w:color w:val="auto"/>
                <w:sz w:val="24"/>
                <w:szCs w:val="21"/>
                <w:lang w:eastAsia="zh-CN"/>
              </w:rPr>
              <w:t>kg/t-</w:t>
            </w:r>
            <w:r>
              <w:rPr>
                <w:rFonts w:hint="eastAsia"/>
                <w:color w:val="auto"/>
                <w:sz w:val="24"/>
                <w:szCs w:val="21"/>
                <w:lang w:val="en-US" w:eastAsia="zh-CN"/>
              </w:rPr>
              <w:t>燃料</w:t>
            </w:r>
            <w:r>
              <w:rPr>
                <w:rFonts w:hint="eastAsia" w:ascii="Times New Roman" w:hAnsi="Times New Roman" w:eastAsia="宋体"/>
                <w:color w:val="auto"/>
                <w:sz w:val="24"/>
                <w:szCs w:val="24"/>
              </w:rPr>
              <w:t>计算NO</w:t>
            </w:r>
            <w:r>
              <w:rPr>
                <w:rFonts w:hint="eastAsia" w:ascii="Times New Roman" w:hAnsi="Times New Roman" w:eastAsia="宋体"/>
                <w:color w:val="auto"/>
                <w:sz w:val="24"/>
                <w:szCs w:val="24"/>
                <w:vertAlign w:val="subscript"/>
              </w:rPr>
              <w:t>x</w:t>
            </w:r>
            <w:r>
              <w:rPr>
                <w:rFonts w:hint="eastAsia" w:ascii="Times New Roman" w:hAnsi="Times New Roman" w:eastAsia="宋体"/>
                <w:color w:val="auto"/>
                <w:sz w:val="24"/>
                <w:szCs w:val="24"/>
              </w:rPr>
              <w:t>的</w:t>
            </w:r>
            <w:r>
              <w:rPr>
                <w:rFonts w:hint="eastAsia"/>
                <w:color w:val="auto"/>
                <w:sz w:val="24"/>
                <w:szCs w:val="24"/>
                <w:lang w:val="en-US" w:eastAsia="zh-CN"/>
              </w:rPr>
              <w:t>产生</w:t>
            </w:r>
            <w:r>
              <w:rPr>
                <w:rFonts w:hint="eastAsia" w:ascii="Times New Roman" w:hAnsi="Times New Roman" w:eastAsia="宋体"/>
                <w:color w:val="auto"/>
                <w:sz w:val="24"/>
                <w:szCs w:val="24"/>
              </w:rPr>
              <w:t>量</w:t>
            </w:r>
            <w:r>
              <w:rPr>
                <w:rFonts w:hint="eastAsia"/>
                <w:color w:val="auto"/>
                <w:sz w:val="24"/>
                <w:szCs w:val="24"/>
                <w:lang w:eastAsia="zh-CN"/>
              </w:rPr>
              <w:t>，</w:t>
            </w:r>
            <w:r>
              <w:rPr>
                <w:rFonts w:hint="eastAsia"/>
                <w:color w:val="auto"/>
                <w:sz w:val="24"/>
                <w:szCs w:val="24"/>
                <w:lang w:val="en-US" w:eastAsia="zh-CN"/>
              </w:rPr>
              <w:t>产生量即为</w:t>
            </w:r>
            <w:r>
              <w:rPr>
                <w:rFonts w:hint="eastAsia" w:ascii="Times New Roman" w:hAnsi="Times New Roman" w:eastAsia="宋体"/>
                <w:color w:val="auto"/>
                <w:sz w:val="24"/>
                <w:szCs w:val="24"/>
                <w:lang w:val="en-US" w:eastAsia="zh-CN"/>
              </w:rPr>
              <w:t>排放量</w:t>
            </w:r>
            <w:r>
              <w:rPr>
                <w:rFonts w:hint="eastAsia"/>
                <w:color w:val="auto"/>
                <w:sz w:val="24"/>
                <w:szCs w:val="21"/>
                <w:lang w:val="en-US" w:eastAsia="zh-CN"/>
              </w:rPr>
              <w:t>。</w:t>
            </w:r>
          </w:p>
          <w:p w14:paraId="338664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b/>
                <w:bCs/>
                <w:color w:val="auto"/>
                <w:sz w:val="24"/>
                <w:lang w:val="en-US" w:eastAsia="zh-CN"/>
              </w:rPr>
            </w:pPr>
            <w:r>
              <w:rPr>
                <w:rFonts w:hint="eastAsia"/>
                <w:b/>
                <w:bCs/>
                <w:color w:val="auto"/>
                <w:sz w:val="24"/>
                <w:lang w:val="en-US" w:eastAsia="zh-CN"/>
              </w:rPr>
              <w:t>锅炉</w:t>
            </w:r>
            <w:r>
              <w:rPr>
                <w:rFonts w:hint="eastAsia" w:ascii="Times New Roman" w:hAnsi="Times New Roman" w:eastAsia="宋体"/>
                <w:b/>
                <w:bCs/>
                <w:color w:val="auto"/>
                <w:sz w:val="24"/>
                <w:szCs w:val="24"/>
              </w:rPr>
              <w:t>NO</w:t>
            </w:r>
            <w:r>
              <w:rPr>
                <w:rFonts w:hint="eastAsia" w:ascii="Times New Roman" w:hAnsi="Times New Roman" w:eastAsia="宋体"/>
                <w:b/>
                <w:bCs/>
                <w:color w:val="auto"/>
                <w:sz w:val="24"/>
                <w:szCs w:val="24"/>
                <w:vertAlign w:val="subscript"/>
              </w:rPr>
              <w:t>x</w:t>
            </w:r>
            <w:r>
              <w:rPr>
                <w:rFonts w:hint="eastAsia"/>
                <w:b/>
                <w:bCs/>
                <w:color w:val="auto"/>
                <w:sz w:val="24"/>
                <w:lang w:val="en-US" w:eastAsia="zh-CN"/>
              </w:rPr>
              <w:t>产排污计算过程：</w:t>
            </w:r>
          </w:p>
          <w:p w14:paraId="32F73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rPr>
            </w:pPr>
            <w:r>
              <w:rPr>
                <w:rFonts w:hint="eastAsia" w:ascii="Times New Roman" w:hAnsi="Times New Roman" w:eastAsia="宋体"/>
                <w:color w:val="auto"/>
                <w:sz w:val="24"/>
                <w:szCs w:val="24"/>
              </w:rPr>
              <w:t>NO</w:t>
            </w:r>
            <w:r>
              <w:rPr>
                <w:rFonts w:hint="eastAsia" w:ascii="Times New Roman" w:hAnsi="Times New Roman" w:eastAsia="宋体"/>
                <w:color w:val="auto"/>
                <w:sz w:val="24"/>
                <w:szCs w:val="24"/>
                <w:vertAlign w:val="subscript"/>
              </w:rPr>
              <w:t>x</w:t>
            </w:r>
            <w:r>
              <w:rPr>
                <w:rFonts w:hint="eastAsia"/>
                <w:color w:val="auto"/>
                <w:sz w:val="24"/>
                <w:lang w:val="en-US" w:eastAsia="zh-CN"/>
              </w:rPr>
              <w:t>产生</w:t>
            </w:r>
            <w:r>
              <w:rPr>
                <w:rFonts w:hint="eastAsia" w:ascii="Times New Roman" w:hAnsi="Times New Roman" w:eastAsia="宋体"/>
                <w:color w:val="auto"/>
                <w:sz w:val="24"/>
              </w:rPr>
              <w:t>量=</w:t>
            </w:r>
            <w:r>
              <w:rPr>
                <w:rFonts w:hint="eastAsia"/>
                <w:color w:val="auto"/>
                <w:sz w:val="24"/>
                <w:lang w:val="en-US" w:eastAsia="zh-CN"/>
              </w:rPr>
              <w:t>0.51</w:t>
            </w:r>
            <w:r>
              <w:rPr>
                <w:rFonts w:hint="eastAsia" w:ascii="Times New Roman" w:hAnsi="Times New Roman" w:eastAsia="宋体"/>
                <w:color w:val="auto"/>
                <w:sz w:val="24"/>
              </w:rPr>
              <w:t>kg/</w:t>
            </w:r>
            <w:r>
              <w:rPr>
                <w:rFonts w:hint="eastAsia"/>
                <w:color w:val="auto"/>
                <w:sz w:val="24"/>
                <w:lang w:val="en-US" w:eastAsia="zh-CN"/>
              </w:rPr>
              <w:t>t</w:t>
            </w:r>
            <w:r>
              <w:rPr>
                <w:rFonts w:hint="eastAsia" w:ascii="Times New Roman" w:hAnsi="Times New Roman" w:eastAsia="宋体"/>
                <w:color w:val="auto"/>
                <w:sz w:val="24"/>
              </w:rPr>
              <w:t>×</w:t>
            </w:r>
            <w:r>
              <w:rPr>
                <w:rFonts w:hint="eastAsia"/>
                <w:color w:val="auto"/>
                <w:sz w:val="24"/>
                <w:lang w:val="en-US" w:eastAsia="zh-CN"/>
              </w:rPr>
              <w:t>3000t/a</w:t>
            </w:r>
            <w:r>
              <w:rPr>
                <w:rFonts w:hint="eastAsia" w:ascii="Times New Roman" w:hAnsi="Times New Roman" w:eastAsia="宋体"/>
                <w:color w:val="auto"/>
                <w:sz w:val="24"/>
              </w:rPr>
              <w:t>=</w:t>
            </w:r>
            <w:r>
              <w:rPr>
                <w:rFonts w:hint="eastAsia"/>
                <w:color w:val="auto"/>
                <w:sz w:val="24"/>
                <w:lang w:val="en-US" w:eastAsia="zh-CN"/>
              </w:rPr>
              <w:t>1530k</w:t>
            </w:r>
            <w:r>
              <w:rPr>
                <w:rFonts w:hint="eastAsia" w:ascii="Times New Roman" w:hAnsi="Times New Roman" w:eastAsia="宋体"/>
                <w:color w:val="auto"/>
                <w:sz w:val="24"/>
              </w:rPr>
              <w:t>g/a=</w:t>
            </w:r>
            <w:r>
              <w:rPr>
                <w:rFonts w:hint="eastAsia"/>
                <w:color w:val="auto"/>
                <w:sz w:val="24"/>
                <w:lang w:val="en-US" w:eastAsia="zh-CN"/>
              </w:rPr>
              <w:t>1.53</w:t>
            </w:r>
            <w:r>
              <w:rPr>
                <w:rFonts w:hint="eastAsia" w:ascii="Times New Roman" w:hAnsi="Times New Roman" w:eastAsia="宋体"/>
                <w:color w:val="auto"/>
                <w:sz w:val="24"/>
              </w:rPr>
              <w:t>t/a。</w:t>
            </w:r>
          </w:p>
          <w:p w14:paraId="6AC5F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lang w:val="en-US" w:eastAsia="zh-CN"/>
              </w:rPr>
            </w:pPr>
            <w:r>
              <w:rPr>
                <w:rFonts w:hint="eastAsia" w:ascii="Times New Roman" w:hAnsi="Times New Roman" w:eastAsia="宋体"/>
                <w:color w:val="auto"/>
                <w:sz w:val="24"/>
                <w:szCs w:val="24"/>
              </w:rPr>
              <w:t>NO</w:t>
            </w:r>
            <w:r>
              <w:rPr>
                <w:rFonts w:hint="eastAsia" w:ascii="Times New Roman" w:hAnsi="Times New Roman" w:eastAsia="宋体"/>
                <w:color w:val="auto"/>
                <w:sz w:val="24"/>
                <w:szCs w:val="24"/>
                <w:vertAlign w:val="subscript"/>
              </w:rPr>
              <w:t>x</w:t>
            </w:r>
            <w:r>
              <w:rPr>
                <w:rFonts w:hint="eastAsia"/>
                <w:color w:val="auto"/>
                <w:sz w:val="24"/>
                <w:szCs w:val="24"/>
                <w:vertAlign w:val="baseline"/>
                <w:lang w:val="en-US" w:eastAsia="zh-CN"/>
              </w:rPr>
              <w:t>产生</w:t>
            </w:r>
            <w:r>
              <w:rPr>
                <w:rFonts w:hint="eastAsia"/>
                <w:color w:val="auto"/>
                <w:sz w:val="24"/>
                <w:lang w:val="en-US" w:eastAsia="zh-CN"/>
              </w:rPr>
              <w:t>速率=1530k</w:t>
            </w:r>
            <w:r>
              <w:rPr>
                <w:rFonts w:hint="eastAsia" w:ascii="Times New Roman" w:hAnsi="Times New Roman" w:eastAsia="宋体"/>
                <w:color w:val="auto"/>
                <w:sz w:val="24"/>
              </w:rPr>
              <w:t>g/a</w:t>
            </w:r>
            <w:r>
              <w:rPr>
                <w:rFonts w:hint="eastAsia"/>
                <w:color w:val="auto"/>
                <w:sz w:val="24"/>
                <w:lang w:val="en-US" w:eastAsia="zh-CN"/>
              </w:rPr>
              <w:t>÷100÷12=1.275kg/h。</w:t>
            </w:r>
          </w:p>
          <w:p w14:paraId="1BF42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eastAsia" w:ascii="Times New Roman" w:hAnsi="Times New Roman" w:eastAsia="宋体"/>
                <w:color w:val="auto"/>
                <w:sz w:val="24"/>
                <w:szCs w:val="24"/>
              </w:rPr>
              <w:t>NO</w:t>
            </w:r>
            <w:r>
              <w:rPr>
                <w:rFonts w:hint="eastAsia" w:ascii="Times New Roman" w:hAnsi="Times New Roman" w:eastAsia="宋体"/>
                <w:color w:val="auto"/>
                <w:sz w:val="24"/>
                <w:szCs w:val="24"/>
                <w:vertAlign w:val="subscript"/>
              </w:rPr>
              <w:t>x</w:t>
            </w:r>
            <w:r>
              <w:rPr>
                <w:rFonts w:hint="eastAsia"/>
                <w:color w:val="auto"/>
                <w:sz w:val="24"/>
                <w:lang w:val="en-US" w:eastAsia="zh-CN"/>
              </w:rPr>
              <w:t>产生</w:t>
            </w:r>
            <w:r>
              <w:rPr>
                <w:rFonts w:hint="eastAsia" w:ascii="Times New Roman" w:hAnsi="Times New Roman" w:eastAsia="宋体"/>
                <w:color w:val="auto"/>
                <w:sz w:val="24"/>
              </w:rPr>
              <w:t>浓度=</w:t>
            </w:r>
            <w:r>
              <w:rPr>
                <w:rFonts w:hint="eastAsia"/>
                <w:color w:val="auto"/>
                <w:sz w:val="24"/>
                <w:lang w:val="en-US" w:eastAsia="zh-CN"/>
              </w:rPr>
              <w:t>1530</w:t>
            </w:r>
            <w:r>
              <w:rPr>
                <w:rFonts w:hint="eastAsia" w:ascii="Times New Roman" w:hAnsi="Times New Roman" w:eastAsia="宋体"/>
                <w:color w:val="auto"/>
                <w:sz w:val="24"/>
              </w:rPr>
              <w:t>kg/a÷</w:t>
            </w:r>
            <w:r>
              <w:rPr>
                <w:rFonts w:hint="eastAsia" w:cs="宋体"/>
                <w:color w:val="auto"/>
                <w:kern w:val="0"/>
                <w:sz w:val="24"/>
                <w:szCs w:val="24"/>
                <w:lang w:val="en-US" w:eastAsia="zh-CN" w:bidi="ar"/>
              </w:rPr>
              <w:t>23037000</w:t>
            </w:r>
            <w:r>
              <w:rPr>
                <w:rFonts w:hint="eastAsia" w:ascii="Times New Roman" w:hAnsi="Times New Roman" w:eastAsia="宋体"/>
                <w:color w:val="auto"/>
                <w:sz w:val="24"/>
              </w:rPr>
              <w:t>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/a=</w:t>
            </w:r>
            <w:r>
              <w:rPr>
                <w:rFonts w:hint="eastAsia"/>
                <w:color w:val="auto"/>
                <w:sz w:val="24"/>
                <w:lang w:val="en-US" w:eastAsia="zh-CN"/>
              </w:rPr>
              <w:t>66.41</w:t>
            </w:r>
            <w:r>
              <w:rPr>
                <w:rFonts w:hint="eastAsia" w:ascii="Times New Roman" w:hAnsi="Times New Roman" w:eastAsia="宋体"/>
                <w:color w:val="auto"/>
                <w:sz w:val="24"/>
              </w:rPr>
              <w:t>mg/m</w:t>
            </w:r>
            <w:r>
              <w:rPr>
                <w:rFonts w:hint="eastAsia" w:ascii="Times New Roman" w:hAnsi="Times New Roman" w:eastAsia="宋体"/>
                <w:color w:val="auto"/>
                <w:sz w:val="24"/>
                <w:vertAlign w:val="superscript"/>
              </w:rPr>
              <w:t>3</w:t>
            </w:r>
            <w:r>
              <w:rPr>
                <w:rFonts w:hint="eastAsia" w:ascii="Times New Roman" w:hAnsi="Times New Roman" w:eastAsia="宋体"/>
                <w:color w:val="auto"/>
                <w:sz w:val="24"/>
              </w:rPr>
              <w:t>。</w:t>
            </w:r>
          </w:p>
          <w:p w14:paraId="07721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b/>
                <w:bCs/>
                <w:color w:val="auto"/>
                <w:sz w:val="21"/>
                <w:szCs w:val="21"/>
              </w:rPr>
            </w:pPr>
            <w:r>
              <w:rPr>
                <w:rFonts w:hint="eastAsia"/>
                <w:color w:val="auto"/>
                <w:sz w:val="24"/>
                <w:lang w:val="en-US" w:eastAsia="zh-CN"/>
              </w:rPr>
              <w:t>本项目生物质燃料年用量3000t/a，锅炉年运行时间1200h，废气量23037000Nm</w:t>
            </w:r>
            <w:r>
              <w:rPr>
                <w:rFonts w:hint="eastAsia"/>
                <w:color w:val="auto"/>
                <w:sz w:val="24"/>
                <w:vertAlign w:val="superscript"/>
                <w:lang w:val="en-US" w:eastAsia="zh-CN"/>
              </w:rPr>
              <w:t>3</w:t>
            </w:r>
            <w:r>
              <w:rPr>
                <w:rFonts w:hint="eastAsia"/>
                <w:color w:val="auto"/>
                <w:sz w:val="24"/>
                <w:lang w:val="en-US" w:eastAsia="zh-CN"/>
              </w:rPr>
              <w:t>/a，燃烧废气排放情况</w:t>
            </w:r>
            <w:r>
              <w:rPr>
                <w:rFonts w:hint="eastAsia" w:ascii="Times New Roman" w:hAnsi="Times New Roman" w:eastAsia="宋体"/>
                <w:color w:val="auto"/>
                <w:sz w:val="24"/>
              </w:rPr>
              <w:t>详见表4-</w:t>
            </w:r>
            <w:r>
              <w:rPr>
                <w:rFonts w:hint="eastAsia"/>
                <w:color w:val="auto"/>
                <w:sz w:val="24"/>
                <w:lang w:val="en-US" w:eastAsia="zh-CN"/>
              </w:rPr>
              <w:t>6</w:t>
            </w:r>
            <w:r>
              <w:rPr>
                <w:rFonts w:hint="eastAsia" w:ascii="Times New Roman" w:hAnsi="Times New Roman" w:eastAsia="宋体"/>
                <w:color w:val="auto"/>
                <w:sz w:val="24"/>
              </w:rPr>
              <w:t>。</w:t>
            </w:r>
          </w:p>
          <w:p w14:paraId="6E5962DC">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eastAsia" w:ascii="Times New Roman" w:hAnsi="Times New Roman" w:eastAsia="宋体"/>
                <w:b/>
                <w:bCs/>
                <w:color w:val="auto"/>
                <w:sz w:val="21"/>
                <w:szCs w:val="21"/>
              </w:rPr>
              <w:t>表4-</w:t>
            </w:r>
            <w:r>
              <w:rPr>
                <w:rFonts w:hint="eastAsia" w:ascii="Times New Roman"/>
                <w:b/>
                <w:bCs/>
                <w:color w:val="auto"/>
                <w:sz w:val="21"/>
                <w:szCs w:val="21"/>
                <w:lang w:val="en-US" w:eastAsia="zh-CN"/>
              </w:rPr>
              <w:t>6</w:t>
            </w:r>
            <w:r>
              <w:rPr>
                <w:rFonts w:hint="eastAsia" w:ascii="Times New Roman" w:hAnsi="Times New Roman" w:eastAsia="宋体"/>
                <w:b/>
                <w:bCs/>
                <w:color w:val="auto"/>
                <w:sz w:val="21"/>
                <w:szCs w:val="21"/>
              </w:rPr>
              <w:t xml:space="preserve">  </w:t>
            </w:r>
            <w:r>
              <w:rPr>
                <w:rFonts w:hint="eastAsia" w:ascii="Times New Roman" w:hAnsi="Times New Roman" w:eastAsia="宋体"/>
                <w:b/>
                <w:bCs/>
                <w:color w:val="auto"/>
                <w:sz w:val="21"/>
                <w:szCs w:val="21"/>
                <w:lang w:eastAsia="zh-CN"/>
              </w:rPr>
              <w:t>生物质颗粒燃烧</w:t>
            </w:r>
            <w:r>
              <w:rPr>
                <w:rFonts w:hint="eastAsia" w:ascii="Times New Roman" w:hAnsi="Times New Roman" w:eastAsia="宋体"/>
                <w:b/>
                <w:bCs/>
                <w:color w:val="auto"/>
                <w:sz w:val="21"/>
                <w:szCs w:val="21"/>
              </w:rPr>
              <w:t>污染物产排情况一览表</w:t>
            </w:r>
          </w:p>
          <w:tbl>
            <w:tblPr>
              <w:tblStyle w:val="40"/>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514"/>
              <w:gridCol w:w="704"/>
              <w:gridCol w:w="678"/>
              <w:gridCol w:w="949"/>
              <w:gridCol w:w="961"/>
              <w:gridCol w:w="702"/>
              <w:gridCol w:w="972"/>
              <w:gridCol w:w="975"/>
              <w:gridCol w:w="949"/>
              <w:gridCol w:w="772"/>
            </w:tblGrid>
            <w:tr w14:paraId="6126B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314" w:type="pct"/>
                  <w:vMerge w:val="restart"/>
                  <w:tcBorders>
                    <w:tl2br w:val="nil"/>
                    <w:tr2bl w:val="nil"/>
                  </w:tcBorders>
                  <w:vAlign w:val="center"/>
                </w:tcPr>
                <w:p w14:paraId="49945C2C">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val="en-US" w:eastAsia="zh-CN" w:bidi="ar"/>
                    </w:rPr>
                  </w:pPr>
                  <w:r>
                    <w:rPr>
                      <w:rFonts w:hint="eastAsia"/>
                      <w:b/>
                      <w:bCs/>
                      <w:color w:val="auto"/>
                      <w:kern w:val="0"/>
                      <w:sz w:val="21"/>
                      <w:szCs w:val="21"/>
                      <w:lang w:val="en-US" w:eastAsia="zh-CN" w:bidi="ar"/>
                    </w:rPr>
                    <w:t>工程内容</w:t>
                  </w:r>
                </w:p>
              </w:tc>
              <w:tc>
                <w:tcPr>
                  <w:tcW w:w="430" w:type="pct"/>
                  <w:vMerge w:val="restart"/>
                  <w:tcBorders>
                    <w:tl2br w:val="nil"/>
                    <w:tr2bl w:val="nil"/>
                  </w:tcBorders>
                  <w:vAlign w:val="center"/>
                </w:tcPr>
                <w:p w14:paraId="50EFEA57">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lang w:val="en-US" w:eastAsia="zh-CN" w:bidi="ar"/>
                    </w:rPr>
                  </w:pPr>
                  <w:r>
                    <w:rPr>
                      <w:rFonts w:hint="eastAsia" w:ascii="Times New Roman" w:hAnsi="Times New Roman" w:eastAsia="宋体"/>
                      <w:b/>
                      <w:bCs/>
                      <w:color w:val="auto"/>
                      <w:kern w:val="0"/>
                      <w:sz w:val="21"/>
                      <w:szCs w:val="21"/>
                      <w:lang w:bidi="ar"/>
                    </w:rPr>
                    <w:t>污染物</w:t>
                  </w:r>
                </w:p>
              </w:tc>
              <w:tc>
                <w:tcPr>
                  <w:tcW w:w="994" w:type="pct"/>
                  <w:gridSpan w:val="2"/>
                  <w:tcBorders>
                    <w:tl2br w:val="nil"/>
                    <w:tr2bl w:val="nil"/>
                  </w:tcBorders>
                  <w:vAlign w:val="center"/>
                </w:tcPr>
                <w:p w14:paraId="0332D65F">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cs="Times New Roman"/>
                      <w:b/>
                      <w:bCs/>
                      <w:snapToGrid w:val="0"/>
                      <w:color w:val="auto"/>
                      <w:sz w:val="21"/>
                      <w:szCs w:val="21"/>
                    </w:rPr>
                    <w:t>污染物</w:t>
                  </w:r>
                  <w:r>
                    <w:rPr>
                      <w:rFonts w:hint="eastAsia" w:cs="Times New Roman"/>
                      <w:b/>
                      <w:bCs/>
                      <w:snapToGrid w:val="0"/>
                      <w:color w:val="auto"/>
                      <w:sz w:val="21"/>
                      <w:szCs w:val="21"/>
                      <w:lang w:val="en-US" w:eastAsia="zh-CN"/>
                    </w:rPr>
                    <w:t>产生</w:t>
                  </w:r>
                  <w:r>
                    <w:rPr>
                      <w:rFonts w:hint="default" w:ascii="Times New Roman" w:hAnsi="Times New Roman" w:eastAsia="宋体" w:cs="Times New Roman"/>
                      <w:b/>
                      <w:bCs/>
                      <w:snapToGrid w:val="0"/>
                      <w:color w:val="auto"/>
                      <w:sz w:val="21"/>
                      <w:szCs w:val="21"/>
                    </w:rPr>
                    <w:t>情况</w:t>
                  </w:r>
                </w:p>
              </w:tc>
              <w:tc>
                <w:tcPr>
                  <w:tcW w:w="587" w:type="pct"/>
                  <w:vMerge w:val="restart"/>
                  <w:tcBorders>
                    <w:tl2br w:val="nil"/>
                    <w:tr2bl w:val="nil"/>
                  </w:tcBorders>
                  <w:vAlign w:val="center"/>
                </w:tcPr>
                <w:p w14:paraId="60854135">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eastAsia" w:ascii="Times New Roman" w:hAnsi="Times New Roman" w:eastAsia="宋体" w:cs="Times New Roman"/>
                      <w:b/>
                      <w:bCs/>
                      <w:snapToGrid w:val="0"/>
                      <w:color w:val="auto"/>
                      <w:sz w:val="21"/>
                      <w:szCs w:val="21"/>
                      <w:lang w:val="en-US" w:eastAsia="zh-CN"/>
                    </w:rPr>
                  </w:pPr>
                  <w:r>
                    <w:rPr>
                      <w:rFonts w:hint="eastAsia" w:ascii="Times New Roman" w:hAnsi="Times New Roman" w:eastAsia="宋体" w:cs="Times New Roman"/>
                      <w:b/>
                      <w:bCs/>
                      <w:snapToGrid w:val="0"/>
                      <w:color w:val="auto"/>
                      <w:sz w:val="21"/>
                      <w:szCs w:val="21"/>
                      <w:lang w:val="en-US" w:eastAsia="zh-CN"/>
                    </w:rPr>
                    <w:t>末端治理技术</w:t>
                  </w:r>
                </w:p>
              </w:tc>
              <w:tc>
                <w:tcPr>
                  <w:tcW w:w="429" w:type="pct"/>
                  <w:vMerge w:val="restart"/>
                  <w:tcBorders>
                    <w:tl2br w:val="nil"/>
                    <w:tr2bl w:val="nil"/>
                  </w:tcBorders>
                  <w:vAlign w:val="center"/>
                </w:tcPr>
                <w:p w14:paraId="7BBB71D4">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s="Times New Roman"/>
                      <w:b/>
                      <w:bCs/>
                      <w:snapToGrid w:val="0"/>
                      <w:color w:val="auto"/>
                      <w:sz w:val="21"/>
                      <w:szCs w:val="21"/>
                      <w:lang w:val="en-US" w:eastAsia="zh-CN"/>
                    </w:rPr>
                  </w:pPr>
                  <w:r>
                    <w:rPr>
                      <w:rFonts w:hint="eastAsia" w:ascii="Times New Roman" w:hAnsi="Times New Roman" w:eastAsia="宋体" w:cs="Times New Roman"/>
                      <w:b/>
                      <w:bCs/>
                      <w:snapToGrid w:val="0"/>
                      <w:color w:val="auto"/>
                      <w:sz w:val="21"/>
                      <w:szCs w:val="21"/>
                      <w:lang w:val="en-US" w:eastAsia="zh-CN"/>
                    </w:rPr>
                    <w:t>去除效率%</w:t>
                  </w:r>
                </w:p>
              </w:tc>
              <w:tc>
                <w:tcPr>
                  <w:tcW w:w="1770" w:type="pct"/>
                  <w:gridSpan w:val="3"/>
                  <w:tcBorders>
                    <w:tl2br w:val="nil"/>
                    <w:tr2bl w:val="nil"/>
                  </w:tcBorders>
                  <w:vAlign w:val="center"/>
                </w:tcPr>
                <w:p w14:paraId="3E4B008A">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s="Times New Roman"/>
                      <w:b/>
                      <w:bCs/>
                      <w:snapToGrid w:val="0"/>
                      <w:color w:val="auto"/>
                      <w:sz w:val="21"/>
                      <w:szCs w:val="21"/>
                    </w:rPr>
                  </w:pPr>
                  <w:r>
                    <w:rPr>
                      <w:rFonts w:hint="default" w:ascii="Times New Roman" w:hAnsi="Times New Roman" w:eastAsia="宋体" w:cs="Times New Roman"/>
                      <w:b/>
                      <w:bCs/>
                      <w:snapToGrid w:val="0"/>
                      <w:color w:val="auto"/>
                      <w:sz w:val="21"/>
                      <w:szCs w:val="21"/>
                    </w:rPr>
                    <w:t>污染物排放情况</w:t>
                  </w:r>
                </w:p>
              </w:tc>
              <w:tc>
                <w:tcPr>
                  <w:tcW w:w="472" w:type="pct"/>
                  <w:vMerge w:val="restart"/>
                  <w:tcBorders>
                    <w:tl2br w:val="nil"/>
                    <w:tr2bl w:val="nil"/>
                  </w:tcBorders>
                  <w:vAlign w:val="center"/>
                </w:tcPr>
                <w:p w14:paraId="3B244C76">
                  <w:pPr>
                    <w:keepNext w:val="0"/>
                    <w:keepLines w:val="0"/>
                    <w:pageBreakBefore w:val="0"/>
                    <w:widowControl/>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ascii="Times New Roman" w:hAnsi="Times New Roman" w:eastAsia="宋体" w:cs="Times New Roman"/>
                      <w:b/>
                      <w:bCs/>
                      <w:snapToGrid w:val="0"/>
                      <w:color w:val="auto"/>
                      <w:sz w:val="21"/>
                      <w:szCs w:val="21"/>
                      <w:lang w:val="en-US" w:eastAsia="zh-CN"/>
                    </w:rPr>
                  </w:pPr>
                  <w:r>
                    <w:rPr>
                      <w:rFonts w:hint="eastAsia" w:ascii="Times New Roman" w:hAnsi="Times New Roman" w:eastAsia="宋体" w:cs="Times New Roman"/>
                      <w:b/>
                      <w:bCs/>
                      <w:snapToGrid w:val="0"/>
                      <w:color w:val="auto"/>
                      <w:sz w:val="21"/>
                      <w:szCs w:val="21"/>
                      <w:lang w:val="en-US" w:eastAsia="zh-CN"/>
                    </w:rPr>
                    <w:t>限值</w:t>
                  </w:r>
                </w:p>
                <w:p w14:paraId="2C257595">
                  <w:pPr>
                    <w:pStyle w:val="2"/>
                    <w:keepNext w:val="0"/>
                    <w:keepLines w:val="0"/>
                    <w:pageBreakBefore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eastAsia="宋体"/>
                      <w:color w:val="auto"/>
                      <w:sz w:val="21"/>
                      <w:lang w:val="en-US" w:eastAsia="zh-CN"/>
                    </w:rPr>
                  </w:pPr>
                  <w:r>
                    <w:rPr>
                      <w:rFonts w:hint="eastAsia" w:ascii="Times New Roman" w:hAnsi="Times New Roman" w:eastAsia="宋体" w:cs="Times New Roman"/>
                      <w:b/>
                      <w:bCs/>
                      <w:snapToGrid w:val="0"/>
                      <w:color w:val="auto"/>
                      <w:sz w:val="21"/>
                      <w:szCs w:val="21"/>
                      <w:lang w:val="en-US" w:eastAsia="zh-CN"/>
                    </w:rPr>
                    <w:t>mg/m</w:t>
                  </w:r>
                  <w:r>
                    <w:rPr>
                      <w:rFonts w:hint="eastAsia" w:ascii="Times New Roman" w:hAnsi="Times New Roman" w:eastAsia="宋体" w:cs="Times New Roman"/>
                      <w:b/>
                      <w:bCs/>
                      <w:snapToGrid w:val="0"/>
                      <w:color w:val="auto"/>
                      <w:sz w:val="21"/>
                      <w:szCs w:val="21"/>
                      <w:vertAlign w:val="superscript"/>
                      <w:lang w:val="en-US" w:eastAsia="zh-CN"/>
                    </w:rPr>
                    <w:t>3</w:t>
                  </w:r>
                </w:p>
              </w:tc>
            </w:tr>
            <w:tr w14:paraId="68AA0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314" w:type="pct"/>
                  <w:vMerge w:val="continue"/>
                  <w:tcBorders>
                    <w:tl2br w:val="nil"/>
                    <w:tr2bl w:val="nil"/>
                  </w:tcBorders>
                  <w:vAlign w:val="center"/>
                </w:tcPr>
                <w:p w14:paraId="36E6773B">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lang w:val="en-US" w:eastAsia="zh-CN" w:bidi="ar"/>
                    </w:rPr>
                  </w:pPr>
                </w:p>
              </w:tc>
              <w:tc>
                <w:tcPr>
                  <w:tcW w:w="430" w:type="pct"/>
                  <w:vMerge w:val="continue"/>
                  <w:tcBorders>
                    <w:tl2br w:val="nil"/>
                    <w:tr2bl w:val="nil"/>
                  </w:tcBorders>
                  <w:vAlign w:val="center"/>
                </w:tcPr>
                <w:p w14:paraId="22D59322">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lang w:val="en-US" w:eastAsia="zh-CN" w:bidi="ar"/>
                    </w:rPr>
                  </w:pPr>
                </w:p>
              </w:tc>
              <w:tc>
                <w:tcPr>
                  <w:tcW w:w="414" w:type="pct"/>
                  <w:tcBorders>
                    <w:tl2br w:val="nil"/>
                    <w:tr2bl w:val="nil"/>
                  </w:tcBorders>
                  <w:vAlign w:val="center"/>
                </w:tcPr>
                <w:p w14:paraId="3FC89709">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eastAsia" w:ascii="Times New Roman" w:hAnsi="Times New Roman" w:eastAsia="宋体"/>
                      <w:b/>
                      <w:bCs/>
                      <w:color w:val="auto"/>
                      <w:kern w:val="0"/>
                      <w:sz w:val="21"/>
                      <w:szCs w:val="21"/>
                      <w:lang w:bidi="ar"/>
                    </w:rPr>
                  </w:pPr>
                  <w:r>
                    <w:rPr>
                      <w:rFonts w:hint="eastAsia" w:ascii="Times New Roman" w:hAnsi="Times New Roman" w:eastAsia="宋体"/>
                      <w:b/>
                      <w:bCs/>
                      <w:color w:val="auto"/>
                      <w:kern w:val="0"/>
                      <w:sz w:val="21"/>
                      <w:szCs w:val="21"/>
                      <w:lang w:val="en-US" w:eastAsia="zh-CN" w:bidi="ar"/>
                    </w:rPr>
                    <w:t>产生</w:t>
                  </w:r>
                  <w:r>
                    <w:rPr>
                      <w:rFonts w:hint="eastAsia" w:ascii="Times New Roman" w:hAnsi="Times New Roman" w:eastAsia="宋体"/>
                      <w:b/>
                      <w:bCs/>
                      <w:color w:val="auto"/>
                      <w:kern w:val="0"/>
                      <w:sz w:val="21"/>
                      <w:szCs w:val="21"/>
                      <w:lang w:bidi="ar"/>
                    </w:rPr>
                    <w:t>量</w:t>
                  </w:r>
                </w:p>
                <w:p w14:paraId="39E2CD0F">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val="en-US" w:eastAsia="zh-CN" w:bidi="ar"/>
                    </w:rPr>
                  </w:pPr>
                  <w:r>
                    <w:rPr>
                      <w:rFonts w:hint="eastAsia" w:ascii="Times New Roman" w:hAnsi="Times New Roman" w:eastAsia="宋体"/>
                      <w:b/>
                      <w:bCs/>
                      <w:color w:val="auto"/>
                      <w:kern w:val="0"/>
                      <w:sz w:val="21"/>
                      <w:szCs w:val="21"/>
                      <w:lang w:bidi="ar"/>
                    </w:rPr>
                    <w:t>t/a</w:t>
                  </w:r>
                </w:p>
              </w:tc>
              <w:tc>
                <w:tcPr>
                  <w:tcW w:w="580" w:type="pct"/>
                  <w:tcBorders>
                    <w:tl2br w:val="nil"/>
                    <w:tr2bl w:val="nil"/>
                  </w:tcBorders>
                  <w:vAlign w:val="center"/>
                </w:tcPr>
                <w:p w14:paraId="20769082">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eastAsia" w:ascii="Times New Roman" w:hAnsi="Times New Roman" w:eastAsia="宋体"/>
                      <w:b/>
                      <w:bCs/>
                      <w:color w:val="auto"/>
                      <w:kern w:val="0"/>
                      <w:sz w:val="21"/>
                      <w:szCs w:val="21"/>
                      <w:lang w:val="en-US" w:eastAsia="zh-CN" w:bidi="ar"/>
                    </w:rPr>
                  </w:pPr>
                  <w:r>
                    <w:rPr>
                      <w:rFonts w:hint="eastAsia" w:ascii="Times New Roman" w:hAnsi="Times New Roman" w:eastAsia="宋体"/>
                      <w:b/>
                      <w:bCs/>
                      <w:color w:val="auto"/>
                      <w:kern w:val="0"/>
                      <w:sz w:val="21"/>
                      <w:szCs w:val="21"/>
                      <w:lang w:val="en-US" w:eastAsia="zh-CN" w:bidi="ar"/>
                    </w:rPr>
                    <w:t>产生</w:t>
                  </w:r>
                </w:p>
                <w:p w14:paraId="540DEA85">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lang w:val="en-US" w:eastAsia="zh-CN" w:bidi="ar"/>
                    </w:rPr>
                  </w:pPr>
                  <w:r>
                    <w:rPr>
                      <w:rFonts w:hint="eastAsia" w:ascii="Times New Roman" w:hAnsi="Times New Roman" w:eastAsia="宋体"/>
                      <w:b/>
                      <w:bCs/>
                      <w:color w:val="auto"/>
                      <w:kern w:val="0"/>
                      <w:sz w:val="21"/>
                      <w:szCs w:val="21"/>
                      <w:lang w:bidi="ar"/>
                    </w:rPr>
                    <w:t>浓度mg/Nm</w:t>
                  </w:r>
                  <w:r>
                    <w:rPr>
                      <w:rFonts w:hint="eastAsia" w:ascii="Times New Roman" w:hAnsi="Times New Roman" w:eastAsia="宋体"/>
                      <w:b/>
                      <w:bCs/>
                      <w:color w:val="auto"/>
                      <w:kern w:val="0"/>
                      <w:sz w:val="21"/>
                      <w:szCs w:val="21"/>
                      <w:vertAlign w:val="superscript"/>
                      <w:lang w:bidi="ar"/>
                    </w:rPr>
                    <w:t>3</w:t>
                  </w:r>
                </w:p>
              </w:tc>
              <w:tc>
                <w:tcPr>
                  <w:tcW w:w="587" w:type="pct"/>
                  <w:vMerge w:val="continue"/>
                  <w:tcBorders>
                    <w:tl2br w:val="nil"/>
                    <w:tr2bl w:val="nil"/>
                  </w:tcBorders>
                  <w:vAlign w:val="center"/>
                </w:tcPr>
                <w:p w14:paraId="5FA5E849">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eastAsia" w:ascii="Times New Roman" w:hAnsi="Times New Roman" w:eastAsia="宋体"/>
                      <w:b/>
                      <w:bCs/>
                      <w:color w:val="auto"/>
                      <w:kern w:val="0"/>
                      <w:sz w:val="21"/>
                      <w:szCs w:val="21"/>
                      <w:lang w:bidi="ar"/>
                    </w:rPr>
                  </w:pPr>
                </w:p>
              </w:tc>
              <w:tc>
                <w:tcPr>
                  <w:tcW w:w="429" w:type="pct"/>
                  <w:vMerge w:val="continue"/>
                  <w:tcBorders>
                    <w:tl2br w:val="nil"/>
                    <w:tr2bl w:val="nil"/>
                  </w:tcBorders>
                  <w:vAlign w:val="center"/>
                </w:tcPr>
                <w:p w14:paraId="720DA450">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eastAsia" w:ascii="Times New Roman" w:hAnsi="Times New Roman" w:eastAsia="宋体"/>
                      <w:b/>
                      <w:bCs/>
                      <w:color w:val="auto"/>
                      <w:kern w:val="0"/>
                      <w:sz w:val="21"/>
                      <w:szCs w:val="21"/>
                      <w:lang w:bidi="ar"/>
                    </w:rPr>
                  </w:pPr>
                </w:p>
              </w:tc>
              <w:tc>
                <w:tcPr>
                  <w:tcW w:w="594" w:type="pct"/>
                  <w:tcBorders>
                    <w:tl2br w:val="nil"/>
                    <w:tr2bl w:val="nil"/>
                  </w:tcBorders>
                  <w:vAlign w:val="center"/>
                </w:tcPr>
                <w:p w14:paraId="7C6C64D6">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center"/>
                    <w:rPr>
                      <w:rFonts w:hint="eastAsia" w:ascii="Times New Roman" w:hAnsi="Times New Roman" w:eastAsia="宋体"/>
                      <w:b/>
                      <w:bCs/>
                      <w:color w:val="auto"/>
                      <w:kern w:val="0"/>
                      <w:sz w:val="21"/>
                      <w:szCs w:val="21"/>
                      <w:lang w:bidi="ar"/>
                    </w:rPr>
                  </w:pPr>
                  <w:r>
                    <w:rPr>
                      <w:rFonts w:hint="eastAsia" w:ascii="Times New Roman" w:hAnsi="Times New Roman" w:eastAsia="宋体"/>
                      <w:b/>
                      <w:bCs/>
                      <w:color w:val="auto"/>
                      <w:kern w:val="0"/>
                      <w:sz w:val="21"/>
                      <w:szCs w:val="21"/>
                      <w:lang w:val="en-US" w:eastAsia="zh-CN" w:bidi="ar"/>
                    </w:rPr>
                    <w:t>排放</w:t>
                  </w:r>
                  <w:r>
                    <w:rPr>
                      <w:rFonts w:hint="eastAsia" w:ascii="Times New Roman" w:hAnsi="Times New Roman" w:eastAsia="宋体"/>
                      <w:b/>
                      <w:bCs/>
                      <w:color w:val="auto"/>
                      <w:kern w:val="0"/>
                      <w:sz w:val="21"/>
                      <w:szCs w:val="21"/>
                      <w:lang w:bidi="ar"/>
                    </w:rPr>
                    <w:t>量</w:t>
                  </w:r>
                </w:p>
                <w:p w14:paraId="40493D07">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eastAsia" w:ascii="Times New Roman" w:hAnsi="Times New Roman" w:eastAsia="宋体"/>
                      <w:b/>
                      <w:bCs/>
                      <w:color w:val="auto"/>
                      <w:kern w:val="0"/>
                      <w:sz w:val="21"/>
                      <w:szCs w:val="21"/>
                      <w:lang w:val="en-US" w:eastAsia="zh-CN" w:bidi="ar"/>
                    </w:rPr>
                  </w:pPr>
                  <w:r>
                    <w:rPr>
                      <w:rFonts w:hint="eastAsia" w:ascii="Times New Roman" w:hAnsi="Times New Roman" w:eastAsia="宋体"/>
                      <w:b/>
                      <w:bCs/>
                      <w:color w:val="auto"/>
                      <w:kern w:val="0"/>
                      <w:sz w:val="21"/>
                      <w:szCs w:val="21"/>
                      <w:lang w:bidi="ar"/>
                    </w:rPr>
                    <w:t>t/a</w:t>
                  </w:r>
                </w:p>
              </w:tc>
              <w:tc>
                <w:tcPr>
                  <w:tcW w:w="596" w:type="pct"/>
                  <w:tcBorders>
                    <w:tl2br w:val="nil"/>
                    <w:tr2bl w:val="nil"/>
                  </w:tcBorders>
                  <w:vAlign w:val="center"/>
                </w:tcPr>
                <w:p w14:paraId="50B51592">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eastAsia" w:ascii="Times New Roman" w:hAnsi="Times New Roman" w:eastAsia="宋体"/>
                      <w:b/>
                      <w:bCs/>
                      <w:color w:val="auto"/>
                      <w:kern w:val="0"/>
                      <w:sz w:val="21"/>
                      <w:szCs w:val="21"/>
                      <w:lang w:val="en-US" w:eastAsia="zh-CN" w:bidi="ar"/>
                    </w:rPr>
                  </w:pPr>
                  <w:r>
                    <w:rPr>
                      <w:rFonts w:hint="eastAsia" w:ascii="Times New Roman" w:hAnsi="Times New Roman" w:eastAsia="宋体"/>
                      <w:b/>
                      <w:bCs/>
                      <w:color w:val="auto"/>
                      <w:kern w:val="0"/>
                      <w:sz w:val="21"/>
                      <w:szCs w:val="21"/>
                      <w:lang w:val="en-US" w:eastAsia="zh-CN" w:bidi="ar"/>
                    </w:rPr>
                    <w:t>排放速率</w:t>
                  </w:r>
                </w:p>
                <w:p w14:paraId="06E54E3D">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eastAsia" w:ascii="Times New Roman" w:hAnsi="Times New Roman" w:eastAsia="宋体"/>
                      <w:b/>
                      <w:bCs/>
                      <w:color w:val="auto"/>
                      <w:kern w:val="0"/>
                      <w:sz w:val="21"/>
                      <w:szCs w:val="21"/>
                      <w:lang w:val="en-US" w:eastAsia="zh-CN" w:bidi="ar"/>
                    </w:rPr>
                  </w:pPr>
                  <w:r>
                    <w:rPr>
                      <w:rFonts w:hint="eastAsia" w:ascii="Times New Roman" w:hAnsi="Times New Roman" w:eastAsia="宋体"/>
                      <w:b/>
                      <w:bCs/>
                      <w:color w:val="auto"/>
                      <w:kern w:val="0"/>
                      <w:sz w:val="21"/>
                      <w:szCs w:val="21"/>
                      <w:lang w:val="en-US" w:eastAsia="zh-CN" w:bidi="ar"/>
                    </w:rPr>
                    <w:t>kg/h</w:t>
                  </w:r>
                </w:p>
              </w:tc>
              <w:tc>
                <w:tcPr>
                  <w:tcW w:w="580" w:type="pct"/>
                  <w:tcBorders>
                    <w:tl2br w:val="nil"/>
                    <w:tr2bl w:val="nil"/>
                  </w:tcBorders>
                  <w:vAlign w:val="center"/>
                </w:tcPr>
                <w:p w14:paraId="4BCA6FF4">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eastAsia" w:ascii="Times New Roman" w:hAnsi="Times New Roman" w:eastAsia="宋体"/>
                      <w:b/>
                      <w:bCs/>
                      <w:color w:val="auto"/>
                      <w:kern w:val="0"/>
                      <w:sz w:val="21"/>
                      <w:szCs w:val="21"/>
                      <w:lang w:val="en-US" w:eastAsia="zh-CN" w:bidi="ar"/>
                    </w:rPr>
                  </w:pPr>
                  <w:r>
                    <w:rPr>
                      <w:rFonts w:hint="eastAsia" w:ascii="Times New Roman" w:hAnsi="Times New Roman" w:eastAsia="宋体"/>
                      <w:b/>
                      <w:bCs/>
                      <w:color w:val="auto"/>
                      <w:kern w:val="0"/>
                      <w:sz w:val="21"/>
                      <w:szCs w:val="21"/>
                      <w:lang w:val="en-US" w:eastAsia="zh-CN" w:bidi="ar"/>
                    </w:rPr>
                    <w:t>排放</w:t>
                  </w:r>
                </w:p>
                <w:p w14:paraId="11B5124B">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eastAsia" w:ascii="Times New Roman" w:hAnsi="Times New Roman" w:eastAsia="宋体"/>
                      <w:b/>
                      <w:bCs/>
                      <w:color w:val="auto"/>
                      <w:kern w:val="0"/>
                      <w:sz w:val="21"/>
                      <w:szCs w:val="21"/>
                      <w:lang w:val="en-US" w:eastAsia="zh-CN" w:bidi="ar"/>
                    </w:rPr>
                  </w:pPr>
                  <w:r>
                    <w:rPr>
                      <w:rFonts w:hint="eastAsia" w:ascii="Times New Roman" w:hAnsi="Times New Roman" w:eastAsia="宋体"/>
                      <w:b/>
                      <w:bCs/>
                      <w:color w:val="auto"/>
                      <w:kern w:val="0"/>
                      <w:sz w:val="21"/>
                      <w:szCs w:val="21"/>
                      <w:lang w:bidi="ar"/>
                    </w:rPr>
                    <w:t>浓度mg/Nm</w:t>
                  </w:r>
                  <w:r>
                    <w:rPr>
                      <w:rFonts w:hint="eastAsia" w:ascii="Times New Roman" w:hAnsi="Times New Roman" w:eastAsia="宋体"/>
                      <w:b/>
                      <w:bCs/>
                      <w:color w:val="auto"/>
                      <w:kern w:val="0"/>
                      <w:sz w:val="21"/>
                      <w:szCs w:val="21"/>
                      <w:vertAlign w:val="superscript"/>
                      <w:lang w:bidi="ar"/>
                    </w:rPr>
                    <w:t>3</w:t>
                  </w:r>
                </w:p>
              </w:tc>
              <w:tc>
                <w:tcPr>
                  <w:tcW w:w="472" w:type="pct"/>
                  <w:vMerge w:val="continue"/>
                  <w:tcBorders>
                    <w:tl2br w:val="nil"/>
                    <w:tr2bl w:val="nil"/>
                  </w:tcBorders>
                  <w:vAlign w:val="center"/>
                </w:tcPr>
                <w:p w14:paraId="21CAACE0">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eastAsia" w:ascii="Times New Roman" w:hAnsi="Times New Roman" w:eastAsia="宋体"/>
                      <w:b/>
                      <w:bCs/>
                      <w:color w:val="auto"/>
                      <w:kern w:val="0"/>
                      <w:sz w:val="21"/>
                      <w:szCs w:val="21"/>
                      <w:lang w:bidi="ar"/>
                    </w:rPr>
                  </w:pPr>
                </w:p>
              </w:tc>
            </w:tr>
            <w:tr w14:paraId="6AF73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50" w:hRule="atLeast"/>
                <w:jc w:val="center"/>
              </w:trPr>
              <w:tc>
                <w:tcPr>
                  <w:tcW w:w="314" w:type="pct"/>
                  <w:vMerge w:val="restart"/>
                  <w:tcBorders>
                    <w:tl2br w:val="nil"/>
                    <w:tr2bl w:val="nil"/>
                  </w:tcBorders>
                  <w:vAlign w:val="center"/>
                </w:tcPr>
                <w:p w14:paraId="12B4FB23">
                  <w:pPr>
                    <w:pStyle w:val="37"/>
                    <w:keepNext w:val="0"/>
                    <w:keepLines w:val="0"/>
                    <w:pageBreakBefore w:val="0"/>
                    <w:suppressLineNumbers w:val="0"/>
                    <w:kinsoku/>
                    <w:wordWrap/>
                    <w:overflowPunct/>
                    <w:topLinePunct w:val="0"/>
                    <w:bidi w:val="0"/>
                    <w:spacing w:before="0" w:beforeAutospacing="0" w:after="0" w:afterAutospacing="0" w:line="240" w:lineRule="auto"/>
                    <w:ind w:left="0" w:right="0" w:rightChars="0" w:firstLine="0" w:firstLineChars="0"/>
                    <w:jc w:val="center"/>
                    <w:rPr>
                      <w:rFonts w:hint="default" w:ascii="Times New Roman" w:hAnsi="Times New Roman" w:eastAsia="宋体"/>
                      <w:color w:val="auto"/>
                      <w:sz w:val="21"/>
                      <w:szCs w:val="21"/>
                      <w:lang w:val="en-US" w:eastAsia="zh-CN"/>
                    </w:rPr>
                  </w:pPr>
                  <w:r>
                    <w:rPr>
                      <w:rFonts w:hint="eastAsia" w:ascii="Times New Roman"/>
                      <w:color w:val="auto"/>
                      <w:sz w:val="21"/>
                      <w:szCs w:val="21"/>
                      <w:lang w:val="en-US" w:eastAsia="zh-CN"/>
                    </w:rPr>
                    <w:t>生物质热风炉房</w:t>
                  </w:r>
                </w:p>
              </w:tc>
              <w:tc>
                <w:tcPr>
                  <w:tcW w:w="430" w:type="pct"/>
                  <w:tcBorders>
                    <w:tl2br w:val="nil"/>
                    <w:tr2bl w:val="nil"/>
                  </w:tcBorders>
                  <w:vAlign w:val="center"/>
                </w:tcPr>
                <w:p w14:paraId="1263549F">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olor w:val="auto"/>
                      <w:sz w:val="21"/>
                      <w:szCs w:val="21"/>
                    </w:rPr>
                    <w:t>颗粒物</w:t>
                  </w:r>
                </w:p>
              </w:tc>
              <w:tc>
                <w:tcPr>
                  <w:tcW w:w="414" w:type="pct"/>
                  <w:tcBorders>
                    <w:tl2br w:val="nil"/>
                    <w:tr2bl w:val="nil"/>
                  </w:tcBorders>
                  <w:shd w:val="clear" w:color="auto" w:fill="auto"/>
                  <w:vAlign w:val="center"/>
                </w:tcPr>
                <w:p w14:paraId="0FEC1989">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cs="Times New Roman"/>
                      <w:color w:val="auto"/>
                      <w:kern w:val="0"/>
                      <w:sz w:val="21"/>
                      <w:szCs w:val="21"/>
                      <w:vertAlign w:val="baseline"/>
                      <w:lang w:val="en-US" w:eastAsia="zh-CN" w:bidi="ar"/>
                    </w:rPr>
                    <w:t>1.5</w:t>
                  </w:r>
                </w:p>
              </w:tc>
              <w:tc>
                <w:tcPr>
                  <w:tcW w:w="580" w:type="pct"/>
                  <w:tcBorders>
                    <w:tl2br w:val="nil"/>
                    <w:tr2bl w:val="nil"/>
                  </w:tcBorders>
                  <w:vAlign w:val="center"/>
                </w:tcPr>
                <w:p w14:paraId="4062B2AF">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65.11</w:t>
                  </w:r>
                </w:p>
              </w:tc>
              <w:tc>
                <w:tcPr>
                  <w:tcW w:w="587" w:type="pct"/>
                  <w:tcBorders>
                    <w:tl2br w:val="nil"/>
                    <w:tr2bl w:val="nil"/>
                  </w:tcBorders>
                  <w:vAlign w:val="center"/>
                </w:tcPr>
                <w:p w14:paraId="4EBA7731">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
                    </w:rPr>
                  </w:pPr>
                  <w:r>
                    <w:rPr>
                      <w:rFonts w:hint="eastAsia" w:ascii="Times New Roman" w:cs="Times New Roman"/>
                      <w:color w:val="auto"/>
                      <w:sz w:val="21"/>
                      <w:szCs w:val="21"/>
                      <w:lang w:val="en-US" w:eastAsia="zh-CN"/>
                    </w:rPr>
                    <w:t>旋风除尘+布袋除尘器</w:t>
                  </w:r>
                </w:p>
              </w:tc>
              <w:tc>
                <w:tcPr>
                  <w:tcW w:w="429" w:type="pct"/>
                  <w:tcBorders>
                    <w:tl2br w:val="nil"/>
                    <w:tr2bl w:val="nil"/>
                  </w:tcBorders>
                  <w:vAlign w:val="center"/>
                </w:tcPr>
                <w:p w14:paraId="791851E9">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
                    </w:rPr>
                  </w:pPr>
                  <w:r>
                    <w:rPr>
                      <w:rFonts w:hint="eastAsia" w:ascii="Times New Roman" w:cs="Times New Roman"/>
                      <w:color w:val="auto"/>
                      <w:sz w:val="21"/>
                      <w:szCs w:val="21"/>
                      <w:lang w:val="en-US" w:eastAsia="zh-CN"/>
                    </w:rPr>
                    <w:t>99</w:t>
                  </w:r>
                </w:p>
              </w:tc>
              <w:tc>
                <w:tcPr>
                  <w:tcW w:w="594" w:type="pct"/>
                  <w:tcBorders>
                    <w:tl2br w:val="nil"/>
                    <w:tr2bl w:val="nil"/>
                  </w:tcBorders>
                  <w:vAlign w:val="center"/>
                </w:tcPr>
                <w:p w14:paraId="1FAB8792">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0.015</w:t>
                  </w:r>
                </w:p>
              </w:tc>
              <w:tc>
                <w:tcPr>
                  <w:tcW w:w="596" w:type="pct"/>
                  <w:tcBorders>
                    <w:tl2br w:val="nil"/>
                    <w:tr2bl w:val="nil"/>
                  </w:tcBorders>
                  <w:vAlign w:val="center"/>
                </w:tcPr>
                <w:p w14:paraId="33DD3072">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0.0125</w:t>
                  </w:r>
                </w:p>
              </w:tc>
              <w:tc>
                <w:tcPr>
                  <w:tcW w:w="580" w:type="pct"/>
                  <w:tcBorders>
                    <w:tl2br w:val="nil"/>
                    <w:tr2bl w:val="nil"/>
                  </w:tcBorders>
                  <w:shd w:val="clear" w:color="auto" w:fill="auto"/>
                  <w:vAlign w:val="center"/>
                </w:tcPr>
                <w:p w14:paraId="09549378">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0.65</w:t>
                  </w:r>
                </w:p>
              </w:tc>
              <w:tc>
                <w:tcPr>
                  <w:tcW w:w="472" w:type="pct"/>
                  <w:tcBorders>
                    <w:tl2br w:val="nil"/>
                    <w:tr2bl w:val="nil"/>
                  </w:tcBorders>
                  <w:vAlign w:val="center"/>
                </w:tcPr>
                <w:p w14:paraId="0B22893E">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20</w:t>
                  </w:r>
                </w:p>
              </w:tc>
            </w:tr>
            <w:tr w14:paraId="08B08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314" w:type="pct"/>
                  <w:vMerge w:val="continue"/>
                  <w:tcBorders>
                    <w:tl2br w:val="nil"/>
                    <w:tr2bl w:val="nil"/>
                  </w:tcBorders>
                  <w:vAlign w:val="center"/>
                </w:tcPr>
                <w:p w14:paraId="3EA0FF62">
                  <w:pPr>
                    <w:pStyle w:val="37"/>
                    <w:keepNext w:val="0"/>
                    <w:keepLines w:val="0"/>
                    <w:pageBreakBefore w:val="0"/>
                    <w:suppressLineNumbers w:val="0"/>
                    <w:kinsoku/>
                    <w:wordWrap/>
                    <w:overflowPunct/>
                    <w:topLinePunct w:val="0"/>
                    <w:bidi w:val="0"/>
                    <w:spacing w:before="0" w:beforeAutospacing="0" w:after="0" w:afterAutospacing="0" w:line="240" w:lineRule="auto"/>
                    <w:ind w:left="0" w:right="0" w:rightChars="0" w:firstLine="0" w:firstLineChars="0"/>
                    <w:jc w:val="center"/>
                    <w:rPr>
                      <w:rFonts w:hint="eastAsia" w:ascii="Times New Roman" w:hAnsi="Times New Roman" w:eastAsia="宋体"/>
                      <w:color w:val="auto"/>
                      <w:sz w:val="21"/>
                      <w:szCs w:val="21"/>
                    </w:rPr>
                  </w:pPr>
                </w:p>
              </w:tc>
              <w:tc>
                <w:tcPr>
                  <w:tcW w:w="430" w:type="pct"/>
                  <w:tcBorders>
                    <w:tl2br w:val="nil"/>
                    <w:tr2bl w:val="nil"/>
                  </w:tcBorders>
                  <w:vAlign w:val="center"/>
                </w:tcPr>
                <w:p w14:paraId="3077F8EF">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olor w:val="auto"/>
                      <w:sz w:val="21"/>
                      <w:szCs w:val="21"/>
                    </w:rPr>
                    <w:t>SO</w:t>
                  </w:r>
                  <w:r>
                    <w:rPr>
                      <w:rFonts w:hint="eastAsia" w:ascii="Times New Roman" w:hAnsi="Times New Roman" w:eastAsia="宋体"/>
                      <w:color w:val="auto"/>
                      <w:sz w:val="21"/>
                      <w:szCs w:val="21"/>
                      <w:vertAlign w:val="subscript"/>
                    </w:rPr>
                    <w:t>2</w:t>
                  </w:r>
                </w:p>
              </w:tc>
              <w:tc>
                <w:tcPr>
                  <w:tcW w:w="414" w:type="pct"/>
                  <w:tcBorders>
                    <w:tl2br w:val="nil"/>
                    <w:tr2bl w:val="nil"/>
                  </w:tcBorders>
                  <w:shd w:val="clear" w:color="auto" w:fill="auto"/>
                  <w:vAlign w:val="center"/>
                </w:tcPr>
                <w:p w14:paraId="4E8DE209">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cs="Times New Roman"/>
                      <w:color w:val="auto"/>
                      <w:kern w:val="0"/>
                      <w:sz w:val="21"/>
                      <w:szCs w:val="21"/>
                      <w:vertAlign w:val="baseline"/>
                      <w:lang w:val="en-US" w:eastAsia="zh-CN" w:bidi="ar"/>
                    </w:rPr>
                    <w:t>0.691</w:t>
                  </w:r>
                </w:p>
              </w:tc>
              <w:tc>
                <w:tcPr>
                  <w:tcW w:w="580" w:type="pct"/>
                  <w:tcBorders>
                    <w:tl2br w:val="nil"/>
                    <w:tr2bl w:val="nil"/>
                  </w:tcBorders>
                  <w:vAlign w:val="center"/>
                </w:tcPr>
                <w:p w14:paraId="7B165E28">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30.00</w:t>
                  </w:r>
                </w:p>
              </w:tc>
              <w:tc>
                <w:tcPr>
                  <w:tcW w:w="587" w:type="pct"/>
                  <w:tcBorders>
                    <w:tl2br w:val="nil"/>
                    <w:tr2bl w:val="nil"/>
                  </w:tcBorders>
                  <w:vAlign w:val="center"/>
                </w:tcPr>
                <w:p w14:paraId="1BB0D9F0">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
                    </w:rPr>
                  </w:pPr>
                  <w:r>
                    <w:rPr>
                      <w:rFonts w:hint="eastAsia" w:ascii="Times New Roman"/>
                      <w:color w:val="auto"/>
                      <w:sz w:val="21"/>
                      <w:szCs w:val="21"/>
                      <w:lang w:val="en-US" w:eastAsia="zh-CN"/>
                    </w:rPr>
                    <w:t>/</w:t>
                  </w:r>
                </w:p>
              </w:tc>
              <w:tc>
                <w:tcPr>
                  <w:tcW w:w="429" w:type="pct"/>
                  <w:tcBorders>
                    <w:tl2br w:val="nil"/>
                    <w:tr2bl w:val="nil"/>
                  </w:tcBorders>
                  <w:vAlign w:val="center"/>
                </w:tcPr>
                <w:p w14:paraId="765F7920">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
                    </w:rPr>
                  </w:pPr>
                  <w:r>
                    <w:rPr>
                      <w:rFonts w:hint="eastAsia" w:ascii="Times New Roman"/>
                      <w:color w:val="auto"/>
                      <w:sz w:val="21"/>
                      <w:szCs w:val="21"/>
                      <w:lang w:val="en-US" w:eastAsia="zh-CN"/>
                    </w:rPr>
                    <w:t>/</w:t>
                  </w:r>
                </w:p>
              </w:tc>
              <w:tc>
                <w:tcPr>
                  <w:tcW w:w="594" w:type="pct"/>
                  <w:tcBorders>
                    <w:tl2br w:val="nil"/>
                    <w:tr2bl w:val="nil"/>
                  </w:tcBorders>
                  <w:vAlign w:val="center"/>
                </w:tcPr>
                <w:p w14:paraId="4576C451">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0.691</w:t>
                  </w:r>
                </w:p>
              </w:tc>
              <w:tc>
                <w:tcPr>
                  <w:tcW w:w="596" w:type="pct"/>
                  <w:tcBorders>
                    <w:tl2br w:val="nil"/>
                    <w:tr2bl w:val="nil"/>
                  </w:tcBorders>
                  <w:vAlign w:val="center"/>
                </w:tcPr>
                <w:p w14:paraId="0A56B046">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0.5758</w:t>
                  </w:r>
                </w:p>
              </w:tc>
              <w:tc>
                <w:tcPr>
                  <w:tcW w:w="580" w:type="pct"/>
                  <w:tcBorders>
                    <w:tl2br w:val="nil"/>
                    <w:tr2bl w:val="nil"/>
                  </w:tcBorders>
                  <w:shd w:val="clear" w:color="auto" w:fill="auto"/>
                  <w:vAlign w:val="center"/>
                </w:tcPr>
                <w:p w14:paraId="7A1EEC4F">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30.00</w:t>
                  </w:r>
                </w:p>
              </w:tc>
              <w:tc>
                <w:tcPr>
                  <w:tcW w:w="472" w:type="pct"/>
                  <w:tcBorders>
                    <w:tl2br w:val="nil"/>
                    <w:tr2bl w:val="nil"/>
                  </w:tcBorders>
                  <w:vAlign w:val="center"/>
                </w:tcPr>
                <w:p w14:paraId="63907221">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50</w:t>
                  </w:r>
                </w:p>
              </w:tc>
            </w:tr>
            <w:tr w14:paraId="3733C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314" w:type="pct"/>
                  <w:vMerge w:val="continue"/>
                  <w:tcBorders>
                    <w:tl2br w:val="nil"/>
                    <w:tr2bl w:val="nil"/>
                  </w:tcBorders>
                  <w:vAlign w:val="center"/>
                </w:tcPr>
                <w:p w14:paraId="7FAA5559">
                  <w:pPr>
                    <w:pStyle w:val="37"/>
                    <w:keepNext w:val="0"/>
                    <w:keepLines w:val="0"/>
                    <w:pageBreakBefore w:val="0"/>
                    <w:suppressLineNumbers w:val="0"/>
                    <w:kinsoku/>
                    <w:wordWrap/>
                    <w:overflowPunct/>
                    <w:topLinePunct w:val="0"/>
                    <w:bidi w:val="0"/>
                    <w:spacing w:before="0" w:beforeAutospacing="0" w:after="0" w:afterAutospacing="0" w:line="240" w:lineRule="auto"/>
                    <w:ind w:left="0" w:right="0" w:rightChars="0" w:firstLine="0" w:firstLineChars="0"/>
                    <w:jc w:val="center"/>
                    <w:rPr>
                      <w:rFonts w:hint="eastAsia" w:ascii="Times New Roman" w:hAnsi="Times New Roman" w:eastAsia="宋体"/>
                      <w:color w:val="auto"/>
                      <w:sz w:val="21"/>
                      <w:szCs w:val="21"/>
                    </w:rPr>
                  </w:pPr>
                </w:p>
              </w:tc>
              <w:tc>
                <w:tcPr>
                  <w:tcW w:w="430" w:type="pct"/>
                  <w:tcBorders>
                    <w:tl2br w:val="nil"/>
                    <w:tr2bl w:val="nil"/>
                  </w:tcBorders>
                  <w:vAlign w:val="center"/>
                </w:tcPr>
                <w:p w14:paraId="5BE3B0B6">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olor w:val="auto"/>
                      <w:sz w:val="21"/>
                      <w:szCs w:val="21"/>
                    </w:rPr>
                    <w:t>NO</w:t>
                  </w:r>
                  <w:r>
                    <w:rPr>
                      <w:rFonts w:hint="eastAsia" w:ascii="Times New Roman" w:hAnsi="Times New Roman" w:eastAsia="宋体"/>
                      <w:color w:val="auto"/>
                      <w:sz w:val="21"/>
                      <w:szCs w:val="21"/>
                      <w:vertAlign w:val="subscript"/>
                    </w:rPr>
                    <w:t>X</w:t>
                  </w:r>
                </w:p>
              </w:tc>
              <w:tc>
                <w:tcPr>
                  <w:tcW w:w="414" w:type="pct"/>
                  <w:tcBorders>
                    <w:tl2br w:val="nil"/>
                    <w:tr2bl w:val="nil"/>
                  </w:tcBorders>
                  <w:shd w:val="clear" w:color="auto" w:fill="auto"/>
                  <w:vAlign w:val="center"/>
                </w:tcPr>
                <w:p w14:paraId="0934F1A5">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cs="Times New Roman"/>
                      <w:color w:val="auto"/>
                      <w:kern w:val="0"/>
                      <w:sz w:val="21"/>
                      <w:szCs w:val="21"/>
                      <w:vertAlign w:val="baseline"/>
                      <w:lang w:val="en-US" w:eastAsia="zh-CN" w:bidi="ar"/>
                    </w:rPr>
                    <w:t>1.53</w:t>
                  </w:r>
                </w:p>
              </w:tc>
              <w:tc>
                <w:tcPr>
                  <w:tcW w:w="580" w:type="pct"/>
                  <w:tcBorders>
                    <w:tl2br w:val="nil"/>
                    <w:tr2bl w:val="nil"/>
                  </w:tcBorders>
                  <w:vAlign w:val="center"/>
                </w:tcPr>
                <w:p w14:paraId="12A4C3FE">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66.41</w:t>
                  </w:r>
                </w:p>
              </w:tc>
              <w:tc>
                <w:tcPr>
                  <w:tcW w:w="587" w:type="pct"/>
                  <w:tcBorders>
                    <w:tl2br w:val="nil"/>
                    <w:tr2bl w:val="nil"/>
                  </w:tcBorders>
                  <w:vAlign w:val="center"/>
                </w:tcPr>
                <w:p w14:paraId="245F05CD">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
                    </w:rPr>
                  </w:pPr>
                  <w:r>
                    <w:rPr>
                      <w:rFonts w:hint="eastAsia" w:ascii="Times New Roman"/>
                      <w:color w:val="auto"/>
                      <w:sz w:val="21"/>
                      <w:szCs w:val="21"/>
                      <w:lang w:val="en-US" w:eastAsia="zh-CN"/>
                    </w:rPr>
                    <w:t>SNCR</w:t>
                  </w:r>
                </w:p>
              </w:tc>
              <w:tc>
                <w:tcPr>
                  <w:tcW w:w="429" w:type="pct"/>
                  <w:tcBorders>
                    <w:tl2br w:val="nil"/>
                    <w:tr2bl w:val="nil"/>
                  </w:tcBorders>
                  <w:vAlign w:val="center"/>
                </w:tcPr>
                <w:p w14:paraId="052930AF">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
                    </w:rPr>
                  </w:pPr>
                  <w:r>
                    <w:rPr>
                      <w:rFonts w:hint="eastAsia" w:ascii="Times New Roman"/>
                      <w:color w:val="auto"/>
                      <w:sz w:val="21"/>
                      <w:szCs w:val="21"/>
                      <w:lang w:val="en-US" w:eastAsia="zh-CN"/>
                    </w:rPr>
                    <w:t>/</w:t>
                  </w:r>
                </w:p>
              </w:tc>
              <w:tc>
                <w:tcPr>
                  <w:tcW w:w="594" w:type="pct"/>
                  <w:tcBorders>
                    <w:tl2br w:val="nil"/>
                    <w:tr2bl w:val="nil"/>
                  </w:tcBorders>
                  <w:vAlign w:val="center"/>
                </w:tcPr>
                <w:p w14:paraId="6BD934B1">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1.53</w:t>
                  </w:r>
                </w:p>
              </w:tc>
              <w:tc>
                <w:tcPr>
                  <w:tcW w:w="596" w:type="pct"/>
                  <w:tcBorders>
                    <w:tl2br w:val="nil"/>
                    <w:tr2bl w:val="nil"/>
                  </w:tcBorders>
                  <w:vAlign w:val="center"/>
                </w:tcPr>
                <w:p w14:paraId="1F764159">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1.275</w:t>
                  </w:r>
                </w:p>
              </w:tc>
              <w:tc>
                <w:tcPr>
                  <w:tcW w:w="580" w:type="pct"/>
                  <w:tcBorders>
                    <w:tl2br w:val="nil"/>
                    <w:tr2bl w:val="nil"/>
                  </w:tcBorders>
                  <w:shd w:val="clear" w:color="auto" w:fill="auto"/>
                  <w:vAlign w:val="center"/>
                </w:tcPr>
                <w:p w14:paraId="4347F237">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66.41</w:t>
                  </w:r>
                </w:p>
              </w:tc>
              <w:tc>
                <w:tcPr>
                  <w:tcW w:w="472" w:type="pct"/>
                  <w:tcBorders>
                    <w:tl2br w:val="nil"/>
                    <w:tr2bl w:val="nil"/>
                  </w:tcBorders>
                  <w:vAlign w:val="center"/>
                </w:tcPr>
                <w:p w14:paraId="0651E8CC">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150</w:t>
                  </w:r>
                </w:p>
              </w:tc>
            </w:tr>
          </w:tbl>
          <w:p w14:paraId="753CA856">
            <w:pPr>
              <w:pStyle w:val="2"/>
              <w:keepNext w:val="0"/>
              <w:keepLines w:val="0"/>
              <w:suppressLineNumbers w:val="0"/>
              <w:tabs>
                <w:tab w:val="left" w:pos="2760"/>
              </w:tabs>
              <w:spacing w:before="0" w:beforeAutospacing="0" w:after="0" w:afterAutospacing="0" w:line="372" w:lineRule="auto"/>
              <w:ind w:left="0" w:right="0" w:firstLine="482" w:firstLineChars="200"/>
              <w:rPr>
                <w:rFonts w:hint="default" w:ascii="Times New Roman" w:hAnsi="Times New Roman" w:eastAsia="宋体" w:cs="Times New Roman"/>
                <w:b/>
                <w:bCs/>
                <w:color w:val="auto"/>
                <w:highlight w:val="none"/>
              </w:rPr>
            </w:pPr>
            <w:r>
              <w:rPr>
                <w:rFonts w:hint="eastAsia" w:ascii="Times New Roman" w:hAnsi="Times New Roman" w:cs="Times New Roman"/>
                <w:b/>
                <w:bCs/>
                <w:color w:val="auto"/>
                <w:highlight w:val="none"/>
                <w:lang w:val="en-US" w:eastAsia="zh-CN"/>
              </w:rPr>
              <w:t xml:space="preserve">1.1.2 </w:t>
            </w:r>
            <w:r>
              <w:rPr>
                <w:rFonts w:hint="default" w:ascii="Times New Roman" w:hAnsi="Times New Roman" w:eastAsia="宋体" w:cs="Times New Roman"/>
                <w:b/>
                <w:bCs/>
                <w:color w:val="auto"/>
                <w:highlight w:val="none"/>
                <w:lang w:val="en-US" w:eastAsia="zh-CN"/>
              </w:rPr>
              <w:t>无</w:t>
            </w:r>
            <w:r>
              <w:rPr>
                <w:rFonts w:hint="default" w:ascii="Times New Roman" w:hAnsi="Times New Roman" w:eastAsia="宋体" w:cs="Times New Roman"/>
                <w:b/>
                <w:bCs/>
                <w:color w:val="auto"/>
                <w:highlight w:val="none"/>
              </w:rPr>
              <w:t>组织废气</w:t>
            </w:r>
          </w:p>
          <w:p w14:paraId="6FDE4F9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玉米过筛和清理</w:t>
            </w:r>
            <w:r>
              <w:rPr>
                <w:rFonts w:hint="default" w:ascii="Times New Roman" w:hAnsi="Times New Roman" w:eastAsia="宋体" w:cs="Times New Roman"/>
                <w:color w:val="auto"/>
                <w:sz w:val="24"/>
                <w:szCs w:val="24"/>
                <w:highlight w:val="none"/>
              </w:rPr>
              <w:t>时产生</w:t>
            </w:r>
            <w:r>
              <w:rPr>
                <w:rFonts w:hint="default" w:ascii="Times New Roman" w:hAnsi="Times New Roman" w:eastAsia="宋体" w:cs="Times New Roman"/>
                <w:color w:val="auto"/>
                <w:sz w:val="24"/>
                <w:szCs w:val="24"/>
                <w:highlight w:val="none"/>
                <w:lang w:eastAsia="zh-CN"/>
              </w:rPr>
              <w:t>一定</w:t>
            </w:r>
            <w:r>
              <w:rPr>
                <w:rFonts w:hint="default" w:ascii="Times New Roman" w:hAnsi="Times New Roman" w:eastAsia="宋体" w:cs="Times New Roman"/>
                <w:color w:val="auto"/>
                <w:sz w:val="24"/>
                <w:szCs w:val="24"/>
                <w:highlight w:val="none"/>
              </w:rPr>
              <w:t>粉尘，根据《逸散性工业粉尘控制技术（中国环境科学出版社）》，</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第五</w:t>
            </w:r>
            <w:r>
              <w:rPr>
                <w:rFonts w:hint="eastAsia" w:ascii="宋体" w:hAnsi="宋体" w:eastAsia="宋体" w:cs="宋体"/>
                <w:color w:val="auto"/>
                <w:sz w:val="24"/>
                <w:szCs w:val="24"/>
                <w:highlight w:val="none"/>
              </w:rPr>
              <w:t>章 谷物贮存”中“</w:t>
            </w:r>
            <w:r>
              <w:rPr>
                <w:rFonts w:hint="eastAsia" w:ascii="宋体" w:hAnsi="宋体" w:eastAsia="宋体" w:cs="宋体"/>
                <w:color w:val="auto"/>
                <w:sz w:val="24"/>
                <w:szCs w:val="24"/>
                <w:highlight w:val="none"/>
                <w:lang w:eastAsia="zh-CN"/>
              </w:rPr>
              <w:t>过筛和清理</w:t>
            </w:r>
            <w:r>
              <w:rPr>
                <w:rFonts w:hint="eastAsia" w:ascii="宋体" w:hAnsi="宋体" w:eastAsia="宋体" w:cs="宋体"/>
                <w:color w:val="auto"/>
                <w:sz w:val="24"/>
                <w:szCs w:val="24"/>
                <w:highlight w:val="none"/>
              </w:rPr>
              <w:t>”的产尘系</w:t>
            </w:r>
            <w:r>
              <w:rPr>
                <w:rFonts w:hint="default" w:ascii="Times New Roman" w:hAnsi="Times New Roman" w:eastAsia="宋体" w:cs="Times New Roman"/>
                <w:color w:val="auto"/>
                <w:sz w:val="24"/>
                <w:szCs w:val="24"/>
                <w:highlight w:val="none"/>
              </w:rPr>
              <w:t>数为</w:t>
            </w:r>
            <w:r>
              <w:rPr>
                <w:rFonts w:hint="default" w:ascii="Times New Roman" w:hAnsi="Times New Roman" w:eastAsia="宋体" w:cs="Times New Roman"/>
                <w:color w:val="auto"/>
                <w:sz w:val="24"/>
                <w:szCs w:val="24"/>
                <w:highlight w:val="none"/>
                <w:lang w:val="en-US" w:eastAsia="zh-CN"/>
              </w:rPr>
              <w:t>0.2</w:t>
            </w:r>
            <w:r>
              <w:rPr>
                <w:rFonts w:hint="default" w:ascii="Times New Roman" w:hAnsi="Times New Roman" w:eastAsia="宋体" w:cs="Times New Roman"/>
                <w:color w:val="auto"/>
                <w:sz w:val="24"/>
                <w:szCs w:val="24"/>
                <w:highlight w:val="none"/>
              </w:rPr>
              <w:t>kg/t（</w:t>
            </w:r>
            <w:r>
              <w:rPr>
                <w:rFonts w:hint="default" w:ascii="Times New Roman" w:hAnsi="Times New Roman" w:eastAsia="宋体" w:cs="Times New Roman"/>
                <w:color w:val="auto"/>
                <w:sz w:val="24"/>
                <w:szCs w:val="24"/>
                <w:highlight w:val="none"/>
                <w:lang w:eastAsia="zh-CN"/>
              </w:rPr>
              <w:t>过筛和清理料</w:t>
            </w:r>
            <w:r>
              <w:rPr>
                <w:rFonts w:hint="default" w:ascii="Times New Roman" w:hAnsi="Times New Roman" w:eastAsia="宋体" w:cs="Times New Roman"/>
                <w:color w:val="auto"/>
                <w:sz w:val="24"/>
                <w:szCs w:val="24"/>
                <w:highlight w:val="none"/>
              </w:rPr>
              <w:t>），进入烘干塔</w:t>
            </w:r>
            <w:r>
              <w:rPr>
                <w:rFonts w:hint="default" w:ascii="Times New Roman" w:hAnsi="Times New Roman" w:eastAsia="宋体" w:cs="Times New Roman"/>
                <w:color w:val="auto"/>
                <w:sz w:val="24"/>
                <w:szCs w:val="24"/>
                <w:highlight w:val="none"/>
                <w:lang w:eastAsia="zh-CN"/>
              </w:rPr>
              <w:t>玉米</w:t>
            </w:r>
            <w:r>
              <w:rPr>
                <w:rFonts w:hint="default" w:ascii="Times New Roman" w:hAnsi="Times New Roman" w:eastAsia="宋体" w:cs="Times New Roman"/>
                <w:color w:val="auto"/>
                <w:sz w:val="24"/>
                <w:szCs w:val="24"/>
                <w:highlight w:val="none"/>
              </w:rPr>
              <w:t>量为</w:t>
            </w:r>
            <w:r>
              <w:rPr>
                <w:rFonts w:hint="eastAsia" w:cs="Times New Roman"/>
                <w:color w:val="auto"/>
                <w:sz w:val="24"/>
                <w:szCs w:val="24"/>
                <w:highlight w:val="none"/>
                <w:lang w:val="en-US" w:eastAsia="zh-CN"/>
              </w:rPr>
              <w:t>123</w:t>
            </w:r>
            <w:r>
              <w:rPr>
                <w:rFonts w:hint="default" w:ascii="Times New Roman" w:hAnsi="Times New Roman" w:eastAsia="宋体" w:cs="Times New Roman"/>
                <w:color w:val="auto"/>
                <w:sz w:val="24"/>
                <w:szCs w:val="24"/>
                <w:highlight w:val="none"/>
                <w:lang w:val="en-US" w:eastAsia="zh-CN"/>
              </w:rPr>
              <w:t>000</w:t>
            </w:r>
            <w:r>
              <w:rPr>
                <w:rFonts w:hint="default" w:ascii="Times New Roman" w:hAnsi="Times New Roman" w:eastAsia="宋体" w:cs="Times New Roman"/>
                <w:color w:val="auto"/>
                <w:sz w:val="24"/>
                <w:szCs w:val="24"/>
                <w:highlight w:val="none"/>
              </w:rPr>
              <w:t>t/a，产生粉尘量</w:t>
            </w:r>
            <w:r>
              <w:rPr>
                <w:rFonts w:hint="eastAsia" w:cs="Times New Roman"/>
                <w:color w:val="auto"/>
                <w:sz w:val="24"/>
                <w:szCs w:val="24"/>
                <w:highlight w:val="none"/>
                <w:lang w:val="en-US" w:eastAsia="zh-CN"/>
              </w:rPr>
              <w:t>24.6</w:t>
            </w:r>
            <w:r>
              <w:rPr>
                <w:rFonts w:hint="eastAsia" w:ascii="Times New Roman" w:hAnsi="Times New Roman" w:eastAsia="宋体" w:cs="Times New Roman"/>
                <w:color w:val="auto"/>
                <w:sz w:val="24"/>
                <w:szCs w:val="24"/>
                <w:highlight w:val="none"/>
                <w:lang w:val="en-US" w:eastAsia="zh-CN"/>
              </w:rPr>
              <w:t>t/a</w:t>
            </w:r>
            <w:r>
              <w:rPr>
                <w:rFonts w:hint="eastAsia" w:cs="Times New Roman"/>
                <w:color w:val="auto"/>
                <w:sz w:val="24"/>
                <w:szCs w:val="24"/>
                <w:highlight w:val="none"/>
                <w:lang w:val="en-US" w:eastAsia="zh-CN"/>
              </w:rPr>
              <w:t>（20.5</w:t>
            </w:r>
            <w:r>
              <w:rPr>
                <w:rFonts w:hint="eastAsia"/>
                <w:color w:val="auto"/>
                <w:highlight w:val="none"/>
                <w:lang w:val="en-US" w:eastAsia="zh-CN"/>
              </w:rPr>
              <w:t>kg</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h</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w:t>
            </w:r>
          </w:p>
          <w:p w14:paraId="6842A98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过筛和清理废气</w:t>
            </w:r>
            <w:r>
              <w:rPr>
                <w:rFonts w:hint="default" w:ascii="Times New Roman" w:hAnsi="Times New Roman" w:eastAsia="宋体" w:cs="Times New Roman"/>
                <w:color w:val="auto"/>
                <w:sz w:val="24"/>
                <w:szCs w:val="24"/>
                <w:highlight w:val="none"/>
              </w:rPr>
              <w:t>采用集气罩进行收集</w:t>
            </w:r>
            <w:r>
              <w:rPr>
                <w:rFonts w:hint="default" w:ascii="Times New Roman" w:hAnsi="Times New Roman" w:eastAsia="宋体" w:cs="Times New Roman"/>
                <w:color w:val="auto"/>
                <w:sz w:val="24"/>
                <w:szCs w:val="24"/>
                <w:highlight w:val="none"/>
                <w:lang w:val="en-US" w:eastAsia="zh-CN"/>
              </w:rPr>
              <w:t>，集气罩收集效率按90%计，</w:t>
            </w:r>
            <w:r>
              <w:rPr>
                <w:rFonts w:hint="default" w:ascii="Times New Roman" w:hAnsi="Times New Roman" w:eastAsia="宋体" w:cs="Times New Roman"/>
                <w:color w:val="auto"/>
                <w:sz w:val="24"/>
                <w:szCs w:val="20"/>
                <w:highlight w:val="none"/>
              </w:rPr>
              <w:t>收集的粉尘</w:t>
            </w:r>
            <w:r>
              <w:rPr>
                <w:rFonts w:hint="eastAsia" w:ascii="Times New Roman" w:hAnsi="Times New Roman" w:eastAsia="宋体" w:cs="Times New Roman"/>
                <w:color w:val="auto"/>
                <w:sz w:val="24"/>
                <w:szCs w:val="20"/>
                <w:highlight w:val="none"/>
                <w:lang w:val="en-US" w:eastAsia="zh-CN"/>
              </w:rPr>
              <w:t>引至自带</w:t>
            </w:r>
            <w:r>
              <w:rPr>
                <w:rFonts w:hint="default" w:ascii="Times New Roman" w:hAnsi="Times New Roman" w:eastAsia="宋体" w:cs="Times New Roman"/>
                <w:color w:val="auto"/>
                <w:sz w:val="24"/>
                <w:szCs w:val="20"/>
                <w:highlight w:val="none"/>
              </w:rPr>
              <w:t>布袋除尘器处理</w:t>
            </w:r>
            <w:r>
              <w:rPr>
                <w:rFonts w:hint="default" w:ascii="Times New Roman" w:hAnsi="Times New Roman" w:eastAsia="宋体" w:cs="Times New Roman"/>
                <w:color w:val="auto"/>
                <w:sz w:val="24"/>
                <w:szCs w:val="20"/>
                <w:highlight w:val="none"/>
                <w:lang w:eastAsia="zh-CN"/>
              </w:rPr>
              <w:t>后</w:t>
            </w:r>
            <w:r>
              <w:rPr>
                <w:rFonts w:hint="eastAsia" w:ascii="Times New Roman" w:hAnsi="Times New Roman" w:eastAsia="宋体" w:cs="Times New Roman"/>
                <w:color w:val="auto"/>
                <w:sz w:val="24"/>
                <w:szCs w:val="20"/>
                <w:highlight w:val="none"/>
                <w:lang w:val="en-US" w:eastAsia="zh-CN"/>
              </w:rPr>
              <w:t>在车间内排放</w:t>
            </w:r>
            <w:r>
              <w:rPr>
                <w:rFonts w:hint="default" w:ascii="Times New Roman" w:hAnsi="Times New Roman" w:eastAsia="宋体" w:cs="Times New Roman"/>
                <w:color w:val="auto"/>
                <w:sz w:val="24"/>
                <w:szCs w:val="20"/>
                <w:highlight w:val="none"/>
                <w:lang w:val="en-US" w:eastAsia="zh-CN"/>
              </w:rPr>
              <w:t>，</w:t>
            </w:r>
            <w:r>
              <w:rPr>
                <w:rFonts w:hint="default" w:ascii="Times New Roman" w:hAnsi="Times New Roman" w:eastAsia="宋体" w:cs="Times New Roman"/>
                <w:color w:val="auto"/>
                <w:sz w:val="24"/>
                <w:szCs w:val="20"/>
                <w:highlight w:val="none"/>
              </w:rPr>
              <w:t>布袋除尘器处理效率不低于</w:t>
            </w:r>
            <w:r>
              <w:rPr>
                <w:rFonts w:hint="default" w:ascii="Times New Roman" w:hAnsi="Times New Roman" w:eastAsia="宋体" w:cs="Times New Roman"/>
                <w:color w:val="auto"/>
                <w:sz w:val="24"/>
                <w:szCs w:val="20"/>
                <w:highlight w:val="none"/>
                <w:lang w:val="en-US" w:eastAsia="zh-CN"/>
              </w:rPr>
              <w:t>99</w:t>
            </w:r>
            <w:r>
              <w:rPr>
                <w:rFonts w:hint="default" w:ascii="Times New Roman" w:hAnsi="Times New Roman" w:eastAsia="宋体" w:cs="Times New Roman"/>
                <w:color w:val="auto"/>
                <w:sz w:val="24"/>
                <w:szCs w:val="20"/>
                <w:highlight w:val="none"/>
              </w:rPr>
              <w:t>%，则处理后的粉尘排放量为</w:t>
            </w:r>
            <w:r>
              <w:rPr>
                <w:rFonts w:hint="eastAsia" w:cs="Times New Roman"/>
                <w:color w:val="auto"/>
                <w:sz w:val="24"/>
                <w:szCs w:val="20"/>
                <w:highlight w:val="none"/>
                <w:lang w:val="en-US" w:eastAsia="zh-CN"/>
              </w:rPr>
              <w:t>0.2214</w:t>
            </w:r>
            <w:r>
              <w:rPr>
                <w:rFonts w:hint="default" w:ascii="Times New Roman" w:hAnsi="Times New Roman" w:eastAsia="宋体" w:cs="Times New Roman"/>
                <w:color w:val="auto"/>
                <w:sz w:val="24"/>
                <w:szCs w:val="20"/>
                <w:highlight w:val="none"/>
              </w:rPr>
              <w:t>t/a，</w:t>
            </w:r>
            <w:r>
              <w:rPr>
                <w:rFonts w:hint="default" w:ascii="Times New Roman" w:hAnsi="Times New Roman" w:eastAsia="宋体" w:cs="Times New Roman"/>
                <w:color w:val="auto"/>
                <w:sz w:val="24"/>
                <w:szCs w:val="20"/>
                <w:highlight w:val="none"/>
                <w:lang w:val="en-US" w:eastAsia="zh-CN"/>
              </w:rPr>
              <w:t>0.</w:t>
            </w:r>
            <w:r>
              <w:rPr>
                <w:rFonts w:hint="eastAsia" w:cs="Times New Roman"/>
                <w:color w:val="auto"/>
                <w:sz w:val="24"/>
                <w:szCs w:val="20"/>
                <w:highlight w:val="none"/>
                <w:lang w:val="en-US" w:eastAsia="zh-CN"/>
              </w:rPr>
              <w:t>1845</w:t>
            </w:r>
            <w:r>
              <w:rPr>
                <w:rFonts w:hint="default" w:ascii="Times New Roman" w:hAnsi="Times New Roman" w:eastAsia="宋体" w:cs="Times New Roman"/>
                <w:color w:val="auto"/>
                <w:sz w:val="24"/>
                <w:szCs w:val="20"/>
                <w:highlight w:val="none"/>
              </w:rPr>
              <w:t>kg/h</w:t>
            </w:r>
            <w:r>
              <w:rPr>
                <w:rFonts w:hint="default" w:ascii="Times New Roman" w:hAnsi="Times New Roman" w:eastAsia="宋体" w:cs="Times New Roman"/>
                <w:color w:val="auto"/>
                <w:sz w:val="24"/>
                <w:szCs w:val="24"/>
                <w:highlight w:val="none"/>
                <w:lang w:eastAsia="zh-CN"/>
              </w:rPr>
              <w:t>；另外还有</w:t>
            </w:r>
            <w:r>
              <w:rPr>
                <w:rFonts w:hint="default" w:ascii="Times New Roman" w:hAnsi="Times New Roman" w:eastAsia="宋体" w:cs="Times New Roman"/>
                <w:color w:val="auto"/>
                <w:sz w:val="24"/>
                <w:szCs w:val="24"/>
                <w:highlight w:val="none"/>
                <w:lang w:val="en-US" w:eastAsia="zh-CN"/>
              </w:rPr>
              <w:t>10%的无组织散逸废气，则未收集散逸无组织废气为</w:t>
            </w:r>
            <w:r>
              <w:rPr>
                <w:rFonts w:hint="eastAsia" w:cs="Times New Roman"/>
                <w:color w:val="auto"/>
                <w:sz w:val="24"/>
                <w:szCs w:val="24"/>
                <w:highlight w:val="none"/>
                <w:lang w:val="en-US" w:eastAsia="zh-CN"/>
              </w:rPr>
              <w:t>2.46</w:t>
            </w:r>
            <w:r>
              <w:rPr>
                <w:rFonts w:hint="default" w:ascii="Times New Roman" w:hAnsi="Times New Roman" w:eastAsia="宋体" w:cs="Times New Roman"/>
                <w:color w:val="auto"/>
                <w:sz w:val="24"/>
                <w:szCs w:val="20"/>
                <w:highlight w:val="none"/>
              </w:rPr>
              <w:t>t/a</w:t>
            </w:r>
            <w:r>
              <w:rPr>
                <w:rFonts w:hint="default" w:ascii="Times New Roman" w:hAnsi="Times New Roman" w:eastAsia="宋体" w:cs="Times New Roman"/>
                <w:color w:val="auto"/>
                <w:sz w:val="24"/>
                <w:szCs w:val="20"/>
                <w:highlight w:val="none"/>
                <w:lang w:eastAsia="zh-CN"/>
              </w:rPr>
              <w:t>，</w:t>
            </w:r>
            <w:r>
              <w:rPr>
                <w:rFonts w:hint="eastAsia" w:cs="Times New Roman"/>
                <w:color w:val="auto"/>
                <w:sz w:val="24"/>
                <w:szCs w:val="20"/>
                <w:highlight w:val="none"/>
                <w:lang w:val="en-US" w:eastAsia="zh-CN"/>
              </w:rPr>
              <w:t>2.05</w:t>
            </w:r>
            <w:r>
              <w:rPr>
                <w:rFonts w:hint="default" w:ascii="Times New Roman" w:hAnsi="Times New Roman" w:eastAsia="宋体" w:cs="Times New Roman"/>
                <w:color w:val="auto"/>
                <w:sz w:val="24"/>
                <w:szCs w:val="20"/>
                <w:highlight w:val="none"/>
              </w:rPr>
              <w:t>kg/h</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4"/>
                <w:highlight w:val="none"/>
                <w:lang w:val="en-US" w:eastAsia="zh-CN"/>
              </w:rPr>
              <w:t>玉米过筛和清理废气</w:t>
            </w:r>
            <w:r>
              <w:rPr>
                <w:rFonts w:hint="eastAsia" w:ascii="Times New Roman" w:hAnsi="Times New Roman" w:eastAsia="宋体" w:cs="Times New Roman"/>
                <w:color w:val="auto"/>
                <w:sz w:val="24"/>
                <w:szCs w:val="20"/>
                <w:highlight w:val="none"/>
                <w:lang w:val="en-US" w:eastAsia="zh-CN"/>
              </w:rPr>
              <w:t>无组织废气总计产生量为</w:t>
            </w:r>
            <w:r>
              <w:rPr>
                <w:rFonts w:hint="eastAsia" w:cs="Times New Roman"/>
                <w:color w:val="auto"/>
                <w:sz w:val="24"/>
                <w:szCs w:val="20"/>
                <w:highlight w:val="none"/>
                <w:lang w:val="en-US" w:eastAsia="zh-CN"/>
              </w:rPr>
              <w:t>2.6814</w:t>
            </w:r>
            <w:r>
              <w:rPr>
                <w:rFonts w:hint="eastAsia" w:ascii="Times New Roman" w:hAnsi="Times New Roman" w:eastAsia="宋体" w:cs="Times New Roman"/>
                <w:color w:val="auto"/>
                <w:sz w:val="24"/>
                <w:szCs w:val="20"/>
                <w:highlight w:val="none"/>
                <w:lang w:val="en-US" w:eastAsia="zh-CN"/>
              </w:rPr>
              <w:t>t/a，</w:t>
            </w:r>
            <w:r>
              <w:rPr>
                <w:rFonts w:hint="eastAsia" w:cs="Times New Roman"/>
                <w:color w:val="auto"/>
                <w:sz w:val="24"/>
                <w:szCs w:val="20"/>
                <w:highlight w:val="none"/>
                <w:lang w:val="en-US" w:eastAsia="zh-CN"/>
              </w:rPr>
              <w:t>2.2345</w:t>
            </w:r>
            <w:r>
              <w:rPr>
                <w:rFonts w:hint="eastAsia" w:ascii="Times New Roman" w:hAnsi="Times New Roman" w:eastAsia="宋体" w:cs="Times New Roman"/>
                <w:color w:val="auto"/>
                <w:sz w:val="24"/>
                <w:szCs w:val="20"/>
                <w:highlight w:val="none"/>
                <w:lang w:val="en-US" w:eastAsia="zh-CN"/>
              </w:rPr>
              <w:t>kg/h。</w:t>
            </w:r>
          </w:p>
          <w:p w14:paraId="50A850B7">
            <w:pPr>
              <w:pStyle w:val="2"/>
              <w:keepNext w:val="0"/>
              <w:keepLines w:val="0"/>
              <w:suppressLineNumbers w:val="0"/>
              <w:tabs>
                <w:tab w:val="left" w:pos="2760"/>
              </w:tabs>
              <w:spacing w:before="0" w:beforeAutospacing="0" w:after="0" w:afterAutospacing="0" w:line="372" w:lineRule="auto"/>
              <w:ind w:left="0" w:right="0"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w:t>
            </w:r>
            <w:r>
              <w:rPr>
                <w:rFonts w:hint="default" w:ascii="Times New Roman" w:hAnsi="Times New Roman" w:eastAsia="宋体" w:cs="Times New Roman"/>
                <w:color w:val="auto"/>
                <w:highlight w:val="none"/>
                <w:lang w:val="en-US" w:eastAsia="zh-CN"/>
              </w:rPr>
              <w:t>装卸粉尘</w:t>
            </w:r>
          </w:p>
          <w:p w14:paraId="25533A4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本项目粮食装卸过程中会产生废气，主要污染物为颗粒物，根据《逸散性工业粉尘控制技术》中谷物贮仓，卡车装卸粉尘系数为0.</w:t>
            </w:r>
            <w:r>
              <w:rPr>
                <w:rFonts w:hint="default" w:ascii="Times New Roman" w:hAnsi="Times New Roman" w:eastAsia="宋体" w:cs="Times New Roman"/>
                <w:color w:val="auto"/>
                <w:sz w:val="24"/>
                <w:szCs w:val="24"/>
                <w:highlight w:val="none"/>
                <w:lang w:val="en-US" w:eastAsia="zh-CN"/>
              </w:rPr>
              <w:t>16</w:t>
            </w:r>
            <w:r>
              <w:rPr>
                <w:rFonts w:hint="default" w:ascii="Times New Roman" w:hAnsi="Times New Roman" w:eastAsia="宋体" w:cs="Times New Roman"/>
                <w:color w:val="auto"/>
                <w:sz w:val="24"/>
                <w:szCs w:val="24"/>
                <w:highlight w:val="none"/>
                <w:lang w:eastAsia="zh-CN"/>
              </w:rPr>
              <w:t>kg/t</w:t>
            </w:r>
            <w:r>
              <w:rPr>
                <w:rFonts w:hint="default" w:ascii="Times New Roman" w:hAnsi="Times New Roman" w:eastAsia="宋体" w:cs="Times New Roman"/>
                <w:color w:val="auto"/>
                <w:sz w:val="24"/>
                <w:szCs w:val="24"/>
                <w:highlight w:val="none"/>
                <w:lang w:val="en-US" w:eastAsia="zh-CN"/>
              </w:rPr>
              <w:t>~1.75</w:t>
            </w:r>
            <w:r>
              <w:rPr>
                <w:rFonts w:hint="default" w:ascii="Times New Roman" w:hAnsi="Times New Roman" w:eastAsia="宋体" w:cs="Times New Roman"/>
                <w:color w:val="auto"/>
                <w:sz w:val="24"/>
                <w:szCs w:val="24"/>
                <w:highlight w:val="none"/>
                <w:lang w:eastAsia="zh-CN"/>
              </w:rPr>
              <w:t>（卸料），本项目装卸</w:t>
            </w:r>
            <w:r>
              <w:rPr>
                <w:rFonts w:hint="default" w:ascii="Times New Roman" w:hAnsi="Times New Roman" w:eastAsia="宋体" w:cs="Times New Roman"/>
                <w:color w:val="auto"/>
                <w:sz w:val="24"/>
                <w:szCs w:val="24"/>
                <w:highlight w:val="none"/>
                <w:lang w:val="en-US" w:eastAsia="zh-CN"/>
              </w:rPr>
              <w:t>过程主要为湿粮，其粉尘含量较小，因此粉尘产生系数按照0.16kg/t进行估算，</w:t>
            </w:r>
            <w:r>
              <w:rPr>
                <w:rFonts w:hint="default" w:ascii="Times New Roman" w:hAnsi="Times New Roman" w:eastAsia="宋体" w:cs="Times New Roman"/>
                <w:color w:val="auto"/>
                <w:sz w:val="24"/>
                <w:szCs w:val="24"/>
                <w:highlight w:val="none"/>
                <w:lang w:eastAsia="zh-CN"/>
              </w:rPr>
              <w:t>玉米量</w:t>
            </w:r>
            <w:r>
              <w:rPr>
                <w:rFonts w:hint="eastAsia" w:cs="Times New Roman"/>
                <w:color w:val="auto"/>
                <w:sz w:val="24"/>
                <w:szCs w:val="24"/>
                <w:highlight w:val="none"/>
                <w:lang w:val="en-US" w:eastAsia="zh-CN"/>
              </w:rPr>
              <w:t>123</w:t>
            </w:r>
            <w:r>
              <w:rPr>
                <w:rFonts w:hint="default" w:ascii="Times New Roman" w:hAnsi="Times New Roman" w:eastAsia="宋体" w:cs="Times New Roman"/>
                <w:color w:val="auto"/>
                <w:sz w:val="24"/>
                <w:szCs w:val="24"/>
                <w:highlight w:val="none"/>
                <w:lang w:eastAsia="zh-CN"/>
              </w:rPr>
              <w:t>000</w:t>
            </w:r>
            <w:r>
              <w:rPr>
                <w:rFonts w:hint="eastAsia" w:cs="Times New Roman"/>
                <w:color w:val="auto"/>
                <w:sz w:val="24"/>
                <w:szCs w:val="24"/>
                <w:highlight w:val="none"/>
                <w:lang w:val="en-US" w:eastAsia="zh-CN"/>
              </w:rPr>
              <w:t>t</w:t>
            </w:r>
            <w:r>
              <w:rPr>
                <w:rFonts w:hint="default" w:ascii="Times New Roman" w:hAnsi="Times New Roman" w:eastAsia="宋体" w:cs="Times New Roman"/>
                <w:color w:val="auto"/>
                <w:sz w:val="24"/>
                <w:szCs w:val="24"/>
                <w:highlight w:val="none"/>
                <w:lang w:eastAsia="zh-CN"/>
              </w:rPr>
              <w:t>/a，粉尘产生量为</w:t>
            </w:r>
            <w:r>
              <w:rPr>
                <w:rFonts w:hint="eastAsia" w:cs="Times New Roman"/>
                <w:color w:val="auto"/>
                <w:sz w:val="24"/>
                <w:szCs w:val="24"/>
                <w:highlight w:val="none"/>
                <w:lang w:val="en-US" w:eastAsia="zh-CN"/>
              </w:rPr>
              <w:t>19.68</w:t>
            </w:r>
            <w:r>
              <w:rPr>
                <w:rFonts w:hint="default" w:ascii="Times New Roman" w:hAnsi="Times New Roman" w:eastAsia="宋体" w:cs="Times New Roman"/>
                <w:color w:val="auto"/>
                <w:sz w:val="24"/>
                <w:szCs w:val="24"/>
                <w:highlight w:val="none"/>
                <w:lang w:eastAsia="zh-CN"/>
              </w:rPr>
              <w:t>t/a，粮食的装卸时间约为</w:t>
            </w:r>
            <w:r>
              <w:rPr>
                <w:rFonts w:hint="eastAsia" w:cs="Times New Roman"/>
                <w:color w:val="auto"/>
                <w:sz w:val="24"/>
                <w:szCs w:val="24"/>
                <w:highlight w:val="none"/>
                <w:lang w:val="en-US" w:eastAsia="zh-CN"/>
              </w:rPr>
              <w:t>1200</w:t>
            </w:r>
            <w:r>
              <w:rPr>
                <w:rFonts w:hint="default" w:ascii="Times New Roman" w:hAnsi="Times New Roman" w:eastAsia="宋体" w:cs="Times New Roman"/>
                <w:color w:val="auto"/>
                <w:sz w:val="24"/>
                <w:szCs w:val="24"/>
                <w:highlight w:val="none"/>
                <w:lang w:eastAsia="zh-CN"/>
              </w:rPr>
              <w:t>h/a，粉尘排放速率为</w:t>
            </w:r>
            <w:r>
              <w:rPr>
                <w:rFonts w:hint="eastAsia" w:cs="Times New Roman"/>
                <w:color w:val="auto"/>
                <w:sz w:val="24"/>
                <w:szCs w:val="24"/>
                <w:highlight w:val="none"/>
                <w:lang w:val="en-US" w:eastAsia="zh-CN"/>
              </w:rPr>
              <w:t>16.4</w:t>
            </w:r>
            <w:r>
              <w:rPr>
                <w:rFonts w:hint="default" w:ascii="Times New Roman" w:hAnsi="Times New Roman" w:eastAsia="宋体" w:cs="Times New Roman"/>
                <w:color w:val="auto"/>
                <w:sz w:val="24"/>
                <w:szCs w:val="24"/>
                <w:highlight w:val="none"/>
                <w:lang w:eastAsia="zh-CN"/>
              </w:rPr>
              <w:t>kg/h，粮食装卸粉尘绝大多数将受到重力的作用回落到地面，采取全封闭产品库、减小装卸高度等降尘措施，粉尘可降低</w:t>
            </w:r>
            <w:r>
              <w:rPr>
                <w:rFonts w:hint="default" w:ascii="Times New Roman" w:hAnsi="Times New Roman" w:eastAsia="宋体" w:cs="Times New Roman"/>
                <w:color w:val="auto"/>
                <w:sz w:val="24"/>
                <w:szCs w:val="24"/>
                <w:highlight w:val="none"/>
                <w:lang w:val="en-US" w:eastAsia="zh-CN"/>
              </w:rPr>
              <w:t>80</w:t>
            </w:r>
            <w:r>
              <w:rPr>
                <w:rFonts w:hint="default" w:ascii="Times New Roman" w:hAnsi="Times New Roman" w:eastAsia="宋体" w:cs="Times New Roman"/>
                <w:color w:val="auto"/>
                <w:sz w:val="24"/>
                <w:szCs w:val="24"/>
                <w:highlight w:val="none"/>
                <w:lang w:eastAsia="zh-CN"/>
              </w:rPr>
              <w:t>%，粉尘排放量为</w:t>
            </w:r>
            <w:r>
              <w:rPr>
                <w:rFonts w:hint="eastAsia" w:cs="Times New Roman"/>
                <w:color w:val="auto"/>
                <w:sz w:val="24"/>
                <w:szCs w:val="24"/>
                <w:highlight w:val="none"/>
                <w:lang w:val="en-US" w:eastAsia="zh-CN"/>
              </w:rPr>
              <w:t>3.936</w:t>
            </w:r>
            <w:r>
              <w:rPr>
                <w:rFonts w:hint="default" w:ascii="Times New Roman" w:hAnsi="Times New Roman" w:eastAsia="宋体" w:cs="Times New Roman"/>
                <w:color w:val="auto"/>
                <w:sz w:val="24"/>
                <w:szCs w:val="24"/>
                <w:highlight w:val="none"/>
                <w:lang w:eastAsia="zh-CN"/>
              </w:rPr>
              <w:t>t/a，排放速率为</w:t>
            </w:r>
            <w:r>
              <w:rPr>
                <w:rFonts w:hint="eastAsia" w:cs="Times New Roman"/>
                <w:color w:val="auto"/>
                <w:sz w:val="24"/>
                <w:szCs w:val="24"/>
                <w:highlight w:val="none"/>
                <w:lang w:val="en-US" w:eastAsia="zh-CN"/>
              </w:rPr>
              <w:t>3.28</w:t>
            </w:r>
            <w:r>
              <w:rPr>
                <w:rFonts w:hint="default" w:ascii="Times New Roman" w:hAnsi="Times New Roman" w:eastAsia="宋体" w:cs="Times New Roman"/>
                <w:color w:val="auto"/>
                <w:sz w:val="24"/>
                <w:szCs w:val="24"/>
                <w:highlight w:val="none"/>
                <w:lang w:eastAsia="zh-CN"/>
              </w:rPr>
              <w:t>kg/h。采取以上降尘措施减少了装卸及输送原粮时产生扬尘对环境的影响。</w:t>
            </w:r>
          </w:p>
          <w:p w14:paraId="6DCD511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烘干粉尘</w:t>
            </w:r>
          </w:p>
          <w:p w14:paraId="441CDCC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玉米烘干过程中，会产生粉尘（主要为玉米红衣）随潮气排放。根据《逸散性工业粉尘控制技术》中，烘干粉尘产生系数为0.095</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0.55kg/t，本项目玉米已经筛分工序，粉尘大大减少，烘干粉尘产生系数按0.1kg/t计，粉尘产生量为</w:t>
            </w:r>
            <w:r>
              <w:rPr>
                <w:rFonts w:hint="eastAsia" w:cs="Times New Roman"/>
                <w:color w:val="auto"/>
                <w:sz w:val="24"/>
                <w:szCs w:val="24"/>
                <w:highlight w:val="none"/>
                <w:lang w:val="en-US" w:eastAsia="zh-CN"/>
              </w:rPr>
              <w:t>12.3</w:t>
            </w:r>
            <w:r>
              <w:rPr>
                <w:rFonts w:hint="default" w:ascii="Times New Roman" w:hAnsi="Times New Roman" w:eastAsia="宋体" w:cs="Times New Roman"/>
                <w:color w:val="auto"/>
                <w:sz w:val="24"/>
                <w:szCs w:val="24"/>
                <w:highlight w:val="none"/>
                <w:lang w:eastAsia="zh-CN"/>
              </w:rPr>
              <w:t>t/a，即</w:t>
            </w:r>
            <w:r>
              <w:rPr>
                <w:rFonts w:hint="eastAsia" w:cs="Times New Roman"/>
                <w:color w:val="auto"/>
                <w:sz w:val="24"/>
                <w:szCs w:val="24"/>
                <w:highlight w:val="none"/>
                <w:lang w:val="en-US" w:eastAsia="zh-CN"/>
              </w:rPr>
              <w:t>10.25</w:t>
            </w:r>
            <w:r>
              <w:rPr>
                <w:rFonts w:hint="default" w:ascii="Times New Roman" w:hAnsi="Times New Roman" w:eastAsia="宋体" w:cs="Times New Roman"/>
                <w:color w:val="auto"/>
                <w:sz w:val="24"/>
                <w:szCs w:val="24"/>
                <w:highlight w:val="none"/>
                <w:lang w:eastAsia="zh-CN"/>
              </w:rPr>
              <w:t>kg/h。烘干塔四面设置防尘罩，排潮口设金属抑尘网，除尘效率可达90%。经计算，粉尘排放量为</w:t>
            </w:r>
            <w:r>
              <w:rPr>
                <w:rFonts w:hint="eastAsia" w:cs="Times New Roman"/>
                <w:color w:val="auto"/>
                <w:sz w:val="24"/>
                <w:szCs w:val="24"/>
                <w:highlight w:val="none"/>
                <w:lang w:val="en-US" w:eastAsia="zh-CN"/>
              </w:rPr>
              <w:t>1.23</w:t>
            </w:r>
            <w:r>
              <w:rPr>
                <w:rFonts w:hint="default" w:ascii="Times New Roman" w:hAnsi="Times New Roman" w:eastAsia="宋体" w:cs="Times New Roman"/>
                <w:color w:val="auto"/>
                <w:sz w:val="24"/>
                <w:szCs w:val="24"/>
                <w:highlight w:val="none"/>
                <w:lang w:eastAsia="zh-CN"/>
              </w:rPr>
              <w:t>t/a，即</w:t>
            </w:r>
            <w:r>
              <w:rPr>
                <w:rFonts w:hint="eastAsia" w:cs="Times New Roman"/>
                <w:color w:val="auto"/>
                <w:sz w:val="24"/>
                <w:szCs w:val="24"/>
                <w:highlight w:val="none"/>
                <w:lang w:val="en-US" w:eastAsia="zh-CN"/>
              </w:rPr>
              <w:t>1.025</w:t>
            </w:r>
            <w:r>
              <w:rPr>
                <w:rFonts w:hint="default" w:ascii="Times New Roman" w:hAnsi="Times New Roman" w:eastAsia="宋体" w:cs="Times New Roman"/>
                <w:color w:val="auto"/>
                <w:sz w:val="24"/>
                <w:szCs w:val="24"/>
                <w:highlight w:val="none"/>
                <w:lang w:eastAsia="zh-CN"/>
              </w:rPr>
              <w:t>kg/h。</w:t>
            </w:r>
          </w:p>
          <w:p w14:paraId="3543ABB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传送带落料和提升机受料粉尘</w:t>
            </w:r>
          </w:p>
          <w:p w14:paraId="1929F67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本项目在地下料斗、烘前仓、滚筛机、烘干塔、烘后仓之间设有提升机和传送带用于转移运输粮食，在受料、落料过程中会产生粉尘。由于农用机械不断升级，粮食收割设备配备性能优良筛分装置，大部分</w:t>
            </w:r>
            <w:r>
              <w:rPr>
                <w:rFonts w:hint="eastAsia" w:cs="Times New Roman"/>
                <w:color w:val="auto"/>
                <w:sz w:val="24"/>
                <w:szCs w:val="24"/>
                <w:highlight w:val="none"/>
                <w:lang w:eastAsia="zh-CN"/>
              </w:rPr>
              <w:t>杂质</w:t>
            </w:r>
            <w:r>
              <w:rPr>
                <w:rFonts w:hint="default" w:ascii="Times New Roman" w:hAnsi="Times New Roman" w:eastAsia="宋体" w:cs="Times New Roman"/>
                <w:color w:val="auto"/>
                <w:sz w:val="24"/>
                <w:szCs w:val="24"/>
                <w:highlight w:val="none"/>
                <w:lang w:eastAsia="zh-CN"/>
              </w:rPr>
              <w:t>已在耕地上被去除，因此原料卸料时粉尘的产生量较少，主要污染物为颗粒物，根据《逸散性工业粉尘控制技术》中谷物贮仓，</w:t>
            </w:r>
            <w:r>
              <w:rPr>
                <w:rFonts w:hint="default" w:ascii="Times New Roman" w:hAnsi="Times New Roman" w:eastAsia="宋体" w:cs="Times New Roman"/>
                <w:color w:val="auto"/>
                <w:sz w:val="24"/>
                <w:szCs w:val="24"/>
                <w:highlight w:val="none"/>
                <w:lang w:val="en-US" w:eastAsia="zh-CN"/>
              </w:rPr>
              <w:t>卸料</w:t>
            </w:r>
            <w:r>
              <w:rPr>
                <w:rFonts w:hint="default" w:ascii="Times New Roman" w:hAnsi="Times New Roman" w:eastAsia="宋体" w:cs="Times New Roman"/>
                <w:color w:val="auto"/>
                <w:sz w:val="24"/>
                <w:szCs w:val="24"/>
                <w:highlight w:val="none"/>
                <w:lang w:eastAsia="zh-CN"/>
              </w:rPr>
              <w:t>粉尘系数为</w:t>
            </w:r>
            <w:r>
              <w:rPr>
                <w:rFonts w:hint="default" w:ascii="Times New Roman" w:hAnsi="Times New Roman" w:eastAsia="宋体" w:cs="Times New Roman"/>
                <w:color w:val="auto"/>
                <w:sz w:val="24"/>
                <w:szCs w:val="24"/>
                <w:highlight w:val="none"/>
                <w:lang w:val="en-US" w:eastAsia="zh-CN"/>
              </w:rPr>
              <w:t>0.16</w:t>
            </w:r>
            <w:r>
              <w:rPr>
                <w:rFonts w:hint="default" w:ascii="Times New Roman" w:hAnsi="Times New Roman" w:eastAsia="宋体" w:cs="Times New Roman"/>
                <w:color w:val="auto"/>
                <w:sz w:val="24"/>
                <w:szCs w:val="24"/>
                <w:highlight w:val="none"/>
                <w:lang w:eastAsia="zh-CN"/>
              </w:rPr>
              <w:t>kg/t，本项目转运和运输玉米量为</w:t>
            </w:r>
            <w:r>
              <w:rPr>
                <w:rFonts w:hint="eastAsia" w:cs="Times New Roman"/>
                <w:color w:val="auto"/>
                <w:sz w:val="24"/>
                <w:szCs w:val="24"/>
                <w:highlight w:val="none"/>
                <w:lang w:val="en-US" w:eastAsia="zh-CN"/>
              </w:rPr>
              <w:t>123</w:t>
            </w:r>
            <w:r>
              <w:rPr>
                <w:rFonts w:hint="default" w:ascii="Times New Roman" w:hAnsi="Times New Roman" w:eastAsia="宋体" w:cs="Times New Roman"/>
                <w:color w:val="auto"/>
                <w:sz w:val="24"/>
                <w:szCs w:val="24"/>
                <w:highlight w:val="none"/>
                <w:lang w:val="en-US" w:eastAsia="zh-CN"/>
              </w:rPr>
              <w:t>000</w:t>
            </w:r>
            <w:r>
              <w:rPr>
                <w:rFonts w:hint="default" w:ascii="Times New Roman" w:hAnsi="Times New Roman" w:eastAsia="宋体" w:cs="Times New Roman"/>
                <w:color w:val="auto"/>
                <w:sz w:val="24"/>
                <w:szCs w:val="24"/>
                <w:highlight w:val="none"/>
                <w:lang w:eastAsia="zh-CN"/>
              </w:rPr>
              <w:t>吨，粉尘产生量为</w:t>
            </w:r>
            <w:r>
              <w:rPr>
                <w:rFonts w:hint="eastAsia" w:cs="Times New Roman"/>
                <w:color w:val="auto"/>
                <w:sz w:val="24"/>
                <w:szCs w:val="24"/>
                <w:highlight w:val="none"/>
                <w:lang w:val="en-US" w:eastAsia="zh-CN"/>
              </w:rPr>
              <w:t>19.68</w:t>
            </w:r>
            <w:r>
              <w:rPr>
                <w:rFonts w:hint="default" w:ascii="Times New Roman" w:hAnsi="Times New Roman" w:eastAsia="宋体" w:cs="Times New Roman"/>
                <w:color w:val="auto"/>
                <w:sz w:val="24"/>
                <w:szCs w:val="24"/>
                <w:highlight w:val="none"/>
                <w:lang w:eastAsia="zh-CN"/>
              </w:rPr>
              <w:t>t/a，根据企业提供资料，玉米的转运和运输时间约为</w:t>
            </w:r>
            <w:r>
              <w:rPr>
                <w:rFonts w:hint="eastAsia" w:cs="Times New Roman"/>
                <w:color w:val="auto"/>
                <w:sz w:val="24"/>
                <w:szCs w:val="24"/>
                <w:highlight w:val="none"/>
                <w:lang w:val="en-US" w:eastAsia="zh-CN"/>
              </w:rPr>
              <w:t>1200</w:t>
            </w:r>
            <w:r>
              <w:rPr>
                <w:rFonts w:hint="default" w:ascii="Times New Roman" w:hAnsi="Times New Roman" w:eastAsia="宋体" w:cs="Times New Roman"/>
                <w:color w:val="auto"/>
                <w:sz w:val="24"/>
                <w:szCs w:val="24"/>
                <w:highlight w:val="none"/>
                <w:lang w:eastAsia="zh-CN"/>
              </w:rPr>
              <w:t>h/a，本项目采取输送传送带封闭设置，装卸区设置遮挡设施，根据《逸散性工业粉尘控制技术》采取上述措施后颗粒物排放量可减少约90%，颗粒物排放量</w:t>
            </w:r>
            <w:r>
              <w:rPr>
                <w:rFonts w:hint="eastAsia" w:cs="Times New Roman"/>
                <w:color w:val="auto"/>
                <w:sz w:val="24"/>
                <w:szCs w:val="24"/>
                <w:highlight w:val="none"/>
                <w:lang w:val="en-US" w:eastAsia="zh-CN"/>
              </w:rPr>
              <w:t>1.968</w:t>
            </w:r>
            <w:r>
              <w:rPr>
                <w:rFonts w:hint="default" w:ascii="Times New Roman" w:hAnsi="Times New Roman" w:eastAsia="宋体" w:cs="Times New Roman"/>
                <w:color w:val="auto"/>
                <w:sz w:val="24"/>
                <w:szCs w:val="24"/>
                <w:highlight w:val="none"/>
                <w:lang w:eastAsia="zh-CN"/>
              </w:rPr>
              <w:t>t/a，颗粒物排放速率为</w:t>
            </w:r>
            <w:r>
              <w:rPr>
                <w:rFonts w:hint="eastAsia" w:cs="Times New Roman"/>
                <w:color w:val="auto"/>
                <w:sz w:val="24"/>
                <w:szCs w:val="24"/>
                <w:highlight w:val="none"/>
                <w:lang w:val="en-US" w:eastAsia="zh-CN"/>
              </w:rPr>
              <w:t>1.64</w:t>
            </w:r>
            <w:r>
              <w:rPr>
                <w:rFonts w:hint="default" w:ascii="Times New Roman" w:hAnsi="Times New Roman" w:eastAsia="宋体" w:cs="Times New Roman"/>
                <w:color w:val="auto"/>
                <w:sz w:val="24"/>
                <w:szCs w:val="24"/>
                <w:highlight w:val="none"/>
                <w:lang w:eastAsia="zh-CN"/>
              </w:rPr>
              <w:t>kg/h，采取以上降尘措施减少了装卸原粮时产生扬尘对环境的影响。</w:t>
            </w:r>
          </w:p>
          <w:p w14:paraId="46FEACFD">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color w:val="auto"/>
                <w:sz w:val="24"/>
                <w:lang w:val="en-US" w:eastAsia="zh-CN"/>
              </w:rPr>
            </w:pPr>
            <w:r>
              <w:rPr>
                <w:rFonts w:hint="eastAsia"/>
                <w:color w:val="auto"/>
                <w:sz w:val="24"/>
                <w:lang w:val="en-US" w:eastAsia="zh-CN"/>
              </w:rPr>
              <w:t>（5）无组织废气措施</w:t>
            </w:r>
          </w:p>
          <w:p w14:paraId="1FA1CC5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color w:val="auto"/>
                <w:sz w:val="24"/>
                <w:lang w:val="en-US" w:eastAsia="zh-CN"/>
              </w:rPr>
            </w:pPr>
            <w:r>
              <w:rPr>
                <w:rFonts w:hint="eastAsia"/>
                <w:color w:val="auto"/>
                <w:sz w:val="24"/>
                <w:lang w:val="en-US" w:eastAsia="zh-CN"/>
              </w:rPr>
              <w:t>本项目生物质颗粒燃料采用袋装方式存放在</w:t>
            </w:r>
            <w:r>
              <w:rPr>
                <w:rFonts w:hint="eastAsia"/>
                <w:color w:val="auto"/>
                <w:sz w:val="24"/>
                <w:highlight w:val="none"/>
                <w:lang w:val="en-US" w:eastAsia="zh-CN"/>
              </w:rPr>
              <w:t>储料间，存</w:t>
            </w:r>
            <w:r>
              <w:rPr>
                <w:rFonts w:hint="eastAsia"/>
                <w:color w:val="auto"/>
                <w:sz w:val="24"/>
                <w:lang w:val="en-US" w:eastAsia="zh-CN"/>
              </w:rPr>
              <w:t>放过程中基本不产生无组织废气，</w:t>
            </w:r>
            <w:r>
              <w:rPr>
                <w:rFonts w:hint="eastAsia"/>
                <w:b w:val="0"/>
                <w:bCs/>
                <w:color w:val="auto"/>
                <w:sz w:val="24"/>
                <w:lang w:val="en-US" w:eastAsia="zh-CN" w:bidi="ar"/>
              </w:rPr>
              <w:t>采取</w:t>
            </w:r>
            <w:r>
              <w:rPr>
                <w:rFonts w:hint="default" w:ascii="Times New Roman" w:hAnsi="Times New Roman" w:eastAsia="宋体"/>
                <w:b w:val="0"/>
                <w:bCs/>
                <w:color w:val="auto"/>
                <w:sz w:val="24"/>
                <w:lang w:bidi="ar"/>
              </w:rPr>
              <w:t>定期洒水</w:t>
            </w:r>
            <w:r>
              <w:rPr>
                <w:rFonts w:hint="eastAsia"/>
                <w:b w:val="0"/>
                <w:bCs/>
                <w:color w:val="auto"/>
                <w:sz w:val="24"/>
                <w:lang w:eastAsia="zh-CN" w:bidi="ar"/>
              </w:rPr>
              <w:t>并用</w:t>
            </w:r>
            <w:r>
              <w:rPr>
                <w:rFonts w:hint="eastAsia"/>
                <w:b w:val="0"/>
                <w:bCs/>
                <w:color w:val="auto"/>
                <w:sz w:val="24"/>
                <w:lang w:val="en-US" w:eastAsia="zh-CN" w:bidi="ar"/>
              </w:rPr>
              <w:t>厂房阻挡的措施抑尘。</w:t>
            </w:r>
          </w:p>
          <w:p w14:paraId="10C86C23">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eastAsia"/>
                <w:color w:val="auto"/>
                <w:sz w:val="24"/>
                <w:lang w:val="en-US" w:eastAsia="zh-CN"/>
              </w:rPr>
              <w:t>无组织废气主要为车辆运输过程产生的扬尘、生物质热风炉燃烧后灰渣储运过程扬尘、布袋除尘器收集尘储运过程扬尘。</w:t>
            </w:r>
          </w:p>
          <w:p w14:paraId="51FD7412">
            <w:pPr>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rightChars="0" w:firstLine="480" w:firstLineChars="200"/>
              <w:textAlignment w:val="auto"/>
              <w:rPr>
                <w:rFonts w:hint="eastAsia"/>
                <w:color w:val="auto"/>
                <w:sz w:val="24"/>
                <w:lang w:val="en-US" w:eastAsia="zh-CN"/>
              </w:rPr>
            </w:pPr>
            <w:r>
              <w:rPr>
                <w:rFonts w:hint="eastAsia" w:ascii="Times New Roman" w:hAnsi="Times New Roman" w:eastAsia="宋体" w:cs="Times New Roman"/>
                <w:color w:val="auto"/>
                <w:kern w:val="2"/>
                <w:sz w:val="24"/>
                <w:szCs w:val="24"/>
                <w:lang w:val="en-US" w:eastAsia="zh-CN" w:bidi="ar-SA"/>
              </w:rPr>
              <w:t>1）</w:t>
            </w:r>
            <w:r>
              <w:rPr>
                <w:rFonts w:hint="eastAsia"/>
                <w:color w:val="auto"/>
                <w:sz w:val="24"/>
                <w:lang w:val="en-US" w:eastAsia="zh-CN"/>
              </w:rPr>
              <w:t>车辆运输过程扬尘</w:t>
            </w:r>
          </w:p>
          <w:p w14:paraId="1D4822B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color w:val="auto"/>
                <w:sz w:val="24"/>
                <w:lang w:val="en-US" w:eastAsia="zh-CN"/>
              </w:rPr>
              <w:t>由于项目区建成后车辆运输路线为硬化地面</w:t>
            </w:r>
            <w:r>
              <w:rPr>
                <w:rFonts w:hint="eastAsia" w:ascii="Times New Roman" w:hAnsi="Times New Roman"/>
                <w:color w:val="auto"/>
                <w:sz w:val="24"/>
                <w:szCs w:val="24"/>
              </w:rPr>
              <w:t>，因此</w:t>
            </w:r>
            <w:r>
              <w:rPr>
                <w:rFonts w:hint="eastAsia" w:ascii="Times New Roman" w:hAnsi="Times New Roman"/>
                <w:color w:val="auto"/>
                <w:sz w:val="24"/>
                <w:szCs w:val="24"/>
                <w:lang w:val="en-US" w:eastAsia="zh-CN"/>
              </w:rPr>
              <w:t>车辆行驶</w:t>
            </w:r>
            <w:r>
              <w:rPr>
                <w:rFonts w:hint="default" w:ascii="Times New Roman" w:hAnsi="Times New Roman"/>
                <w:color w:val="auto"/>
                <w:kern w:val="0"/>
                <w:sz w:val="24"/>
                <w:szCs w:val="24"/>
              </w:rPr>
              <w:t>过程中</w:t>
            </w:r>
            <w:r>
              <w:rPr>
                <w:rFonts w:hint="eastAsia" w:ascii="Times New Roman" w:hAnsi="Times New Roman"/>
                <w:color w:val="auto"/>
                <w:kern w:val="0"/>
                <w:sz w:val="24"/>
                <w:szCs w:val="24"/>
              </w:rPr>
              <w:t>产生的</w:t>
            </w:r>
            <w:r>
              <w:rPr>
                <w:rFonts w:hint="default" w:ascii="Times New Roman" w:hAnsi="Times New Roman"/>
                <w:color w:val="auto"/>
                <w:kern w:val="0"/>
                <w:sz w:val="24"/>
                <w:szCs w:val="24"/>
              </w:rPr>
              <w:t>粉尘</w:t>
            </w:r>
            <w:r>
              <w:rPr>
                <w:rFonts w:hint="eastAsia"/>
                <w:color w:val="auto"/>
                <w:kern w:val="0"/>
                <w:sz w:val="24"/>
                <w:szCs w:val="24"/>
                <w:lang w:eastAsia="zh-CN"/>
              </w:rPr>
              <w:t>较少</w:t>
            </w:r>
            <w:r>
              <w:rPr>
                <w:rFonts w:hint="default" w:ascii="Times New Roman" w:hAnsi="Times New Roman"/>
                <w:color w:val="auto"/>
                <w:kern w:val="0"/>
                <w:sz w:val="24"/>
                <w:szCs w:val="24"/>
              </w:rPr>
              <w:t>。</w:t>
            </w:r>
            <w:r>
              <w:rPr>
                <w:rFonts w:hint="eastAsia" w:ascii="宋体" w:hAnsi="宋体" w:eastAsia="宋体" w:cs="宋体"/>
                <w:color w:val="auto"/>
                <w:kern w:val="0"/>
                <w:sz w:val="24"/>
                <w:szCs w:val="24"/>
                <w:lang w:val="en-US" w:eastAsia="zh-CN" w:bidi="ar"/>
              </w:rPr>
              <w:t>环评要求定期对厂内车辆通行道路进行清扫保持路面干净，洒水抑尘</w:t>
            </w:r>
            <w:r>
              <w:rPr>
                <w:rFonts w:hint="eastAsia" w:ascii="宋体" w:hAnsi="宋体" w:eastAsia="宋体" w:cs="宋体"/>
                <w:color w:val="auto"/>
                <w:kern w:val="0"/>
                <w:sz w:val="24"/>
                <w:szCs w:val="24"/>
                <w:highlight w:val="none"/>
                <w:lang w:val="en-US" w:eastAsia="zh-CN" w:bidi="ar"/>
              </w:rPr>
              <w:t>。</w:t>
            </w:r>
          </w:p>
          <w:p w14:paraId="719E32D0">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eastAsia"/>
                <w:color w:val="auto"/>
                <w:sz w:val="24"/>
                <w:lang w:val="en-US" w:eastAsia="zh-CN"/>
              </w:rPr>
              <w:t>2）生物质热风炉燃烧后灰渣储运过程扬尘</w:t>
            </w:r>
          </w:p>
          <w:p w14:paraId="038F94EB">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eastAsia"/>
                <w:color w:val="auto"/>
                <w:sz w:val="24"/>
                <w:lang w:val="en-US" w:eastAsia="zh-CN"/>
              </w:rPr>
              <w:t>生物质热风炉燃烧后灰渣直接由锅炉储灰器排口接至编织袋，接口尽量扎紧，收集后暂存至一般固废暂存间，减少灰渣无组织排放。</w:t>
            </w:r>
          </w:p>
          <w:p w14:paraId="2E093C96">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eastAsia"/>
                <w:color w:val="auto"/>
                <w:sz w:val="24"/>
                <w:lang w:val="en-US" w:eastAsia="zh-CN"/>
              </w:rPr>
              <w:t>3）布袋除尘器收集尘储运过程扬尘</w:t>
            </w:r>
          </w:p>
          <w:p w14:paraId="7E3AF68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color w:val="auto"/>
                <w:lang w:val="en-US" w:eastAsia="zh-CN"/>
              </w:rPr>
            </w:pPr>
            <w:r>
              <w:rPr>
                <w:rFonts w:hint="eastAsia"/>
                <w:color w:val="auto"/>
                <w:sz w:val="24"/>
                <w:lang w:val="en-US" w:eastAsia="zh-CN"/>
              </w:rPr>
              <w:t>布袋除尘器收尘斗下方接编织袋，接口尽量扎紧后下放收集尘，不采用敞开式收集工具在厂区内转移布袋除尘器收集灰，收集后暂存至一般固废暂存间，减少无组织排放。</w:t>
            </w:r>
          </w:p>
          <w:p w14:paraId="7157A6BA">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2" w:firstLineChars="200"/>
              <w:textAlignment w:val="auto"/>
              <w:rPr>
                <w:rFonts w:hint="eastAsia"/>
                <w:b/>
                <w:bCs/>
                <w:color w:val="auto"/>
                <w:sz w:val="24"/>
                <w:lang w:val="en-US" w:eastAsia="zh-CN"/>
              </w:rPr>
            </w:pPr>
            <w:r>
              <w:rPr>
                <w:rFonts w:hint="eastAsia"/>
                <w:b/>
                <w:bCs/>
                <w:color w:val="auto"/>
                <w:sz w:val="24"/>
                <w:lang w:val="en-US" w:eastAsia="zh-CN"/>
              </w:rPr>
              <w:t>1.2 大气污染物防治措施可行性及达标分析</w:t>
            </w:r>
          </w:p>
          <w:p w14:paraId="12471A0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eastAsia"/>
                <w:color w:val="auto"/>
                <w:sz w:val="24"/>
                <w:lang w:val="en-US" w:eastAsia="zh-CN"/>
              </w:rPr>
              <w:t>锅炉烟气采取“SNCR+旋风除尘+布袋除尘器”处理，根据</w:t>
            </w:r>
            <w:r>
              <w:rPr>
                <w:rFonts w:hint="default" w:ascii="Times New Roman" w:hAnsi="Times New Roman" w:eastAsia="宋体" w:cs="Times New Roman"/>
                <w:color w:val="auto"/>
                <w:sz w:val="24"/>
                <w:szCs w:val="24"/>
              </w:rPr>
              <w:t>《排污许可证申请与核发技术规范 锅炉》（HJ</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rPr>
              <w:t>953-2018）表F.4燃生物质工业锅炉的废气</w:t>
            </w:r>
            <w:r>
              <w:rPr>
                <w:rFonts w:hint="eastAsia" w:ascii="Times New Roman" w:hAnsi="Times New Roman" w:eastAsia="宋体" w:cs="Times New Roman"/>
                <w:color w:val="auto"/>
                <w:sz w:val="24"/>
                <w:szCs w:val="24"/>
                <w:lang w:val="en-US" w:eastAsia="zh-CN"/>
              </w:rPr>
              <w:t>产污系数和</w:t>
            </w:r>
            <w:r>
              <w:rPr>
                <w:rFonts w:hint="default" w:ascii="Times New Roman" w:hAnsi="Times New Roman" w:eastAsia="宋体" w:cs="Times New Roman"/>
                <w:color w:val="auto"/>
                <w:sz w:val="24"/>
                <w:szCs w:val="24"/>
              </w:rPr>
              <w:t>排污系数</w:t>
            </w:r>
            <w:r>
              <w:rPr>
                <w:rFonts w:hint="eastAsia" w:ascii="Times New Roman" w:hAnsi="Times New Roman" w:eastAsia="宋体" w:cs="Times New Roman"/>
                <w:color w:val="auto"/>
                <w:sz w:val="24"/>
                <w:szCs w:val="24"/>
                <w:lang w:val="en-US" w:eastAsia="zh-CN"/>
              </w:rPr>
              <w:t>计算处理效率为：</w:t>
            </w:r>
            <w:r>
              <w:rPr>
                <w:rFonts w:hint="eastAsia"/>
                <w:color w:val="auto"/>
                <w:sz w:val="24"/>
                <w:lang w:val="en-US" w:eastAsia="zh-CN"/>
              </w:rPr>
              <w:t>颗粒物处理效率为99%。</w:t>
            </w:r>
            <w:r>
              <w:rPr>
                <w:rFonts w:hint="default" w:ascii="Times New Roman" w:hAnsi="Times New Roman" w:eastAsia="宋体"/>
                <w:color w:val="auto"/>
                <w:sz w:val="24"/>
              </w:rPr>
              <w:t>颗粒物</w:t>
            </w:r>
            <w:r>
              <w:rPr>
                <w:rFonts w:hint="eastAsia"/>
                <w:color w:val="auto"/>
                <w:sz w:val="24"/>
                <w:lang w:val="en-US" w:eastAsia="zh-CN"/>
              </w:rPr>
              <w:t>、</w:t>
            </w:r>
            <w:r>
              <w:rPr>
                <w:rFonts w:hint="default" w:ascii="Times New Roman" w:hAnsi="Times New Roman" w:eastAsia="宋体"/>
                <w:color w:val="auto"/>
                <w:sz w:val="24"/>
              </w:rPr>
              <w:t>二氧化硫、</w:t>
            </w:r>
            <w:r>
              <w:rPr>
                <w:rFonts w:hint="eastAsia"/>
                <w:color w:val="auto"/>
                <w:sz w:val="24"/>
                <w:lang w:val="en-US" w:eastAsia="zh-CN"/>
              </w:rPr>
              <w:t>氮氧化物</w:t>
            </w:r>
            <w:r>
              <w:rPr>
                <w:rFonts w:hint="default" w:ascii="Times New Roman" w:hAnsi="Times New Roman" w:eastAsia="宋体"/>
                <w:color w:val="auto"/>
                <w:sz w:val="24"/>
              </w:rPr>
              <w:t>排放浓度</w:t>
            </w:r>
            <w:r>
              <w:rPr>
                <w:rFonts w:hint="eastAsia"/>
                <w:color w:val="auto"/>
                <w:sz w:val="24"/>
                <w:lang w:val="en-US" w:eastAsia="zh-CN"/>
              </w:rPr>
              <w:t>均满足</w:t>
            </w:r>
            <w:r>
              <w:rPr>
                <w:rFonts w:hint="eastAsia"/>
                <w:color w:val="auto"/>
                <w:sz w:val="24"/>
                <w:lang w:eastAsia="zh-CN"/>
              </w:rPr>
              <w:t>《锅炉大气污染物排放标准》（GB 13271-2014）中</w:t>
            </w:r>
            <w:r>
              <w:rPr>
                <w:rFonts w:hint="eastAsia"/>
                <w:color w:val="auto"/>
                <w:sz w:val="24"/>
                <w:lang w:val="en-US" w:eastAsia="zh-CN"/>
              </w:rPr>
              <w:t>表3燃气锅炉大气污染物特别排放限值</w:t>
            </w:r>
            <w:r>
              <w:rPr>
                <w:rFonts w:hint="eastAsia"/>
                <w:color w:val="auto"/>
                <w:sz w:val="24"/>
                <w:lang w:eastAsia="zh-CN"/>
              </w:rPr>
              <w:t>，</w:t>
            </w:r>
            <w:r>
              <w:rPr>
                <w:rFonts w:hint="eastAsia"/>
                <w:color w:val="auto"/>
                <w:sz w:val="24"/>
                <w:lang w:val="en-US" w:eastAsia="zh-CN"/>
              </w:rPr>
              <w:t>对周围大气环境影响不大。根据《排污许可证申请与核发技术规范 锅炉》（HJ 953-2018）表7旋风除尘和袋式除尘组合技术为生物质热风炉污染防治可行技术，本项目锅炉废气治理设施可行。</w:t>
            </w:r>
          </w:p>
          <w:p w14:paraId="0E06C358">
            <w:pPr>
              <w:pStyle w:val="69"/>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textAlignment w:val="auto"/>
              <w:rPr>
                <w:rFonts w:hint="eastAsia"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（1）旋风除尘器原理：</w:t>
            </w:r>
          </w:p>
          <w:p w14:paraId="701B5D0F">
            <w:pPr>
              <w:pStyle w:val="69"/>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textAlignment w:val="auto"/>
              <w:rPr>
                <w:rFonts w:hint="eastAsia" w:ascii="Times New Roman" w:hAnsi="Times New Roman" w:eastAsia="宋体" w:cs="宋体"/>
                <w:color w:val="auto"/>
                <w:kern w:val="0"/>
                <w:sz w:val="24"/>
                <w:szCs w:val="24"/>
                <w:highlight w:val="none"/>
                <w:lang w:val="en-US" w:eastAsia="zh-CN" w:bidi="ar"/>
              </w:rPr>
            </w:pPr>
            <w:r>
              <w:rPr>
                <w:rFonts w:hint="eastAsia" w:ascii="Times New Roman" w:hAnsi="Times New Roman" w:eastAsia="宋体" w:cs="宋体"/>
                <w:color w:val="auto"/>
                <w:kern w:val="0"/>
                <w:sz w:val="24"/>
                <w:szCs w:val="24"/>
                <w:highlight w:val="none"/>
                <w:lang w:val="en-US" w:eastAsia="zh-CN" w:bidi="ar"/>
              </w:rPr>
              <w:t>旋风除尘器是除尘装置的一类。除尘机理是使含尘气流作旋转运动，借助于离心力将尘粒从气流中分离并捕集于器壁，再借助重力作用使尘粒落入灰斗。旋风除尘器的各个部件都有一定的尺寸比例，每一个比例关系的变动，都能影响旋风除尘器的效率和压力损失，其中除尘器直径、进气口尺寸、排气管直径为主要影响因素。在使用时应注意，当超过某一界限时，有利因素也能转化为不利因素。另外，有的因素对于提高除尘效率有利，但却会增加压力损失，因而对各因素的调整必须兼顾。</w:t>
            </w:r>
          </w:p>
          <w:p w14:paraId="623CF2E2">
            <w:pPr>
              <w:pStyle w:val="69"/>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textAlignment w:val="auto"/>
              <w:rPr>
                <w:rFonts w:hint="eastAsia" w:eastAsia="宋体" w:cs="Times New Roman"/>
                <w:b w:val="0"/>
                <w:bCs w:val="0"/>
                <w:color w:val="auto"/>
                <w:sz w:val="24"/>
                <w:szCs w:val="24"/>
                <w:lang w:val="en-US" w:eastAsia="zh-CN"/>
              </w:rPr>
            </w:pPr>
            <w:r>
              <w:rPr>
                <w:rFonts w:hint="eastAsia" w:eastAsia="宋体" w:cs="Times New Roman"/>
                <w:b w:val="0"/>
                <w:bCs w:val="0"/>
                <w:color w:val="auto"/>
                <w:sz w:val="24"/>
                <w:szCs w:val="24"/>
                <w:lang w:val="en-US" w:eastAsia="zh-CN"/>
              </w:rPr>
              <w:t>（2）</w:t>
            </w:r>
            <w:r>
              <w:rPr>
                <w:rFonts w:hint="eastAsia" w:ascii="Times New Roman" w:hAnsi="Times New Roman" w:eastAsia="宋体" w:cs="Times New Roman"/>
                <w:b w:val="0"/>
                <w:bCs w:val="0"/>
                <w:color w:val="auto"/>
                <w:sz w:val="24"/>
                <w:szCs w:val="24"/>
                <w:lang w:val="en-US" w:eastAsia="zh-CN"/>
              </w:rPr>
              <w:t>布袋除尘器原理</w:t>
            </w:r>
            <w:r>
              <w:rPr>
                <w:rFonts w:hint="eastAsia" w:eastAsia="宋体" w:cs="Times New Roman"/>
                <w:b w:val="0"/>
                <w:bCs w:val="0"/>
                <w:color w:val="auto"/>
                <w:sz w:val="24"/>
                <w:szCs w:val="24"/>
                <w:lang w:val="en-US" w:eastAsia="zh-CN"/>
              </w:rPr>
              <w:t>：</w:t>
            </w:r>
          </w:p>
          <w:p w14:paraId="6554965B">
            <w:pPr>
              <w:pStyle w:val="69"/>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布袋除尘器由上部箱体、袋室、排灰装置及脉冲喷吹清灰控制系统等组成。除尘器内部被花板划分为两部分。上面的部分称之为上部箱体或净气室。下面这一部分称之为袋室或滤室。净气室装有喷吹管、压缩空气气包、脉冲阀、压缩空气管路、出口烟道、检修门等。根据规格不同，净气室内分若干个室，互相之间用钢板隔开，互不通气。每个室均设一个提升阀和若干排滤袋，每一排滤袋设一根喷吹管，每</w:t>
            </w:r>
            <w:r>
              <w:rPr>
                <w:rFonts w:hint="eastAsia" w:eastAsia="宋体" w:cs="Times New Roman"/>
                <w:b w:val="0"/>
                <w:bCs w:val="0"/>
                <w:color w:val="auto"/>
                <w:sz w:val="24"/>
                <w:szCs w:val="24"/>
                <w:lang w:val="en-US" w:eastAsia="zh-CN"/>
              </w:rPr>
              <w:t>一只</w:t>
            </w:r>
            <w:r>
              <w:rPr>
                <w:rFonts w:hint="eastAsia" w:ascii="Times New Roman" w:hAnsi="Times New Roman" w:eastAsia="宋体" w:cs="Times New Roman"/>
                <w:b w:val="0"/>
                <w:bCs w:val="0"/>
                <w:color w:val="auto"/>
                <w:sz w:val="24"/>
                <w:szCs w:val="24"/>
                <w:lang w:val="en-US" w:eastAsia="zh-CN"/>
              </w:rPr>
              <w:t>滤袋都对应喷吹管上的一个喷吹孔。滤室包括花板、滤袋组件、灰斗、烟气进口烟道等。滤袋材料是柔性的透气性介质，一般为针刺或覆膜材料。滤袋由金属笼骨支撑，以保证在过滤时不至于被吸瘪。滤袋和笼骨作为一个整体，悬挂在花板上。滤室下方装有灰斗，灰斗也通常作为烟气的进口。灰斗中的导流板用来吸收进口烟气高速运动粒子的动能并分配进口气流，保护滤袋免遭磨损，并使各个滤袋的负荷均匀。</w:t>
            </w:r>
          </w:p>
          <w:p w14:paraId="216DA66D">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highlight w:val="none"/>
              </w:rPr>
            </w:pPr>
            <w:r>
              <w:rPr>
                <w:rFonts w:hint="eastAsia"/>
                <w:color w:val="auto"/>
                <w:sz w:val="24"/>
                <w:highlight w:val="none"/>
                <w:lang w:val="en-US" w:eastAsia="zh-CN"/>
              </w:rPr>
              <w:t>（3）根据《锅炉大气污染物排放标准》（GB 13271-2014）4.5要求，新建锅炉房的烟囱周围半径200m距离内有建筑物时，其烟囱应高出建筑物3m以上。本项目锅炉房周围半径200m距离内生产车间高度为13.85m，则本项目排气筒高度设置不低于17m合理可行。</w:t>
            </w:r>
          </w:p>
          <w:p w14:paraId="43889CB7">
            <w:pPr>
              <w:pStyle w:val="2"/>
              <w:keepNext w:val="0"/>
              <w:keepLines w:val="0"/>
              <w:numPr>
                <w:ilvl w:val="0"/>
                <w:numId w:val="0"/>
              </w:numPr>
              <w:suppressLineNumbers w:val="0"/>
              <w:tabs>
                <w:tab w:val="left" w:pos="2760"/>
              </w:tabs>
              <w:spacing w:before="0" w:beforeAutospacing="0" w:after="0" w:afterAutospacing="0" w:line="372" w:lineRule="auto"/>
              <w:ind w:left="0" w:right="0" w:firstLine="480" w:firstLineChars="200"/>
              <w:rPr>
                <w:rFonts w:hint="default" w:ascii="Times New Roman" w:hAnsi="Times New Roman" w:eastAsia="宋体"/>
                <w:color w:val="auto"/>
                <w:sz w:val="24"/>
                <w:szCs w:val="24"/>
                <w:lang w:val="en-US" w:eastAsia="zh-CN" w:bidi="ar"/>
              </w:rPr>
            </w:pPr>
            <w:r>
              <w:rPr>
                <w:rFonts w:hint="eastAsia" w:ascii="Times New Roman" w:hAnsi="Times New Roman"/>
                <w:color w:val="auto"/>
                <w:sz w:val="24"/>
                <w:szCs w:val="24"/>
                <w:lang w:val="en-US" w:eastAsia="zh-CN" w:bidi="ar"/>
              </w:rPr>
              <w:t>（4）生</w:t>
            </w:r>
            <w:r>
              <w:rPr>
                <w:rFonts w:hint="eastAsia"/>
                <w:color w:val="auto"/>
                <w:sz w:val="24"/>
                <w:szCs w:val="24"/>
                <w:lang w:val="en-US" w:eastAsia="zh-CN" w:bidi="ar"/>
              </w:rPr>
              <w:t>物质热风炉灰渣及除尘灰在厂区内采用编织袋包装运输，不采用敞开式运输工具，且编织袋包装后存放于专用一般固废暂存间内，能够达到抑制无组织粉尘排放的效果，措施可行。</w:t>
            </w:r>
            <w:r>
              <w:rPr>
                <w:rFonts w:hint="default" w:ascii="Times New Roman" w:hAnsi="Times New Roman" w:eastAsia="宋体" w:cs="Times New Roman"/>
                <w:color w:val="auto"/>
                <w:highlight w:val="none"/>
                <w:lang w:eastAsia="zh-CN"/>
              </w:rPr>
              <w:t>无组织废气主要为原料筛分除杂、上料等工序产生未被集气罩收集的粉尘及烘干塔无组织粉尘，通过采取设备密闭降尘，采用较密的化纤网对烘干塔进行围挡等措施后，厂界颗粒物浓度满足《大气污染物综合排放标准》（GB16297-1996）表2 中新建企业边界大气污染物排放浓度限值。</w:t>
            </w:r>
          </w:p>
          <w:p w14:paraId="23083A5E">
            <w:pPr>
              <w:pStyle w:val="38"/>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textAlignment w:val="auto"/>
              <w:rPr>
                <w:rFonts w:hint="default" w:ascii="Times New Roman" w:hAnsi="Times New Roman" w:eastAsia="宋体"/>
                <w:color w:val="auto"/>
                <w:sz w:val="24"/>
                <w:szCs w:val="24"/>
                <w:lang w:bidi="ar"/>
              </w:rPr>
            </w:pPr>
            <w:r>
              <w:rPr>
                <w:rFonts w:hint="default" w:ascii="Times New Roman" w:hAnsi="Times New Roman" w:eastAsia="宋体"/>
                <w:color w:val="auto"/>
                <w:sz w:val="24"/>
                <w:szCs w:val="24"/>
                <w:lang w:bidi="ar"/>
              </w:rPr>
              <w:t>综上所述，废气污染防治措施可行。</w:t>
            </w:r>
          </w:p>
          <w:p w14:paraId="5315DDDD">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2" w:firstLineChars="200"/>
              <w:textAlignment w:val="auto"/>
              <w:rPr>
                <w:rFonts w:hint="eastAsia" w:ascii="Times New Roman"/>
                <w:b/>
                <w:bCs/>
                <w:color w:val="auto"/>
                <w:kern w:val="2"/>
                <w:sz w:val="24"/>
                <w:lang w:val="en-US" w:eastAsia="zh-CN" w:bidi="ar"/>
              </w:rPr>
            </w:pPr>
            <w:r>
              <w:rPr>
                <w:rFonts w:hint="default" w:ascii="Times New Roman" w:hAnsi="Times New Roman" w:eastAsia="宋体"/>
                <w:b/>
                <w:bCs/>
                <w:color w:val="auto"/>
                <w:kern w:val="2"/>
                <w:sz w:val="24"/>
                <w:lang w:bidi="ar"/>
              </w:rPr>
              <w:t>1.</w:t>
            </w:r>
            <w:r>
              <w:rPr>
                <w:rFonts w:hint="eastAsia" w:ascii="Times New Roman"/>
                <w:b/>
                <w:bCs/>
                <w:color w:val="auto"/>
                <w:kern w:val="2"/>
                <w:sz w:val="24"/>
                <w:lang w:val="en-US" w:eastAsia="zh-CN" w:bidi="ar"/>
              </w:rPr>
              <w:t>3 非正常工况</w:t>
            </w:r>
          </w:p>
          <w:p w14:paraId="5930AAD8">
            <w:pPr>
              <w:pStyle w:val="2"/>
              <w:keepNext w:val="0"/>
              <w:keepLines w:val="0"/>
              <w:suppressLineNumbers w:val="0"/>
              <w:tabs>
                <w:tab w:val="left" w:pos="2760"/>
              </w:tabs>
              <w:spacing w:before="0" w:beforeAutospacing="0" w:after="0" w:afterAutospacing="0" w:line="372" w:lineRule="auto"/>
              <w:ind w:left="0" w:right="0" w:firstLine="480" w:firstLineChars="200"/>
              <w:rPr>
                <w:rFonts w:hint="eastAsia" w:ascii="Times New Roman"/>
                <w:b w:val="0"/>
                <w:bCs w:val="0"/>
                <w:color w:val="auto"/>
                <w:kern w:val="2"/>
                <w:sz w:val="24"/>
                <w:lang w:val="en-US" w:eastAsia="zh-CN" w:bidi="ar"/>
              </w:rPr>
            </w:pPr>
            <w:r>
              <w:rPr>
                <w:rFonts w:hint="default" w:ascii="Times New Roman" w:hAnsi="Times New Roman" w:eastAsia="宋体" w:cs="Times New Roman"/>
                <w:color w:val="auto"/>
                <w:highlight w:val="none"/>
              </w:rPr>
              <w:t>非正常排放是指生产过程中开停车</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工、炉</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。设备检修。工艺设备运转异常等非正常工况下的污染物排放，以及污染物排放控制措施达不到应有效率等情况下的排放。本次环评考虑建设</w:t>
            </w:r>
            <w:r>
              <w:rPr>
                <w:rFonts w:hint="default" w:ascii="Times New Roman" w:hAnsi="Times New Roman" w:eastAsia="宋体" w:cs="Times New Roman"/>
                <w:color w:val="auto"/>
                <w:highlight w:val="none"/>
                <w:lang w:val="en-US" w:eastAsia="zh-CN"/>
              </w:rPr>
              <w:t>热风炉</w:t>
            </w:r>
            <w:r>
              <w:rPr>
                <w:rFonts w:hint="default" w:ascii="Times New Roman" w:hAnsi="Times New Roman" w:eastAsia="宋体" w:cs="Times New Roman"/>
                <w:color w:val="auto"/>
                <w:highlight w:val="none"/>
              </w:rPr>
              <w:t>开、停机时不完全燃烧产生的废气排放至大气环境中</w:t>
            </w:r>
            <w:r>
              <w:rPr>
                <w:rFonts w:hint="eastAsia" w:ascii="Times New Roman" w:hAnsi="Times New Roman" w:eastAsia="宋体" w:cs="Times New Roman"/>
                <w:color w:val="auto"/>
                <w:highlight w:val="none"/>
                <w:lang w:eastAsia="zh-CN"/>
              </w:rPr>
              <w:t>，生物质气化蒸汽锅炉的烟气处理系统中SNCR脱硝工艺装置故障，脱硝效率降至0%；布袋除尘器中的滤袋发生破损，除尘效率降至0%</w:t>
            </w:r>
            <w:r>
              <w:rPr>
                <w:rFonts w:hint="default" w:ascii="Times New Roman" w:hAnsi="Times New Roman" w:eastAsia="宋体" w:cs="Times New Roman"/>
                <w:color w:val="auto"/>
                <w:highlight w:val="none"/>
              </w:rPr>
              <w:t>。开停机至恢复正常运转时间约</w:t>
            </w:r>
            <w:r>
              <w:rPr>
                <w:rFonts w:hint="eastAsia"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rPr>
              <w:t>0分钟。本项目非正常工况考虑最不利情况，处理效率为0，处理装置失效</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失效时间按</w:t>
            </w:r>
            <w:r>
              <w:rPr>
                <w:rFonts w:hint="eastAsia"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rPr>
              <w:t>0min计</w:t>
            </w:r>
            <w:r>
              <w:rPr>
                <w:rFonts w:hint="eastAsia"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的情况分析。</w:t>
            </w:r>
          </w:p>
          <w:p w14:paraId="0795C82E">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lang w:val="en-US"/>
              </w:rPr>
            </w:pPr>
            <w:r>
              <w:rPr>
                <w:rFonts w:hint="eastAsia" w:ascii="Times New Roman" w:hAnsi="Times New Roman" w:eastAsia="宋体"/>
                <w:b/>
                <w:bCs/>
                <w:color w:val="auto"/>
                <w:sz w:val="21"/>
                <w:szCs w:val="21"/>
              </w:rPr>
              <w:t>表4-</w:t>
            </w:r>
            <w:r>
              <w:rPr>
                <w:rFonts w:hint="eastAsia" w:ascii="Times New Roman"/>
                <w:b/>
                <w:bCs/>
                <w:color w:val="auto"/>
                <w:sz w:val="21"/>
                <w:szCs w:val="21"/>
                <w:lang w:val="en-US" w:eastAsia="zh-CN"/>
              </w:rPr>
              <w:t>7</w:t>
            </w:r>
            <w:r>
              <w:rPr>
                <w:rFonts w:hint="eastAsia" w:ascii="Times New Roman" w:hAnsi="Times New Roman" w:eastAsia="宋体"/>
                <w:b/>
                <w:bCs/>
                <w:color w:val="auto"/>
                <w:sz w:val="21"/>
                <w:szCs w:val="21"/>
              </w:rPr>
              <w:t xml:space="preserve">  </w:t>
            </w:r>
            <w:r>
              <w:rPr>
                <w:rFonts w:hint="eastAsia" w:ascii="Times New Roman"/>
                <w:b/>
                <w:bCs/>
                <w:color w:val="auto"/>
                <w:sz w:val="21"/>
                <w:szCs w:val="21"/>
                <w:lang w:val="en-US" w:eastAsia="zh-CN"/>
              </w:rPr>
              <w:t>非正常工况废气污染物产生及排放情况</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860"/>
              <w:gridCol w:w="1315"/>
              <w:gridCol w:w="1717"/>
              <w:gridCol w:w="1075"/>
              <w:gridCol w:w="2136"/>
            </w:tblGrid>
            <w:tr w14:paraId="48D3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4" w:type="pct"/>
                  <w:vAlign w:val="center"/>
                </w:tcPr>
                <w:p w14:paraId="20FC9D05">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eastAsia="宋体"/>
                      <w:b/>
                      <w:bCs/>
                      <w:color w:val="auto"/>
                      <w:kern w:val="2"/>
                      <w:sz w:val="21"/>
                      <w:vertAlign w:val="baseline"/>
                      <w:lang w:val="en-US" w:eastAsia="zh-CN" w:bidi="ar"/>
                    </w:rPr>
                    <w:t>排放源</w:t>
                  </w:r>
                </w:p>
              </w:tc>
              <w:tc>
                <w:tcPr>
                  <w:tcW w:w="526" w:type="pct"/>
                  <w:vAlign w:val="center"/>
                </w:tcPr>
                <w:p w14:paraId="58062AEF">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eastAsia="宋体"/>
                      <w:b/>
                      <w:bCs/>
                      <w:color w:val="auto"/>
                      <w:kern w:val="2"/>
                      <w:sz w:val="21"/>
                      <w:vertAlign w:val="baseline"/>
                      <w:lang w:val="en-US" w:eastAsia="zh-CN" w:bidi="ar"/>
                    </w:rPr>
                    <w:t>污染物</w:t>
                  </w:r>
                </w:p>
              </w:tc>
              <w:tc>
                <w:tcPr>
                  <w:tcW w:w="804" w:type="pct"/>
                  <w:vAlign w:val="center"/>
                </w:tcPr>
                <w:p w14:paraId="4EFA6BAB">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eastAsia="宋体"/>
                      <w:b/>
                      <w:bCs/>
                      <w:color w:val="auto"/>
                      <w:kern w:val="2"/>
                      <w:sz w:val="21"/>
                      <w:vertAlign w:val="baseline"/>
                      <w:lang w:val="en-US" w:eastAsia="zh-CN" w:bidi="ar"/>
                    </w:rPr>
                    <w:t>排放量kg/</w:t>
                  </w:r>
                  <w:r>
                    <w:rPr>
                      <w:rFonts w:hint="eastAsia" w:ascii="Times New Roman"/>
                      <w:b/>
                      <w:bCs/>
                      <w:color w:val="auto"/>
                      <w:kern w:val="2"/>
                      <w:sz w:val="21"/>
                      <w:vertAlign w:val="baseline"/>
                      <w:lang w:val="en-US" w:eastAsia="zh-CN" w:bidi="ar"/>
                    </w:rPr>
                    <w:t>次</w:t>
                  </w:r>
                </w:p>
              </w:tc>
              <w:tc>
                <w:tcPr>
                  <w:tcW w:w="1050" w:type="pct"/>
                  <w:vAlign w:val="center"/>
                </w:tcPr>
                <w:p w14:paraId="3EACFD13">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eastAsia="宋体"/>
                      <w:b/>
                      <w:bCs/>
                      <w:color w:val="auto"/>
                      <w:kern w:val="2"/>
                      <w:sz w:val="21"/>
                      <w:vertAlign w:val="baseline"/>
                      <w:lang w:val="en-US" w:eastAsia="zh-CN" w:bidi="ar"/>
                    </w:rPr>
                    <w:t>排放浓度mg/m</w:t>
                  </w:r>
                  <w:r>
                    <w:rPr>
                      <w:rFonts w:hint="eastAsia" w:ascii="Times New Roman" w:eastAsia="宋体"/>
                      <w:b/>
                      <w:bCs/>
                      <w:color w:val="auto"/>
                      <w:kern w:val="2"/>
                      <w:sz w:val="21"/>
                      <w:vertAlign w:val="superscript"/>
                      <w:lang w:val="en-US" w:eastAsia="zh-CN" w:bidi="ar"/>
                    </w:rPr>
                    <w:t>3</w:t>
                  </w:r>
                </w:p>
              </w:tc>
              <w:tc>
                <w:tcPr>
                  <w:tcW w:w="657" w:type="pct"/>
                  <w:vAlign w:val="center"/>
                </w:tcPr>
                <w:p w14:paraId="4955EEB0">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eastAsia="宋体"/>
                      <w:b/>
                      <w:bCs/>
                      <w:color w:val="auto"/>
                      <w:kern w:val="2"/>
                      <w:sz w:val="21"/>
                      <w:vertAlign w:val="baseline"/>
                      <w:lang w:val="en-US" w:eastAsia="zh-CN" w:bidi="ar"/>
                    </w:rPr>
                    <w:t>持续时间</w:t>
                  </w:r>
                </w:p>
              </w:tc>
              <w:tc>
                <w:tcPr>
                  <w:tcW w:w="1306" w:type="pct"/>
                  <w:vAlign w:val="center"/>
                </w:tcPr>
                <w:p w14:paraId="6BFFE96F">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eastAsia="宋体"/>
                      <w:b/>
                      <w:bCs/>
                      <w:color w:val="auto"/>
                      <w:kern w:val="2"/>
                      <w:sz w:val="21"/>
                      <w:vertAlign w:val="baseline"/>
                      <w:lang w:val="en-US" w:eastAsia="zh-CN" w:bidi="ar"/>
                    </w:rPr>
                    <w:t>应对措施</w:t>
                  </w:r>
                </w:p>
              </w:tc>
            </w:tr>
            <w:tr w14:paraId="53ED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4" w:type="pct"/>
                  <w:vMerge w:val="restart"/>
                  <w:vAlign w:val="center"/>
                </w:tcPr>
                <w:p w14:paraId="753B7F7A">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r>
                    <w:rPr>
                      <w:rFonts w:hint="eastAsia" w:ascii="Times New Roman" w:eastAsia="宋体"/>
                      <w:b w:val="0"/>
                      <w:bCs w:val="0"/>
                      <w:color w:val="auto"/>
                      <w:kern w:val="2"/>
                      <w:sz w:val="21"/>
                      <w:vertAlign w:val="baseline"/>
                      <w:lang w:val="en-US" w:eastAsia="zh-CN" w:bidi="ar"/>
                    </w:rPr>
                    <w:t>锅炉废气</w:t>
                  </w:r>
                </w:p>
              </w:tc>
              <w:tc>
                <w:tcPr>
                  <w:tcW w:w="526" w:type="pct"/>
                  <w:vAlign w:val="center"/>
                </w:tcPr>
                <w:p w14:paraId="2D5FCE98">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eastAsia="宋体"/>
                      <w:b w:val="0"/>
                      <w:bCs w:val="0"/>
                      <w:color w:val="auto"/>
                      <w:kern w:val="2"/>
                      <w:sz w:val="21"/>
                      <w:vertAlign w:val="baseline"/>
                      <w:lang w:val="en-US" w:eastAsia="zh-CN" w:bidi="ar"/>
                    </w:rPr>
                  </w:pPr>
                  <w:r>
                    <w:rPr>
                      <w:rFonts w:hint="eastAsia" w:ascii="Times New Roman" w:hAnsi="Times New Roman" w:eastAsia="宋体"/>
                      <w:color w:val="auto"/>
                      <w:sz w:val="21"/>
                      <w:szCs w:val="21"/>
                    </w:rPr>
                    <w:t>颗粒物</w:t>
                  </w:r>
                </w:p>
              </w:tc>
              <w:tc>
                <w:tcPr>
                  <w:tcW w:w="804" w:type="pct"/>
                  <w:vAlign w:val="center"/>
                </w:tcPr>
                <w:p w14:paraId="3BCDEFE2">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eastAsia="宋体"/>
                      <w:b w:val="0"/>
                      <w:bCs w:val="0"/>
                      <w:color w:val="auto"/>
                      <w:kern w:val="2"/>
                      <w:sz w:val="21"/>
                      <w:vertAlign w:val="baseline"/>
                      <w:lang w:val="en-US" w:eastAsia="zh-CN" w:bidi="ar"/>
                    </w:rPr>
                  </w:pPr>
                  <w:r>
                    <w:rPr>
                      <w:rFonts w:hint="eastAsia"/>
                      <w:b w:val="0"/>
                      <w:bCs w:val="0"/>
                      <w:color w:val="auto"/>
                      <w:kern w:val="2"/>
                      <w:sz w:val="21"/>
                      <w:vertAlign w:val="baseline"/>
                      <w:lang w:val="en-US" w:eastAsia="zh-CN" w:bidi="ar"/>
                    </w:rPr>
                    <w:t>1.25</w:t>
                  </w:r>
                </w:p>
              </w:tc>
              <w:tc>
                <w:tcPr>
                  <w:tcW w:w="1050" w:type="pct"/>
                  <w:vAlign w:val="center"/>
                </w:tcPr>
                <w:p w14:paraId="76692213">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eastAsia="宋体"/>
                      <w:b w:val="0"/>
                      <w:bCs w:val="0"/>
                      <w:color w:val="auto"/>
                      <w:kern w:val="2"/>
                      <w:sz w:val="21"/>
                      <w:vertAlign w:val="baseline"/>
                      <w:lang w:val="en-US" w:eastAsia="zh-CN" w:bidi="ar"/>
                    </w:rPr>
                  </w:pPr>
                  <w:r>
                    <w:rPr>
                      <w:rFonts w:hint="eastAsia"/>
                      <w:b w:val="0"/>
                      <w:bCs w:val="0"/>
                      <w:color w:val="auto"/>
                      <w:kern w:val="2"/>
                      <w:sz w:val="21"/>
                      <w:vertAlign w:val="baseline"/>
                      <w:lang w:val="en-US" w:eastAsia="zh-CN" w:bidi="ar"/>
                    </w:rPr>
                    <w:t>65.11</w:t>
                  </w:r>
                </w:p>
              </w:tc>
              <w:tc>
                <w:tcPr>
                  <w:tcW w:w="657" w:type="pct"/>
                  <w:vMerge w:val="restart"/>
                  <w:vAlign w:val="center"/>
                </w:tcPr>
                <w:p w14:paraId="6717A1AE">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r>
                    <w:rPr>
                      <w:rFonts w:hint="eastAsia" w:ascii="Times New Roman" w:eastAsia="宋体"/>
                      <w:b w:val="0"/>
                      <w:bCs w:val="0"/>
                      <w:color w:val="auto"/>
                      <w:kern w:val="2"/>
                      <w:sz w:val="21"/>
                      <w:vertAlign w:val="baseline"/>
                      <w:lang w:val="en-US" w:eastAsia="zh-CN" w:bidi="ar"/>
                    </w:rPr>
                    <w:t>1h</w:t>
                  </w:r>
                </w:p>
              </w:tc>
              <w:tc>
                <w:tcPr>
                  <w:tcW w:w="1306" w:type="pct"/>
                  <w:vMerge w:val="restart"/>
                  <w:vAlign w:val="center"/>
                </w:tcPr>
                <w:p w14:paraId="125CB67A">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r>
                    <w:rPr>
                      <w:rFonts w:hint="eastAsia" w:ascii="Times New Roman" w:eastAsia="宋体"/>
                      <w:b w:val="0"/>
                      <w:bCs w:val="0"/>
                      <w:color w:val="auto"/>
                      <w:kern w:val="2"/>
                      <w:sz w:val="21"/>
                      <w:vertAlign w:val="baseline"/>
                      <w:lang w:val="en-US" w:eastAsia="zh-CN" w:bidi="ar"/>
                    </w:rPr>
                    <w:t>日常维护、及时检修</w:t>
                  </w:r>
                </w:p>
              </w:tc>
            </w:tr>
            <w:tr w14:paraId="2662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4" w:type="pct"/>
                  <w:vMerge w:val="continue"/>
                  <w:vAlign w:val="center"/>
                </w:tcPr>
                <w:p w14:paraId="42634DD3">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p>
              </w:tc>
              <w:tc>
                <w:tcPr>
                  <w:tcW w:w="526" w:type="pct"/>
                  <w:vAlign w:val="center"/>
                </w:tcPr>
                <w:p w14:paraId="6EB47CC9">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eastAsia="宋体"/>
                      <w:b w:val="0"/>
                      <w:bCs w:val="0"/>
                      <w:color w:val="auto"/>
                      <w:kern w:val="2"/>
                      <w:sz w:val="21"/>
                      <w:vertAlign w:val="baseline"/>
                      <w:lang w:val="en-US" w:eastAsia="zh-CN" w:bidi="ar"/>
                    </w:rPr>
                  </w:pPr>
                  <w:r>
                    <w:rPr>
                      <w:rFonts w:hint="eastAsia" w:ascii="Times New Roman" w:hAnsi="Times New Roman" w:eastAsia="宋体"/>
                      <w:color w:val="auto"/>
                      <w:sz w:val="21"/>
                      <w:szCs w:val="21"/>
                    </w:rPr>
                    <w:t>SO</w:t>
                  </w:r>
                  <w:r>
                    <w:rPr>
                      <w:rFonts w:hint="eastAsia" w:ascii="Times New Roman" w:hAnsi="Times New Roman" w:eastAsia="宋体"/>
                      <w:color w:val="auto"/>
                      <w:sz w:val="21"/>
                      <w:szCs w:val="21"/>
                      <w:vertAlign w:val="subscript"/>
                    </w:rPr>
                    <w:t>2</w:t>
                  </w:r>
                </w:p>
              </w:tc>
              <w:tc>
                <w:tcPr>
                  <w:tcW w:w="804" w:type="pct"/>
                  <w:vAlign w:val="center"/>
                </w:tcPr>
                <w:p w14:paraId="34E891ED">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eastAsia="宋体"/>
                      <w:b w:val="0"/>
                      <w:bCs w:val="0"/>
                      <w:color w:val="auto"/>
                      <w:kern w:val="2"/>
                      <w:sz w:val="21"/>
                      <w:vertAlign w:val="baseline"/>
                      <w:lang w:val="en-US" w:eastAsia="zh-CN" w:bidi="ar"/>
                    </w:rPr>
                  </w:pPr>
                  <w:r>
                    <w:rPr>
                      <w:rFonts w:hint="eastAsia"/>
                      <w:b w:val="0"/>
                      <w:bCs w:val="0"/>
                      <w:color w:val="auto"/>
                      <w:kern w:val="2"/>
                      <w:sz w:val="21"/>
                      <w:vertAlign w:val="baseline"/>
                      <w:lang w:val="en-US" w:eastAsia="zh-CN" w:bidi="ar"/>
                    </w:rPr>
                    <w:t>0.5758</w:t>
                  </w:r>
                </w:p>
              </w:tc>
              <w:tc>
                <w:tcPr>
                  <w:tcW w:w="1050" w:type="pct"/>
                  <w:vAlign w:val="center"/>
                </w:tcPr>
                <w:p w14:paraId="28F21507">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eastAsia="宋体"/>
                      <w:b w:val="0"/>
                      <w:bCs w:val="0"/>
                      <w:color w:val="auto"/>
                      <w:kern w:val="2"/>
                      <w:sz w:val="21"/>
                      <w:vertAlign w:val="baseline"/>
                      <w:lang w:val="en-US" w:eastAsia="zh-CN" w:bidi="ar"/>
                    </w:rPr>
                  </w:pPr>
                  <w:r>
                    <w:rPr>
                      <w:rFonts w:hint="eastAsia"/>
                      <w:b w:val="0"/>
                      <w:bCs w:val="0"/>
                      <w:color w:val="auto"/>
                      <w:kern w:val="2"/>
                      <w:sz w:val="21"/>
                      <w:vertAlign w:val="baseline"/>
                      <w:lang w:val="en-US" w:eastAsia="zh-CN" w:bidi="ar"/>
                    </w:rPr>
                    <w:t>30.00</w:t>
                  </w:r>
                </w:p>
              </w:tc>
              <w:tc>
                <w:tcPr>
                  <w:tcW w:w="657" w:type="pct"/>
                  <w:vMerge w:val="continue"/>
                  <w:vAlign w:val="center"/>
                </w:tcPr>
                <w:p w14:paraId="67C22A29">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p>
              </w:tc>
              <w:tc>
                <w:tcPr>
                  <w:tcW w:w="1306" w:type="pct"/>
                  <w:vMerge w:val="continue"/>
                  <w:vAlign w:val="center"/>
                </w:tcPr>
                <w:p w14:paraId="2E04A337">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p>
              </w:tc>
            </w:tr>
            <w:tr w14:paraId="03A2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54" w:type="pct"/>
                  <w:vMerge w:val="continue"/>
                  <w:vAlign w:val="center"/>
                </w:tcPr>
                <w:p w14:paraId="33C30E8B">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Times New Roman" w:eastAsia="宋体"/>
                      <w:b w:val="0"/>
                      <w:bCs w:val="0"/>
                      <w:color w:val="auto"/>
                      <w:kern w:val="2"/>
                      <w:sz w:val="21"/>
                      <w:vertAlign w:val="baseline"/>
                      <w:lang w:val="en-US" w:eastAsia="zh-CN" w:bidi="ar"/>
                    </w:rPr>
                  </w:pPr>
                </w:p>
              </w:tc>
              <w:tc>
                <w:tcPr>
                  <w:tcW w:w="526" w:type="pct"/>
                  <w:vAlign w:val="center"/>
                </w:tcPr>
                <w:p w14:paraId="7242CF86">
                  <w:pPr>
                    <w:pStyle w:val="37"/>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eastAsia="宋体"/>
                      <w:b w:val="0"/>
                      <w:bCs w:val="0"/>
                      <w:color w:val="auto"/>
                      <w:kern w:val="2"/>
                      <w:sz w:val="21"/>
                      <w:vertAlign w:val="baseline"/>
                      <w:lang w:val="en-US" w:eastAsia="zh-CN" w:bidi="ar"/>
                    </w:rPr>
                  </w:pPr>
                  <w:r>
                    <w:rPr>
                      <w:rFonts w:hint="eastAsia" w:ascii="Times New Roman" w:hAnsi="Times New Roman" w:eastAsia="宋体"/>
                      <w:color w:val="auto"/>
                      <w:sz w:val="21"/>
                      <w:szCs w:val="21"/>
                    </w:rPr>
                    <w:t>NO</w:t>
                  </w:r>
                  <w:r>
                    <w:rPr>
                      <w:rFonts w:hint="eastAsia" w:ascii="Times New Roman" w:hAnsi="Times New Roman" w:eastAsia="宋体"/>
                      <w:color w:val="auto"/>
                      <w:sz w:val="21"/>
                      <w:szCs w:val="21"/>
                      <w:vertAlign w:val="subscript"/>
                    </w:rPr>
                    <w:t>X</w:t>
                  </w:r>
                </w:p>
              </w:tc>
              <w:tc>
                <w:tcPr>
                  <w:tcW w:w="804" w:type="pct"/>
                  <w:vAlign w:val="center"/>
                </w:tcPr>
                <w:p w14:paraId="3F73ADD9">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eastAsia="宋体"/>
                      <w:b w:val="0"/>
                      <w:bCs w:val="0"/>
                      <w:color w:val="auto"/>
                      <w:kern w:val="2"/>
                      <w:sz w:val="21"/>
                      <w:vertAlign w:val="baseline"/>
                      <w:lang w:val="en-US" w:eastAsia="zh-CN" w:bidi="ar"/>
                    </w:rPr>
                  </w:pPr>
                  <w:r>
                    <w:rPr>
                      <w:rFonts w:hint="eastAsia"/>
                      <w:b w:val="0"/>
                      <w:bCs w:val="0"/>
                      <w:color w:val="auto"/>
                      <w:kern w:val="2"/>
                      <w:sz w:val="21"/>
                      <w:vertAlign w:val="baseline"/>
                      <w:lang w:val="en-US" w:eastAsia="zh-CN" w:bidi="ar"/>
                    </w:rPr>
                    <w:t>2.55</w:t>
                  </w:r>
                </w:p>
              </w:tc>
              <w:tc>
                <w:tcPr>
                  <w:tcW w:w="1050" w:type="pct"/>
                  <w:vAlign w:val="center"/>
                </w:tcPr>
                <w:p w14:paraId="42F103ED">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eastAsia="宋体"/>
                      <w:b w:val="0"/>
                      <w:bCs w:val="0"/>
                      <w:color w:val="auto"/>
                      <w:kern w:val="2"/>
                      <w:sz w:val="21"/>
                      <w:vertAlign w:val="baseline"/>
                      <w:lang w:val="en-US" w:eastAsia="zh-CN" w:bidi="ar"/>
                    </w:rPr>
                  </w:pPr>
                  <w:r>
                    <w:rPr>
                      <w:rFonts w:hint="eastAsia"/>
                      <w:b w:val="0"/>
                      <w:bCs w:val="0"/>
                      <w:color w:val="auto"/>
                      <w:kern w:val="2"/>
                      <w:sz w:val="21"/>
                      <w:vertAlign w:val="baseline"/>
                      <w:lang w:val="en-US" w:eastAsia="zh-CN" w:bidi="ar"/>
                    </w:rPr>
                    <w:t>132.83</w:t>
                  </w:r>
                </w:p>
              </w:tc>
              <w:tc>
                <w:tcPr>
                  <w:tcW w:w="657" w:type="pct"/>
                  <w:vMerge w:val="continue"/>
                  <w:vAlign w:val="center"/>
                </w:tcPr>
                <w:p w14:paraId="7C2C4D59">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Times New Roman" w:eastAsia="宋体"/>
                      <w:b w:val="0"/>
                      <w:bCs w:val="0"/>
                      <w:color w:val="auto"/>
                      <w:kern w:val="2"/>
                      <w:sz w:val="21"/>
                      <w:vertAlign w:val="baseline"/>
                      <w:lang w:val="en-US" w:eastAsia="zh-CN" w:bidi="ar"/>
                    </w:rPr>
                  </w:pPr>
                </w:p>
              </w:tc>
              <w:tc>
                <w:tcPr>
                  <w:tcW w:w="1306" w:type="pct"/>
                  <w:vMerge w:val="continue"/>
                  <w:vAlign w:val="center"/>
                </w:tcPr>
                <w:p w14:paraId="04861902">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Times New Roman" w:eastAsia="宋体"/>
                      <w:b w:val="0"/>
                      <w:bCs w:val="0"/>
                      <w:color w:val="auto"/>
                      <w:kern w:val="2"/>
                      <w:sz w:val="21"/>
                      <w:vertAlign w:val="baseline"/>
                      <w:lang w:val="en-US" w:eastAsia="zh-CN" w:bidi="ar"/>
                    </w:rPr>
                  </w:pPr>
                </w:p>
              </w:tc>
            </w:tr>
          </w:tbl>
          <w:p w14:paraId="112EB9C5">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eastAsia" w:ascii="Times New Roman"/>
                <w:b w:val="0"/>
                <w:bCs w:val="0"/>
                <w:color w:val="auto"/>
                <w:kern w:val="2"/>
                <w:sz w:val="24"/>
                <w:lang w:val="en-US" w:eastAsia="zh-CN" w:bidi="ar"/>
              </w:rPr>
            </w:pPr>
            <w:r>
              <w:rPr>
                <w:rFonts w:hint="eastAsia" w:ascii="Times New Roman"/>
                <w:b w:val="0"/>
                <w:bCs w:val="0"/>
                <w:color w:val="auto"/>
                <w:kern w:val="2"/>
                <w:sz w:val="24"/>
                <w:lang w:val="en-US" w:eastAsia="zh-CN" w:bidi="ar"/>
              </w:rPr>
              <w:t>因此，企业应加强管理，严格操作规范，提高工人素质，确保污染防治措施正常运行，防患于未然，一旦发生非正常排放，应立即检修，将非正常排放概率降到最小。</w:t>
            </w:r>
          </w:p>
          <w:p w14:paraId="3AF9E36F">
            <w:pPr>
              <w:pStyle w:val="2"/>
              <w:keepNext w:val="0"/>
              <w:keepLines w:val="0"/>
              <w:suppressLineNumbers w:val="0"/>
              <w:tabs>
                <w:tab w:val="left" w:pos="2760"/>
              </w:tabs>
              <w:spacing w:before="0" w:beforeAutospacing="0" w:after="0" w:afterAutospacing="0" w:line="372" w:lineRule="auto"/>
              <w:ind w:left="0" w:right="0" w:firstLine="482" w:firstLineChars="20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1.4</w:t>
            </w:r>
            <w:r>
              <w:rPr>
                <w:rFonts w:hint="eastAsia" w:ascii="Times New Roman" w:hAnsi="Times New Roman" w:cs="Times New Roman"/>
                <w:b/>
                <w:bCs/>
                <w:color w:val="auto"/>
                <w:highlight w:val="none"/>
                <w:lang w:val="en-US" w:eastAsia="zh-CN"/>
              </w:rPr>
              <w:t xml:space="preserve"> </w:t>
            </w:r>
            <w:r>
              <w:rPr>
                <w:rFonts w:hint="default" w:ascii="Times New Roman" w:hAnsi="Times New Roman" w:eastAsia="宋体" w:cs="Times New Roman"/>
                <w:b/>
                <w:bCs/>
                <w:color w:val="auto"/>
                <w:highlight w:val="none"/>
              </w:rPr>
              <w:t>排污口设置情况</w:t>
            </w:r>
          </w:p>
          <w:p w14:paraId="2758381E">
            <w:pPr>
              <w:pStyle w:val="147"/>
              <w:keepNext w:val="0"/>
              <w:keepLines w:val="0"/>
              <w:suppressLineNumbers w:val="0"/>
              <w:bidi w:val="0"/>
              <w:spacing w:before="0" w:beforeAutospacing="0" w:after="0" w:afterAutospacing="0"/>
              <w:ind w:left="0" w:right="0"/>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表4-</w:t>
            </w:r>
            <w:r>
              <w:rPr>
                <w:rFonts w:hint="eastAsia"/>
                <w:color w:val="auto"/>
                <w:highlight w:val="none"/>
                <w:lang w:val="en-US" w:eastAsia="zh-CN"/>
              </w:rPr>
              <w:t>8</w:t>
            </w:r>
            <w:r>
              <w:rPr>
                <w:rFonts w:hint="eastAsia" w:ascii="Times New Roman" w:hAnsi="Times New Roman" w:eastAsia="宋体"/>
                <w:color w:val="auto"/>
                <w:highlight w:val="none"/>
                <w:lang w:val="en-US" w:eastAsia="zh-CN"/>
              </w:rPr>
              <w:t xml:space="preserve">  废气排口情况</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338"/>
              <w:gridCol w:w="1360"/>
              <w:gridCol w:w="710"/>
              <w:gridCol w:w="710"/>
              <w:gridCol w:w="710"/>
              <w:gridCol w:w="828"/>
              <w:gridCol w:w="743"/>
              <w:gridCol w:w="663"/>
              <w:gridCol w:w="386"/>
            </w:tblGrid>
            <w:tr w14:paraId="25CD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5" w:type="pct"/>
                  <w:vMerge w:val="restart"/>
                  <w:vAlign w:val="center"/>
                </w:tcPr>
                <w:p w14:paraId="15331283">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编号</w:t>
                  </w:r>
                </w:p>
              </w:tc>
              <w:tc>
                <w:tcPr>
                  <w:tcW w:w="1649" w:type="pct"/>
                  <w:gridSpan w:val="2"/>
                  <w:vAlign w:val="center"/>
                </w:tcPr>
                <w:p w14:paraId="0A44D914">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排气筒底部中心坐标</w:t>
                  </w:r>
                </w:p>
              </w:tc>
              <w:tc>
                <w:tcPr>
                  <w:tcW w:w="434" w:type="pct"/>
                  <w:vMerge w:val="restart"/>
                  <w:vAlign w:val="center"/>
                </w:tcPr>
                <w:p w14:paraId="24DD2336">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排气筒底部海拔高度（m）</w:t>
                  </w:r>
                </w:p>
              </w:tc>
              <w:tc>
                <w:tcPr>
                  <w:tcW w:w="1828" w:type="pct"/>
                  <w:gridSpan w:val="4"/>
                  <w:vAlign w:val="center"/>
                </w:tcPr>
                <w:p w14:paraId="4BFA8B93">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排气筒参数</w:t>
                  </w:r>
                </w:p>
              </w:tc>
              <w:tc>
                <w:tcPr>
                  <w:tcW w:w="641" w:type="pct"/>
                  <w:gridSpan w:val="2"/>
                  <w:vAlign w:val="center"/>
                </w:tcPr>
                <w:p w14:paraId="528DD459">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运行参数</w:t>
                  </w:r>
                </w:p>
              </w:tc>
            </w:tr>
            <w:tr w14:paraId="3007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5" w:type="pct"/>
                  <w:vMerge w:val="continue"/>
                  <w:vAlign w:val="center"/>
                </w:tcPr>
                <w:p w14:paraId="6E07C0D7">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p>
              </w:tc>
              <w:tc>
                <w:tcPr>
                  <w:tcW w:w="818" w:type="pct"/>
                  <w:vAlign w:val="center"/>
                </w:tcPr>
                <w:p w14:paraId="38D2F0B7">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经度</w:t>
                  </w:r>
                </w:p>
              </w:tc>
              <w:tc>
                <w:tcPr>
                  <w:tcW w:w="830" w:type="pct"/>
                  <w:vAlign w:val="center"/>
                </w:tcPr>
                <w:p w14:paraId="2F6DAE59">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纬度</w:t>
                  </w:r>
                </w:p>
              </w:tc>
              <w:tc>
                <w:tcPr>
                  <w:tcW w:w="434" w:type="pct"/>
                  <w:vMerge w:val="continue"/>
                  <w:vAlign w:val="center"/>
                </w:tcPr>
                <w:p w14:paraId="2DB4DDD9">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p>
              </w:tc>
              <w:tc>
                <w:tcPr>
                  <w:tcW w:w="434" w:type="pct"/>
                  <w:vAlign w:val="center"/>
                </w:tcPr>
                <w:p w14:paraId="1662CB2E">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排气筒高度（m）</w:t>
                  </w:r>
                </w:p>
              </w:tc>
              <w:tc>
                <w:tcPr>
                  <w:tcW w:w="434" w:type="pct"/>
                  <w:vAlign w:val="center"/>
                </w:tcPr>
                <w:p w14:paraId="7BC104E4">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排气筒出口内径（m）</w:t>
                  </w:r>
                </w:p>
              </w:tc>
              <w:tc>
                <w:tcPr>
                  <w:tcW w:w="506" w:type="pct"/>
                  <w:vAlign w:val="center"/>
                </w:tcPr>
                <w:p w14:paraId="2B499B0E">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烟气流速（m/s）</w:t>
                  </w:r>
                </w:p>
              </w:tc>
              <w:tc>
                <w:tcPr>
                  <w:tcW w:w="452" w:type="pct"/>
                  <w:vAlign w:val="center"/>
                </w:tcPr>
                <w:p w14:paraId="65ED090E">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烟气温度（℃）</w:t>
                  </w:r>
                </w:p>
              </w:tc>
              <w:tc>
                <w:tcPr>
                  <w:tcW w:w="405" w:type="pct"/>
                  <w:vAlign w:val="center"/>
                </w:tcPr>
                <w:p w14:paraId="46399C90">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年排放小时数（h）</w:t>
                  </w:r>
                </w:p>
              </w:tc>
              <w:tc>
                <w:tcPr>
                  <w:tcW w:w="236" w:type="pct"/>
                  <w:vAlign w:val="center"/>
                </w:tcPr>
                <w:p w14:paraId="32D8B362">
                  <w:pPr>
                    <w:pStyle w:val="147"/>
                    <w:keepNext w:val="0"/>
                    <w:keepLines w:val="0"/>
                    <w:suppressLineNumbers w:val="0"/>
                    <w:bidi w:val="0"/>
                    <w:spacing w:before="0" w:beforeAutospacing="0" w:after="0" w:afterAutospacing="0"/>
                    <w:ind w:left="0" w:right="0"/>
                    <w:rPr>
                      <w:rFonts w:hint="default" w:ascii="Times New Roman" w:hAnsi="Times New Roman" w:eastAsia="宋体"/>
                      <w:color w:val="auto"/>
                      <w:highlight w:val="none"/>
                      <w:vertAlign w:val="baseline"/>
                      <w:lang w:val="en-US" w:eastAsia="zh-CN"/>
                    </w:rPr>
                  </w:pPr>
                  <w:r>
                    <w:rPr>
                      <w:rFonts w:hint="eastAsia" w:ascii="Times New Roman" w:hAnsi="Times New Roman" w:eastAsia="宋体"/>
                      <w:color w:val="auto"/>
                      <w:highlight w:val="none"/>
                      <w:vertAlign w:val="baseline"/>
                      <w:lang w:val="en-US" w:eastAsia="zh-CN"/>
                    </w:rPr>
                    <w:t>排放工况</w:t>
                  </w:r>
                </w:p>
              </w:tc>
            </w:tr>
            <w:tr w14:paraId="459B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5" w:type="pct"/>
                  <w:vAlign w:val="center"/>
                </w:tcPr>
                <w:p w14:paraId="3A0F0E47">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eastAsia" w:ascii="Times New Roman" w:hAnsi="Times New Roman" w:eastAsia="宋体"/>
                      <w:b w:val="0"/>
                      <w:bCs/>
                      <w:color w:val="auto"/>
                      <w:highlight w:val="none"/>
                      <w:vertAlign w:val="baseline"/>
                      <w:lang w:val="en-US" w:eastAsia="zh-CN"/>
                    </w:rPr>
                    <w:t>DA001</w:t>
                  </w:r>
                </w:p>
              </w:tc>
              <w:tc>
                <w:tcPr>
                  <w:tcW w:w="818" w:type="pct"/>
                  <w:vAlign w:val="center"/>
                </w:tcPr>
                <w:p w14:paraId="544DEEAF">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default" w:ascii="Times New Roman" w:hAnsi="Times New Roman" w:eastAsia="宋体" w:cs="Times New Roman"/>
                      <w:b w:val="0"/>
                      <w:bCs/>
                      <w:color w:val="auto"/>
                      <w:sz w:val="21"/>
                      <w:szCs w:val="21"/>
                      <w:highlight w:val="none"/>
                      <w:u w:val="none"/>
                    </w:rPr>
                    <w:t>E8</w:t>
                  </w:r>
                  <w:r>
                    <w:rPr>
                      <w:rFonts w:hint="eastAsia" w:cs="Times New Roman"/>
                      <w:b w:val="0"/>
                      <w:bCs/>
                      <w:color w:val="auto"/>
                      <w:sz w:val="21"/>
                      <w:szCs w:val="21"/>
                      <w:highlight w:val="none"/>
                      <w:u w:val="none"/>
                      <w:lang w:val="en-US" w:eastAsia="zh-CN"/>
                    </w:rPr>
                    <w:t>4</w:t>
                  </w:r>
                  <w:r>
                    <w:rPr>
                      <w:rFonts w:hint="default" w:ascii="Times New Roman" w:hAnsi="Times New Roman" w:cs="Times New Roman"/>
                      <w:b w:val="0"/>
                      <w:bCs/>
                      <w:color w:val="auto"/>
                      <w:sz w:val="21"/>
                      <w:szCs w:val="21"/>
                      <w:highlight w:val="none"/>
                      <w:u w:val="none"/>
                      <w:lang w:val="en-US" w:eastAsia="zh-CN"/>
                    </w:rPr>
                    <w:t>°</w:t>
                  </w:r>
                  <w:r>
                    <w:rPr>
                      <w:rFonts w:hint="default" w:ascii="Times New Roman" w:hAnsi="Times New Roman" w:eastAsia="宋体" w:cs="Times New Roman"/>
                      <w:b w:val="0"/>
                      <w:bCs/>
                      <w:color w:val="auto"/>
                      <w:sz w:val="21"/>
                      <w:szCs w:val="21"/>
                      <w:highlight w:val="none"/>
                      <w:u w:val="none"/>
                      <w:lang w:val="en-US" w:eastAsia="zh-CN"/>
                    </w:rPr>
                    <w:t>52</w:t>
                  </w:r>
                  <w:r>
                    <w:rPr>
                      <w:rFonts w:hint="default" w:ascii="Times New Roman" w:hAnsi="Times New Roman" w:cs="Times New Roman"/>
                      <w:b w:val="0"/>
                      <w:bCs/>
                      <w:color w:val="auto"/>
                      <w:sz w:val="21"/>
                      <w:szCs w:val="21"/>
                      <w:highlight w:val="none"/>
                      <w:u w:val="none"/>
                      <w:lang w:val="en-US" w:eastAsia="zh-CN"/>
                    </w:rPr>
                    <w:t>′</w:t>
                  </w:r>
                  <w:r>
                    <w:rPr>
                      <w:rFonts w:hint="eastAsia" w:cs="Times New Roman"/>
                      <w:b w:val="0"/>
                      <w:bCs/>
                      <w:color w:val="auto"/>
                      <w:sz w:val="21"/>
                      <w:szCs w:val="21"/>
                      <w:highlight w:val="none"/>
                      <w:u w:val="none"/>
                      <w:lang w:val="en-US" w:eastAsia="zh-CN"/>
                    </w:rPr>
                    <w:t>06.008</w:t>
                  </w:r>
                  <w:r>
                    <w:rPr>
                      <w:rFonts w:hint="default" w:ascii="Times New Roman" w:hAnsi="Times New Roman" w:cs="Times New Roman"/>
                      <w:b w:val="0"/>
                      <w:bCs/>
                      <w:color w:val="auto"/>
                      <w:sz w:val="21"/>
                      <w:szCs w:val="21"/>
                      <w:highlight w:val="none"/>
                      <w:u w:val="none"/>
                      <w:lang w:val="en-US" w:eastAsia="zh-CN"/>
                    </w:rPr>
                    <w:t>″</w:t>
                  </w:r>
                </w:p>
              </w:tc>
              <w:tc>
                <w:tcPr>
                  <w:tcW w:w="830" w:type="pct"/>
                  <w:vAlign w:val="center"/>
                </w:tcPr>
                <w:p w14:paraId="317E7A9B">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default" w:ascii="Times New Roman" w:hAnsi="Times New Roman" w:eastAsia="宋体" w:cs="Times New Roman"/>
                      <w:b w:val="0"/>
                      <w:bCs/>
                      <w:color w:val="auto"/>
                      <w:sz w:val="21"/>
                      <w:szCs w:val="21"/>
                      <w:highlight w:val="none"/>
                      <w:u w:val="none"/>
                    </w:rPr>
                    <w:t>N4</w:t>
                  </w:r>
                  <w:r>
                    <w:rPr>
                      <w:rFonts w:hint="eastAsia" w:cs="Times New Roman"/>
                      <w:b w:val="0"/>
                      <w:bCs/>
                      <w:color w:val="auto"/>
                      <w:sz w:val="21"/>
                      <w:szCs w:val="21"/>
                      <w:highlight w:val="none"/>
                      <w:u w:val="none"/>
                      <w:lang w:val="en-US" w:eastAsia="zh-CN"/>
                    </w:rPr>
                    <w:t>4</w:t>
                  </w:r>
                  <w:r>
                    <w:rPr>
                      <w:rFonts w:hint="default" w:ascii="Times New Roman" w:hAnsi="Times New Roman" w:cs="Times New Roman"/>
                      <w:b w:val="0"/>
                      <w:bCs/>
                      <w:color w:val="auto"/>
                      <w:sz w:val="21"/>
                      <w:szCs w:val="21"/>
                      <w:highlight w:val="none"/>
                      <w:u w:val="none"/>
                      <w:lang w:val="en-US" w:eastAsia="zh-CN"/>
                    </w:rPr>
                    <w:t>°</w:t>
                  </w:r>
                  <w:r>
                    <w:rPr>
                      <w:rFonts w:hint="eastAsia" w:cs="Times New Roman"/>
                      <w:b w:val="0"/>
                      <w:bCs/>
                      <w:color w:val="auto"/>
                      <w:sz w:val="21"/>
                      <w:szCs w:val="21"/>
                      <w:highlight w:val="none"/>
                      <w:u w:val="none"/>
                      <w:lang w:val="en-US" w:eastAsia="zh-CN"/>
                    </w:rPr>
                    <w:t>29</w:t>
                  </w:r>
                  <w:r>
                    <w:rPr>
                      <w:rFonts w:hint="default" w:ascii="Times New Roman" w:hAnsi="Times New Roman" w:cs="Times New Roman"/>
                      <w:b w:val="0"/>
                      <w:bCs/>
                      <w:color w:val="auto"/>
                      <w:sz w:val="21"/>
                      <w:szCs w:val="21"/>
                      <w:highlight w:val="none"/>
                      <w:u w:val="none"/>
                      <w:lang w:val="en-US" w:eastAsia="zh-CN"/>
                    </w:rPr>
                    <w:t>′</w:t>
                  </w:r>
                  <w:r>
                    <w:rPr>
                      <w:rFonts w:hint="eastAsia" w:cs="Times New Roman"/>
                      <w:b w:val="0"/>
                      <w:bCs/>
                      <w:color w:val="auto"/>
                      <w:sz w:val="21"/>
                      <w:szCs w:val="21"/>
                      <w:highlight w:val="none"/>
                      <w:u w:val="none"/>
                      <w:lang w:val="en-US" w:eastAsia="zh-CN"/>
                    </w:rPr>
                    <w:t>10.540</w:t>
                  </w:r>
                  <w:r>
                    <w:rPr>
                      <w:rFonts w:hint="default" w:ascii="Times New Roman" w:hAnsi="Times New Roman" w:cs="Times New Roman"/>
                      <w:b w:val="0"/>
                      <w:bCs/>
                      <w:color w:val="auto"/>
                      <w:sz w:val="21"/>
                      <w:szCs w:val="21"/>
                      <w:highlight w:val="none"/>
                      <w:u w:val="none"/>
                      <w:lang w:val="en-US" w:eastAsia="zh-CN"/>
                    </w:rPr>
                    <w:t>″</w:t>
                  </w:r>
                </w:p>
              </w:tc>
              <w:tc>
                <w:tcPr>
                  <w:tcW w:w="434" w:type="pct"/>
                  <w:vAlign w:val="center"/>
                </w:tcPr>
                <w:p w14:paraId="0E594F6B">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eastAsia"/>
                      <w:b w:val="0"/>
                      <w:bCs/>
                      <w:color w:val="auto"/>
                      <w:highlight w:val="none"/>
                      <w:vertAlign w:val="baseline"/>
                      <w:lang w:val="en-US" w:eastAsia="zh-CN"/>
                    </w:rPr>
                    <w:t>414</w:t>
                  </w:r>
                </w:p>
              </w:tc>
              <w:tc>
                <w:tcPr>
                  <w:tcW w:w="434" w:type="pct"/>
                  <w:vAlign w:val="center"/>
                </w:tcPr>
                <w:p w14:paraId="2C2832E6">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eastAsia"/>
                      <w:b w:val="0"/>
                      <w:bCs/>
                      <w:color w:val="auto"/>
                      <w:highlight w:val="none"/>
                      <w:vertAlign w:val="baseline"/>
                      <w:lang w:val="en-US" w:eastAsia="zh-CN"/>
                    </w:rPr>
                    <w:t>17</w:t>
                  </w:r>
                </w:p>
              </w:tc>
              <w:tc>
                <w:tcPr>
                  <w:tcW w:w="434" w:type="pct"/>
                  <w:vAlign w:val="center"/>
                </w:tcPr>
                <w:p w14:paraId="3BBCB84A">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eastAsia"/>
                      <w:b w:val="0"/>
                      <w:bCs/>
                      <w:color w:val="auto"/>
                      <w:highlight w:val="none"/>
                      <w:vertAlign w:val="baseline"/>
                      <w:lang w:val="en-US" w:eastAsia="zh-CN"/>
                    </w:rPr>
                    <w:t>0.4</w:t>
                  </w:r>
                </w:p>
              </w:tc>
              <w:tc>
                <w:tcPr>
                  <w:tcW w:w="506" w:type="pct"/>
                  <w:vAlign w:val="center"/>
                </w:tcPr>
                <w:p w14:paraId="1F18BAA4">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eastAsia"/>
                      <w:b w:val="0"/>
                      <w:bCs/>
                      <w:color w:val="auto"/>
                      <w:highlight w:val="none"/>
                      <w:vertAlign w:val="baseline"/>
                      <w:lang w:val="en-US" w:eastAsia="zh-CN"/>
                    </w:rPr>
                    <w:t>10.61</w:t>
                  </w:r>
                </w:p>
              </w:tc>
              <w:tc>
                <w:tcPr>
                  <w:tcW w:w="452" w:type="pct"/>
                  <w:vAlign w:val="center"/>
                </w:tcPr>
                <w:p w14:paraId="54652287">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eastAsia"/>
                      <w:b w:val="0"/>
                      <w:bCs/>
                      <w:color w:val="auto"/>
                      <w:highlight w:val="none"/>
                      <w:vertAlign w:val="baseline"/>
                      <w:lang w:val="en-US" w:eastAsia="zh-CN"/>
                    </w:rPr>
                    <w:t>120</w:t>
                  </w:r>
                </w:p>
              </w:tc>
              <w:tc>
                <w:tcPr>
                  <w:tcW w:w="405" w:type="pct"/>
                  <w:vAlign w:val="center"/>
                </w:tcPr>
                <w:p w14:paraId="443D7A73">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eastAsia"/>
                      <w:b w:val="0"/>
                      <w:bCs/>
                      <w:color w:val="auto"/>
                      <w:highlight w:val="none"/>
                      <w:vertAlign w:val="baseline"/>
                      <w:lang w:val="en-US" w:eastAsia="zh-CN"/>
                    </w:rPr>
                    <w:t>1200</w:t>
                  </w:r>
                </w:p>
              </w:tc>
              <w:tc>
                <w:tcPr>
                  <w:tcW w:w="236" w:type="pct"/>
                  <w:vAlign w:val="center"/>
                </w:tcPr>
                <w:p w14:paraId="1BCAAEC9">
                  <w:pPr>
                    <w:pStyle w:val="147"/>
                    <w:keepNext w:val="0"/>
                    <w:keepLines w:val="0"/>
                    <w:suppressLineNumbers w:val="0"/>
                    <w:bidi w:val="0"/>
                    <w:spacing w:before="0" w:beforeAutospacing="0" w:after="0" w:afterAutospacing="0"/>
                    <w:ind w:left="0" w:leftChars="0" w:right="0" w:rightChars="0"/>
                    <w:rPr>
                      <w:rFonts w:hint="default" w:ascii="Times New Roman" w:hAnsi="Times New Roman" w:eastAsia="宋体"/>
                      <w:b w:val="0"/>
                      <w:bCs/>
                      <w:color w:val="auto"/>
                      <w:highlight w:val="none"/>
                      <w:vertAlign w:val="baseline"/>
                      <w:lang w:val="en-US" w:eastAsia="zh-CN"/>
                    </w:rPr>
                  </w:pPr>
                  <w:r>
                    <w:rPr>
                      <w:rFonts w:hint="eastAsia" w:ascii="Times New Roman" w:hAnsi="Times New Roman" w:eastAsia="宋体"/>
                      <w:b w:val="0"/>
                      <w:bCs/>
                      <w:color w:val="auto"/>
                      <w:highlight w:val="none"/>
                      <w:vertAlign w:val="baseline"/>
                      <w:lang w:val="en-US" w:eastAsia="zh-CN"/>
                    </w:rPr>
                    <w:t>正常</w:t>
                  </w:r>
                </w:p>
              </w:tc>
            </w:tr>
          </w:tbl>
          <w:p w14:paraId="729C2A9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Cs w:val="21"/>
                <w:highlight w:val="none"/>
                <w:lang w:bidi="ar"/>
              </w:rPr>
            </w:pPr>
            <w:r>
              <w:rPr>
                <w:rFonts w:hint="default" w:ascii="Times New Roman" w:hAnsi="Times New Roman" w:eastAsia="宋体" w:cs="Times New Roman"/>
                <w:b/>
                <w:bCs/>
                <w:color w:val="auto"/>
                <w:kern w:val="0"/>
                <w:szCs w:val="21"/>
                <w:highlight w:val="none"/>
                <w:lang w:bidi="ar"/>
              </w:rPr>
              <w:t>表4-</w:t>
            </w:r>
            <w:r>
              <w:rPr>
                <w:rFonts w:hint="eastAsia" w:cs="Times New Roman"/>
                <w:b/>
                <w:bCs/>
                <w:color w:val="auto"/>
                <w:kern w:val="0"/>
                <w:szCs w:val="21"/>
                <w:highlight w:val="none"/>
                <w:lang w:val="en-US" w:eastAsia="zh-CN" w:bidi="ar"/>
              </w:rPr>
              <w:t xml:space="preserve">9  </w:t>
            </w:r>
            <w:r>
              <w:rPr>
                <w:rFonts w:hint="default" w:ascii="Times New Roman" w:hAnsi="Times New Roman" w:eastAsia="宋体" w:cs="Times New Roman"/>
                <w:b/>
                <w:bCs/>
                <w:color w:val="auto"/>
                <w:kern w:val="0"/>
                <w:szCs w:val="21"/>
                <w:highlight w:val="none"/>
                <w:lang w:bidi="ar"/>
              </w:rPr>
              <w:t>大气污染物有组织排放量核算表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1339"/>
              <w:gridCol w:w="1337"/>
              <w:gridCol w:w="1339"/>
              <w:gridCol w:w="1339"/>
              <w:gridCol w:w="1339"/>
            </w:tblGrid>
            <w:tr w14:paraId="08FA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Borders>
                    <w:tl2br w:val="nil"/>
                    <w:tr2bl w:val="nil"/>
                  </w:tcBorders>
                  <w:noWrap w:val="0"/>
                  <w:vAlign w:val="center"/>
                </w:tcPr>
                <w:p w14:paraId="75C58A8F">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序号</w:t>
                  </w:r>
                </w:p>
              </w:tc>
              <w:tc>
                <w:tcPr>
                  <w:tcW w:w="1339" w:type="dxa"/>
                  <w:tcBorders>
                    <w:tl2br w:val="nil"/>
                    <w:tr2bl w:val="nil"/>
                  </w:tcBorders>
                  <w:noWrap w:val="0"/>
                  <w:vAlign w:val="center"/>
                </w:tcPr>
                <w:p w14:paraId="1B93A902">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排放口编号</w:t>
                  </w:r>
                </w:p>
              </w:tc>
              <w:tc>
                <w:tcPr>
                  <w:tcW w:w="1337" w:type="dxa"/>
                  <w:tcBorders>
                    <w:tl2br w:val="nil"/>
                    <w:tr2bl w:val="nil"/>
                  </w:tcBorders>
                  <w:noWrap w:val="0"/>
                  <w:vAlign w:val="center"/>
                </w:tcPr>
                <w:p w14:paraId="332F93BE">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w:t>
                  </w:r>
                </w:p>
              </w:tc>
              <w:tc>
                <w:tcPr>
                  <w:tcW w:w="1339" w:type="dxa"/>
                  <w:tcBorders>
                    <w:tl2br w:val="nil"/>
                    <w:tr2bl w:val="nil"/>
                  </w:tcBorders>
                  <w:noWrap w:val="0"/>
                  <w:vAlign w:val="center"/>
                </w:tcPr>
                <w:p w14:paraId="19034D2A">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核算排放浓度</w:t>
                  </w:r>
                  <w:r>
                    <w:rPr>
                      <w:rFonts w:hint="default" w:ascii="Times New Roman" w:hAnsi="Times New Roman" w:eastAsia="宋体" w:cs="Times New Roman"/>
                      <w:b/>
                      <w:bCs/>
                      <w:color w:val="auto"/>
                      <w:sz w:val="21"/>
                      <w:szCs w:val="21"/>
                      <w:highlight w:val="none"/>
                    </w:rPr>
                    <w:t>（</w:t>
                  </w:r>
                  <w:r>
                    <w:rPr>
                      <w:rFonts w:hint="default" w:ascii="Times New Roman" w:hAnsi="Times New Roman" w:eastAsia="宋体" w:cs="Times New Roman"/>
                      <w:b/>
                      <w:bCs/>
                      <w:color w:val="auto"/>
                      <w:sz w:val="21"/>
                      <w:szCs w:val="21"/>
                      <w:highlight w:val="none"/>
                      <w:lang w:val="en-US" w:eastAsia="zh-CN"/>
                    </w:rPr>
                    <w:t>mg</w:t>
                  </w:r>
                  <w:r>
                    <w:rPr>
                      <w:rFonts w:hint="default" w:ascii="Times New Roman" w:hAnsi="Times New Roman" w:eastAsia="宋体" w:cs="Times New Roman"/>
                      <w:b/>
                      <w:bCs/>
                      <w:color w:val="auto"/>
                      <w:sz w:val="21"/>
                      <w:szCs w:val="21"/>
                      <w:highlight w:val="none"/>
                    </w:rPr>
                    <w:t>/m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rPr>
                    <w:t>）</w:t>
                  </w:r>
                </w:p>
              </w:tc>
              <w:tc>
                <w:tcPr>
                  <w:tcW w:w="1339" w:type="dxa"/>
                  <w:tcBorders>
                    <w:tl2br w:val="nil"/>
                    <w:tr2bl w:val="nil"/>
                  </w:tcBorders>
                  <w:noWrap w:val="0"/>
                  <w:vAlign w:val="center"/>
                </w:tcPr>
                <w:p w14:paraId="2CFBC4EE">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核算排放速率（kg/h）</w:t>
                  </w:r>
                </w:p>
              </w:tc>
              <w:tc>
                <w:tcPr>
                  <w:tcW w:w="1339" w:type="dxa"/>
                  <w:tcBorders>
                    <w:tl2br w:val="nil"/>
                    <w:tr2bl w:val="nil"/>
                  </w:tcBorders>
                  <w:noWrap w:val="0"/>
                  <w:vAlign w:val="center"/>
                </w:tcPr>
                <w:p w14:paraId="5EE1DCF3">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核算年排放量（t/a）</w:t>
                  </w:r>
                </w:p>
              </w:tc>
            </w:tr>
            <w:tr w14:paraId="5327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9" w:type="dxa"/>
                  <w:gridSpan w:val="6"/>
                  <w:tcBorders>
                    <w:tl2br w:val="nil"/>
                    <w:tr2bl w:val="nil"/>
                  </w:tcBorders>
                  <w:noWrap w:val="0"/>
                  <w:vAlign w:val="center"/>
                </w:tcPr>
                <w:p w14:paraId="15576533">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一般排放口</w:t>
                  </w:r>
                </w:p>
              </w:tc>
            </w:tr>
            <w:tr w14:paraId="6ED7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vMerge w:val="restart"/>
                  <w:tcBorders>
                    <w:tl2br w:val="nil"/>
                    <w:tr2bl w:val="nil"/>
                  </w:tcBorders>
                  <w:noWrap w:val="0"/>
                  <w:vAlign w:val="center"/>
                </w:tcPr>
                <w:p w14:paraId="3752B44E">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1339" w:type="dxa"/>
                  <w:vMerge w:val="restart"/>
                  <w:tcBorders>
                    <w:tl2br w:val="nil"/>
                    <w:tr2bl w:val="nil"/>
                  </w:tcBorders>
                  <w:noWrap w:val="0"/>
                  <w:vAlign w:val="center"/>
                </w:tcPr>
                <w:p w14:paraId="33620714">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DA001</w:t>
                  </w:r>
                </w:p>
              </w:tc>
              <w:tc>
                <w:tcPr>
                  <w:tcW w:w="1337" w:type="dxa"/>
                  <w:tcBorders>
                    <w:tl2br w:val="nil"/>
                    <w:tr2bl w:val="nil"/>
                  </w:tcBorders>
                  <w:noWrap w:val="0"/>
                  <w:vAlign w:val="center"/>
                </w:tcPr>
                <w:p w14:paraId="214ABECC">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1339" w:type="dxa"/>
                  <w:tcBorders>
                    <w:tl2br w:val="nil"/>
                    <w:tr2bl w:val="nil"/>
                  </w:tcBorders>
                  <w:noWrap w:val="0"/>
                  <w:vAlign w:val="center"/>
                </w:tcPr>
                <w:p w14:paraId="1AE3988A">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0.65</w:t>
                  </w:r>
                </w:p>
              </w:tc>
              <w:tc>
                <w:tcPr>
                  <w:tcW w:w="1339" w:type="dxa"/>
                  <w:tcBorders>
                    <w:tl2br w:val="nil"/>
                    <w:tr2bl w:val="nil"/>
                  </w:tcBorders>
                  <w:noWrap w:val="0"/>
                  <w:vAlign w:val="center"/>
                </w:tcPr>
                <w:p w14:paraId="067DA449">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0.0125</w:t>
                  </w:r>
                </w:p>
              </w:tc>
              <w:tc>
                <w:tcPr>
                  <w:tcW w:w="1339" w:type="dxa"/>
                  <w:tcBorders>
                    <w:tl2br w:val="nil"/>
                    <w:tr2bl w:val="nil"/>
                  </w:tcBorders>
                  <w:noWrap w:val="0"/>
                  <w:vAlign w:val="center"/>
                </w:tcPr>
                <w:p w14:paraId="7EEC6149">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rPr>
                  </w:pPr>
                  <w:r>
                    <w:rPr>
                      <w:rFonts w:hint="eastAsia" w:cs="Times New Roman"/>
                      <w:color w:val="auto"/>
                      <w:kern w:val="0"/>
                      <w:sz w:val="21"/>
                      <w:szCs w:val="21"/>
                      <w:lang w:val="en-US" w:eastAsia="zh-CN" w:bidi="ar"/>
                    </w:rPr>
                    <w:t>0.015</w:t>
                  </w:r>
                </w:p>
              </w:tc>
            </w:tr>
            <w:tr w14:paraId="159E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vMerge w:val="continue"/>
                  <w:tcBorders>
                    <w:tl2br w:val="nil"/>
                    <w:tr2bl w:val="nil"/>
                  </w:tcBorders>
                  <w:noWrap w:val="0"/>
                  <w:vAlign w:val="center"/>
                </w:tcPr>
                <w:p w14:paraId="73DCBA2C">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1339" w:type="dxa"/>
                  <w:vMerge w:val="continue"/>
                  <w:tcBorders>
                    <w:tl2br w:val="nil"/>
                    <w:tr2bl w:val="nil"/>
                  </w:tcBorders>
                  <w:noWrap w:val="0"/>
                  <w:vAlign w:val="center"/>
                </w:tcPr>
                <w:p w14:paraId="46B52C15">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1337" w:type="dxa"/>
                  <w:tcBorders>
                    <w:tl2br w:val="nil"/>
                    <w:tr2bl w:val="nil"/>
                  </w:tcBorders>
                  <w:noWrap w:val="0"/>
                  <w:vAlign w:val="center"/>
                </w:tcPr>
                <w:p w14:paraId="4FA54D95">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SO</w:t>
                  </w:r>
                  <w:r>
                    <w:rPr>
                      <w:rFonts w:hint="default" w:ascii="Times New Roman" w:hAnsi="Times New Roman" w:eastAsia="宋体" w:cs="Times New Roman"/>
                      <w:color w:val="auto"/>
                      <w:sz w:val="21"/>
                      <w:szCs w:val="21"/>
                      <w:highlight w:val="none"/>
                      <w:vertAlign w:val="subscript"/>
                      <w:lang w:val="en-US" w:eastAsia="zh-CN"/>
                    </w:rPr>
                    <w:t>2</w:t>
                  </w:r>
                </w:p>
              </w:tc>
              <w:tc>
                <w:tcPr>
                  <w:tcW w:w="1339" w:type="dxa"/>
                  <w:tcBorders>
                    <w:tl2br w:val="nil"/>
                    <w:tr2bl w:val="nil"/>
                  </w:tcBorders>
                  <w:noWrap w:val="0"/>
                  <w:vAlign w:val="center"/>
                </w:tcPr>
                <w:p w14:paraId="2A19F314">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30.00</w:t>
                  </w:r>
                </w:p>
              </w:tc>
              <w:tc>
                <w:tcPr>
                  <w:tcW w:w="1339" w:type="dxa"/>
                  <w:tcBorders>
                    <w:tl2br w:val="nil"/>
                    <w:tr2bl w:val="nil"/>
                  </w:tcBorders>
                  <w:noWrap w:val="0"/>
                  <w:vAlign w:val="center"/>
                </w:tcPr>
                <w:p w14:paraId="6456C73C">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0.5758</w:t>
                  </w:r>
                </w:p>
              </w:tc>
              <w:tc>
                <w:tcPr>
                  <w:tcW w:w="1339" w:type="dxa"/>
                  <w:tcBorders>
                    <w:tl2br w:val="nil"/>
                    <w:tr2bl w:val="nil"/>
                  </w:tcBorders>
                  <w:noWrap w:val="0"/>
                  <w:vAlign w:val="center"/>
                </w:tcPr>
                <w:p w14:paraId="35DA9C61">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rPr>
                  </w:pPr>
                  <w:r>
                    <w:rPr>
                      <w:rFonts w:hint="eastAsia" w:cs="Times New Roman"/>
                      <w:color w:val="auto"/>
                      <w:kern w:val="0"/>
                      <w:sz w:val="21"/>
                      <w:szCs w:val="21"/>
                      <w:lang w:val="en-US" w:eastAsia="zh-CN" w:bidi="ar"/>
                    </w:rPr>
                    <w:t>0.691</w:t>
                  </w:r>
                </w:p>
              </w:tc>
            </w:tr>
            <w:tr w14:paraId="5A53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vMerge w:val="continue"/>
                  <w:tcBorders>
                    <w:tl2br w:val="nil"/>
                    <w:tr2bl w:val="nil"/>
                  </w:tcBorders>
                  <w:noWrap w:val="0"/>
                  <w:vAlign w:val="center"/>
                </w:tcPr>
                <w:p w14:paraId="47649ADA">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1339" w:type="dxa"/>
                  <w:vMerge w:val="continue"/>
                  <w:tcBorders>
                    <w:tl2br w:val="nil"/>
                    <w:tr2bl w:val="nil"/>
                  </w:tcBorders>
                  <w:noWrap w:val="0"/>
                  <w:vAlign w:val="center"/>
                </w:tcPr>
                <w:p w14:paraId="3F5C87CC">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1337" w:type="dxa"/>
                  <w:tcBorders>
                    <w:tl2br w:val="nil"/>
                    <w:tr2bl w:val="nil"/>
                  </w:tcBorders>
                  <w:noWrap w:val="0"/>
                  <w:vAlign w:val="center"/>
                </w:tcPr>
                <w:p w14:paraId="030437DD">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NOx</w:t>
                  </w:r>
                </w:p>
              </w:tc>
              <w:tc>
                <w:tcPr>
                  <w:tcW w:w="1339" w:type="dxa"/>
                  <w:tcBorders>
                    <w:tl2br w:val="nil"/>
                    <w:tr2bl w:val="nil"/>
                  </w:tcBorders>
                  <w:noWrap w:val="0"/>
                  <w:vAlign w:val="center"/>
                </w:tcPr>
                <w:p w14:paraId="102504E9">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66.41</w:t>
                  </w:r>
                </w:p>
              </w:tc>
              <w:tc>
                <w:tcPr>
                  <w:tcW w:w="1339" w:type="dxa"/>
                  <w:tcBorders>
                    <w:tl2br w:val="nil"/>
                    <w:tr2bl w:val="nil"/>
                  </w:tcBorders>
                  <w:noWrap w:val="0"/>
                  <w:vAlign w:val="center"/>
                </w:tcPr>
                <w:p w14:paraId="54FA7E1E">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1.275</w:t>
                  </w:r>
                </w:p>
              </w:tc>
              <w:tc>
                <w:tcPr>
                  <w:tcW w:w="1339" w:type="dxa"/>
                  <w:tcBorders>
                    <w:tl2br w:val="nil"/>
                    <w:tr2bl w:val="nil"/>
                  </w:tcBorders>
                  <w:noWrap w:val="0"/>
                  <w:vAlign w:val="center"/>
                </w:tcPr>
                <w:p w14:paraId="0CF7885F">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rPr>
                  </w:pPr>
                  <w:r>
                    <w:rPr>
                      <w:rFonts w:hint="eastAsia" w:cs="Times New Roman"/>
                      <w:color w:val="auto"/>
                      <w:kern w:val="0"/>
                      <w:sz w:val="21"/>
                      <w:szCs w:val="21"/>
                      <w:lang w:val="en-US" w:eastAsia="zh-CN" w:bidi="ar"/>
                    </w:rPr>
                    <w:t>1.53</w:t>
                  </w:r>
                </w:p>
              </w:tc>
            </w:tr>
            <w:tr w14:paraId="29B7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9" w:type="dxa"/>
                  <w:gridSpan w:val="6"/>
                  <w:tcBorders>
                    <w:tl2br w:val="nil"/>
                    <w:tr2bl w:val="nil"/>
                  </w:tcBorders>
                  <w:noWrap w:val="0"/>
                  <w:vAlign w:val="center"/>
                </w:tcPr>
                <w:p w14:paraId="4E8CC6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TimesNewRomanPSMT" w:cs="Times New Roman"/>
                      <w:i w:val="0"/>
                      <w:iCs w:val="0"/>
                      <w:color w:val="auto"/>
                      <w:kern w:val="0"/>
                      <w:sz w:val="21"/>
                      <w:szCs w:val="21"/>
                      <w:highlight w:val="none"/>
                      <w:u w:val="none"/>
                      <w:lang w:val="en-US" w:eastAsia="zh-CN" w:bidi="ar"/>
                    </w:rPr>
                  </w:pPr>
                  <w:r>
                    <w:rPr>
                      <w:rFonts w:hint="default" w:ascii="Times New Roman" w:hAnsi="Times New Roman" w:eastAsia="TimesNewRomanPSMT" w:cs="Times New Roman"/>
                      <w:i w:val="0"/>
                      <w:iCs w:val="0"/>
                      <w:color w:val="auto"/>
                      <w:kern w:val="0"/>
                      <w:sz w:val="21"/>
                      <w:szCs w:val="21"/>
                      <w:highlight w:val="none"/>
                      <w:u w:val="none"/>
                      <w:lang w:val="en-US" w:eastAsia="zh-CN" w:bidi="ar"/>
                    </w:rPr>
                    <w:t>有组织排放总计</w:t>
                  </w:r>
                </w:p>
              </w:tc>
            </w:tr>
            <w:tr w14:paraId="3BBD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6690" w:type="dxa"/>
                  <w:gridSpan w:val="5"/>
                  <w:tcBorders>
                    <w:tl2br w:val="nil"/>
                    <w:tr2bl w:val="nil"/>
                  </w:tcBorders>
                  <w:noWrap w:val="0"/>
                  <w:vAlign w:val="center"/>
                </w:tcPr>
                <w:p w14:paraId="7EEDF6F5">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vertAlign w:val="baseline"/>
                      <w:lang w:val="en-US" w:eastAsia="zh-CN"/>
                    </w:rPr>
                    <w:t>颗粒物</w:t>
                  </w:r>
                </w:p>
              </w:tc>
              <w:tc>
                <w:tcPr>
                  <w:tcW w:w="1339" w:type="dxa"/>
                  <w:tcBorders>
                    <w:tl2br w:val="nil"/>
                    <w:tr2bl w:val="nil"/>
                  </w:tcBorders>
                  <w:noWrap w:val="0"/>
                  <w:vAlign w:val="center"/>
                </w:tcPr>
                <w:p w14:paraId="22559014">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0.015</w:t>
                  </w:r>
                </w:p>
              </w:tc>
            </w:tr>
            <w:tr w14:paraId="33C6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0" w:type="dxa"/>
                  <w:gridSpan w:val="5"/>
                  <w:tcBorders>
                    <w:tl2br w:val="nil"/>
                    <w:tr2bl w:val="nil"/>
                  </w:tcBorders>
                  <w:noWrap w:val="0"/>
                  <w:vAlign w:val="center"/>
                </w:tcPr>
                <w:p w14:paraId="7EFEAA49">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vertAlign w:val="baseline"/>
                      <w:lang w:val="en-US" w:eastAsia="zh-CN"/>
                    </w:rPr>
                    <w:t>SO</w:t>
                  </w:r>
                  <w:r>
                    <w:rPr>
                      <w:rFonts w:hint="default" w:ascii="Times New Roman" w:hAnsi="Times New Roman" w:eastAsia="宋体" w:cs="Times New Roman"/>
                      <w:color w:val="auto"/>
                      <w:sz w:val="21"/>
                      <w:szCs w:val="21"/>
                      <w:highlight w:val="none"/>
                      <w:vertAlign w:val="subscript"/>
                      <w:lang w:val="en-US" w:eastAsia="zh-CN"/>
                    </w:rPr>
                    <w:t>2</w:t>
                  </w:r>
                </w:p>
              </w:tc>
              <w:tc>
                <w:tcPr>
                  <w:tcW w:w="1339" w:type="dxa"/>
                  <w:tcBorders>
                    <w:tl2br w:val="nil"/>
                    <w:tr2bl w:val="nil"/>
                  </w:tcBorders>
                  <w:noWrap w:val="0"/>
                  <w:vAlign w:val="center"/>
                </w:tcPr>
                <w:p w14:paraId="611CA015">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0.691</w:t>
                  </w:r>
                </w:p>
              </w:tc>
            </w:tr>
            <w:tr w14:paraId="3854E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0" w:type="dxa"/>
                  <w:gridSpan w:val="5"/>
                  <w:tcBorders>
                    <w:tl2br w:val="nil"/>
                    <w:tr2bl w:val="nil"/>
                  </w:tcBorders>
                  <w:noWrap w:val="0"/>
                  <w:vAlign w:val="center"/>
                </w:tcPr>
                <w:p w14:paraId="0D2B9743">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vertAlign w:val="baseline"/>
                      <w:lang w:val="en-US" w:eastAsia="zh-CN"/>
                    </w:rPr>
                    <w:t>NOx</w:t>
                  </w:r>
                </w:p>
              </w:tc>
              <w:tc>
                <w:tcPr>
                  <w:tcW w:w="1339" w:type="dxa"/>
                  <w:tcBorders>
                    <w:tl2br w:val="nil"/>
                    <w:tr2bl w:val="nil"/>
                  </w:tcBorders>
                  <w:noWrap w:val="0"/>
                  <w:vAlign w:val="center"/>
                </w:tcPr>
                <w:p w14:paraId="23B7D3E0">
                  <w:pPr>
                    <w:keepNext w:val="0"/>
                    <w:keepLines w:val="0"/>
                    <w:pageBreakBefore w:val="0"/>
                    <w:widowControl/>
                    <w:suppressLineNumbers w:val="0"/>
                    <w:kinsoku/>
                    <w:wordWrap/>
                    <w:overflowPunct/>
                    <w:topLinePunct w:val="0"/>
                    <w:bidi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kern w:val="0"/>
                      <w:sz w:val="21"/>
                      <w:szCs w:val="21"/>
                      <w:lang w:val="en-US" w:eastAsia="zh-CN" w:bidi="ar"/>
                    </w:rPr>
                    <w:t>1.53</w:t>
                  </w:r>
                </w:p>
              </w:tc>
            </w:tr>
          </w:tbl>
          <w:p w14:paraId="74E5328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szCs w:val="21"/>
                <w:highlight w:val="none"/>
                <w:lang w:bidi="ar"/>
              </w:rPr>
            </w:pPr>
            <w:r>
              <w:rPr>
                <w:rFonts w:hint="default" w:ascii="Times New Roman" w:hAnsi="Times New Roman" w:eastAsia="宋体" w:cs="Times New Roman"/>
                <w:b/>
                <w:bCs/>
                <w:color w:val="auto"/>
                <w:kern w:val="0"/>
                <w:szCs w:val="21"/>
                <w:highlight w:val="none"/>
                <w:lang w:bidi="ar"/>
              </w:rPr>
              <w:t>表4-</w:t>
            </w:r>
            <w:r>
              <w:rPr>
                <w:rFonts w:hint="eastAsia" w:cs="Times New Roman"/>
                <w:b/>
                <w:bCs/>
                <w:color w:val="auto"/>
                <w:kern w:val="0"/>
                <w:szCs w:val="21"/>
                <w:highlight w:val="none"/>
                <w:lang w:val="en-US" w:eastAsia="zh-CN" w:bidi="ar"/>
              </w:rPr>
              <w:t xml:space="preserve">10 </w:t>
            </w:r>
            <w:r>
              <w:rPr>
                <w:rFonts w:hint="default" w:ascii="Times New Roman" w:hAnsi="Times New Roman" w:eastAsia="宋体" w:cs="Times New Roman"/>
                <w:b/>
                <w:bCs/>
                <w:color w:val="auto"/>
                <w:kern w:val="0"/>
                <w:szCs w:val="21"/>
                <w:highlight w:val="none"/>
                <w:lang w:bidi="ar"/>
              </w:rPr>
              <w:t xml:space="preserve"> 大气污染物</w:t>
            </w:r>
            <w:r>
              <w:rPr>
                <w:rFonts w:hint="default" w:ascii="Times New Roman" w:hAnsi="Times New Roman" w:eastAsia="宋体" w:cs="Times New Roman"/>
                <w:b/>
                <w:bCs/>
                <w:color w:val="auto"/>
                <w:kern w:val="0"/>
                <w:szCs w:val="21"/>
                <w:highlight w:val="none"/>
                <w:lang w:val="en-US" w:eastAsia="zh-CN" w:bidi="ar"/>
              </w:rPr>
              <w:t>无</w:t>
            </w:r>
            <w:r>
              <w:rPr>
                <w:rFonts w:hint="default" w:ascii="Times New Roman" w:hAnsi="Times New Roman" w:eastAsia="宋体" w:cs="Times New Roman"/>
                <w:b/>
                <w:bCs/>
                <w:color w:val="auto"/>
                <w:kern w:val="0"/>
                <w:szCs w:val="21"/>
                <w:highlight w:val="none"/>
                <w:lang w:bidi="ar"/>
              </w:rPr>
              <w:t>组织排放量核算表</w:t>
            </w:r>
          </w:p>
          <w:tbl>
            <w:tblPr>
              <w:tblStyle w:val="40"/>
              <w:tblW w:w="496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294"/>
              <w:gridCol w:w="950"/>
              <w:gridCol w:w="1260"/>
              <w:gridCol w:w="1294"/>
              <w:gridCol w:w="1531"/>
              <w:gridCol w:w="1352"/>
            </w:tblGrid>
            <w:tr w14:paraId="59E4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266" w:type="pct"/>
                  <w:vMerge w:val="restart"/>
                  <w:noWrap w:val="0"/>
                  <w:vAlign w:val="center"/>
                </w:tcPr>
                <w:p w14:paraId="12F3BC0D">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序号</w:t>
                  </w:r>
                </w:p>
              </w:tc>
              <w:tc>
                <w:tcPr>
                  <w:tcW w:w="796" w:type="pct"/>
                  <w:vMerge w:val="restart"/>
                  <w:noWrap w:val="0"/>
                  <w:vAlign w:val="center"/>
                </w:tcPr>
                <w:p w14:paraId="3C08CBD5">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产污环节</w:t>
                  </w:r>
                </w:p>
              </w:tc>
              <w:tc>
                <w:tcPr>
                  <w:tcW w:w="585" w:type="pct"/>
                  <w:vMerge w:val="restart"/>
                  <w:noWrap w:val="0"/>
                  <w:vAlign w:val="center"/>
                </w:tcPr>
                <w:p w14:paraId="009E859D">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污染物</w:t>
                  </w:r>
                </w:p>
              </w:tc>
              <w:tc>
                <w:tcPr>
                  <w:tcW w:w="776" w:type="pct"/>
                  <w:vMerge w:val="restart"/>
                  <w:noWrap w:val="0"/>
                  <w:vAlign w:val="center"/>
                </w:tcPr>
                <w:p w14:paraId="02CDBBBF">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防治措施</w:t>
                  </w:r>
                </w:p>
              </w:tc>
              <w:tc>
                <w:tcPr>
                  <w:tcW w:w="797" w:type="pct"/>
                  <w:vMerge w:val="restart"/>
                  <w:noWrap w:val="0"/>
                  <w:vAlign w:val="center"/>
                </w:tcPr>
                <w:p w14:paraId="6B2082BE">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年排放量（t/a）</w:t>
                  </w:r>
                </w:p>
              </w:tc>
              <w:tc>
                <w:tcPr>
                  <w:tcW w:w="1776" w:type="pct"/>
                  <w:gridSpan w:val="2"/>
                  <w:noWrap w:val="0"/>
                  <w:vAlign w:val="center"/>
                </w:tcPr>
                <w:p w14:paraId="20CA6505">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val="en-US" w:eastAsia="zh-CN"/>
                    </w:rPr>
                    <w:t>执行标准</w:t>
                  </w:r>
                </w:p>
              </w:tc>
            </w:tr>
            <w:tr w14:paraId="3B0B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noWrap w:val="0"/>
                  <w:vAlign w:val="center"/>
                </w:tcPr>
                <w:p w14:paraId="1B5099EC">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796" w:type="pct"/>
                  <w:vMerge w:val="continue"/>
                  <w:noWrap w:val="0"/>
                  <w:vAlign w:val="center"/>
                </w:tcPr>
                <w:p w14:paraId="5C1984A7">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585" w:type="pct"/>
                  <w:vMerge w:val="continue"/>
                  <w:noWrap w:val="0"/>
                  <w:vAlign w:val="center"/>
                </w:tcPr>
                <w:p w14:paraId="08AFD257">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776" w:type="pct"/>
                  <w:vMerge w:val="continue"/>
                  <w:noWrap w:val="0"/>
                  <w:vAlign w:val="center"/>
                </w:tcPr>
                <w:p w14:paraId="2CBBD96A">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797" w:type="pct"/>
                  <w:vMerge w:val="continue"/>
                  <w:noWrap w:val="0"/>
                  <w:vAlign w:val="center"/>
                </w:tcPr>
                <w:p w14:paraId="161BECC7">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943" w:type="pct"/>
                  <w:noWrap w:val="0"/>
                  <w:vAlign w:val="center"/>
                </w:tcPr>
                <w:p w14:paraId="5347C27D">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标准名称</w:t>
                  </w:r>
                </w:p>
              </w:tc>
              <w:tc>
                <w:tcPr>
                  <w:tcW w:w="833" w:type="pct"/>
                  <w:noWrap w:val="0"/>
                  <w:vAlign w:val="center"/>
                </w:tcPr>
                <w:p w14:paraId="7330DF70">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浓度限值</w:t>
                  </w:r>
                </w:p>
                <w:p w14:paraId="0565884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mg</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r>
            <w:tr w14:paraId="139B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noWrap w:val="0"/>
                  <w:vAlign w:val="center"/>
                </w:tcPr>
                <w:p w14:paraId="15C7D5A3">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796" w:type="pct"/>
                  <w:noWrap w:val="0"/>
                  <w:vAlign w:val="center"/>
                </w:tcPr>
                <w:p w14:paraId="6EB8C60D">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lang w:val="en-US" w:eastAsia="zh-CN"/>
                    </w:rPr>
                    <w:t>过筛和清理</w:t>
                  </w:r>
                </w:p>
              </w:tc>
              <w:tc>
                <w:tcPr>
                  <w:tcW w:w="585" w:type="pct"/>
                  <w:noWrap w:val="0"/>
                  <w:vAlign w:val="center"/>
                </w:tcPr>
                <w:p w14:paraId="2074B595">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776" w:type="pct"/>
                  <w:noWrap w:val="0"/>
                  <w:vAlign w:val="center"/>
                </w:tcPr>
                <w:p w14:paraId="2B84070A">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密闭收集+布袋集尘</w:t>
                  </w:r>
                </w:p>
              </w:tc>
              <w:tc>
                <w:tcPr>
                  <w:tcW w:w="797" w:type="pct"/>
                  <w:noWrap w:val="0"/>
                  <w:vAlign w:val="center"/>
                </w:tcPr>
                <w:p w14:paraId="50384C06">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2.6814</w:t>
                  </w:r>
                </w:p>
              </w:tc>
              <w:tc>
                <w:tcPr>
                  <w:tcW w:w="943" w:type="pct"/>
                  <w:vMerge w:val="restart"/>
                  <w:noWrap w:val="0"/>
                  <w:vAlign w:val="center"/>
                </w:tcPr>
                <w:p w14:paraId="60E50063">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《大气污染物综合排放标准》（GB16297-1996）</w:t>
                  </w:r>
                </w:p>
              </w:tc>
              <w:tc>
                <w:tcPr>
                  <w:tcW w:w="833" w:type="pct"/>
                  <w:vMerge w:val="restart"/>
                  <w:noWrap w:val="0"/>
                  <w:vAlign w:val="center"/>
                </w:tcPr>
                <w:p w14:paraId="6D52A327">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1.0</w:t>
                  </w:r>
                </w:p>
              </w:tc>
            </w:tr>
            <w:tr w14:paraId="6EA4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noWrap w:val="0"/>
                  <w:vAlign w:val="center"/>
                </w:tcPr>
                <w:p w14:paraId="77F73869">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w:t>
                  </w:r>
                </w:p>
              </w:tc>
              <w:tc>
                <w:tcPr>
                  <w:tcW w:w="796" w:type="pct"/>
                  <w:noWrap w:val="0"/>
                  <w:vAlign w:val="center"/>
                </w:tcPr>
                <w:p w14:paraId="3694EE26">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装卸粉尘</w:t>
                  </w:r>
                </w:p>
              </w:tc>
              <w:tc>
                <w:tcPr>
                  <w:tcW w:w="585" w:type="pct"/>
                  <w:noWrap w:val="0"/>
                  <w:vAlign w:val="center"/>
                </w:tcPr>
                <w:p w14:paraId="6913F45A">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val="en-US" w:eastAsia="zh-CN"/>
                    </w:rPr>
                    <w:t>颗粒物</w:t>
                  </w:r>
                </w:p>
              </w:tc>
              <w:tc>
                <w:tcPr>
                  <w:tcW w:w="776" w:type="pct"/>
                  <w:noWrap w:val="0"/>
                  <w:vAlign w:val="center"/>
                </w:tcPr>
                <w:p w14:paraId="6A17C371">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封闭产品库、减小装卸高度</w:t>
                  </w:r>
                </w:p>
              </w:tc>
              <w:tc>
                <w:tcPr>
                  <w:tcW w:w="797" w:type="pct"/>
                  <w:noWrap w:val="0"/>
                  <w:vAlign w:val="center"/>
                </w:tcPr>
                <w:p w14:paraId="099EBA6A">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3.936</w:t>
                  </w:r>
                </w:p>
              </w:tc>
              <w:tc>
                <w:tcPr>
                  <w:tcW w:w="943" w:type="pct"/>
                  <w:vMerge w:val="continue"/>
                  <w:noWrap w:val="0"/>
                  <w:vAlign w:val="center"/>
                </w:tcPr>
                <w:p w14:paraId="082ECCDE">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833" w:type="pct"/>
                  <w:vMerge w:val="continue"/>
                  <w:noWrap w:val="0"/>
                  <w:vAlign w:val="center"/>
                </w:tcPr>
                <w:p w14:paraId="7CCAE3BE">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r>
            <w:tr w14:paraId="6D0F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noWrap w:val="0"/>
                  <w:vAlign w:val="center"/>
                </w:tcPr>
                <w:p w14:paraId="379CD3E9">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w:t>
                  </w:r>
                </w:p>
              </w:tc>
              <w:tc>
                <w:tcPr>
                  <w:tcW w:w="796" w:type="pct"/>
                  <w:noWrap w:val="0"/>
                  <w:vAlign w:val="center"/>
                </w:tcPr>
                <w:p w14:paraId="3755E91E">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烘干粉尘</w:t>
                  </w:r>
                </w:p>
              </w:tc>
              <w:tc>
                <w:tcPr>
                  <w:tcW w:w="585" w:type="pct"/>
                  <w:noWrap w:val="0"/>
                  <w:vAlign w:val="center"/>
                </w:tcPr>
                <w:p w14:paraId="5A282F4D">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val="en-US" w:eastAsia="zh-CN"/>
                    </w:rPr>
                    <w:t>颗粒物</w:t>
                  </w:r>
                </w:p>
              </w:tc>
              <w:tc>
                <w:tcPr>
                  <w:tcW w:w="776" w:type="pct"/>
                  <w:noWrap w:val="0"/>
                  <w:vAlign w:val="center"/>
                </w:tcPr>
                <w:p w14:paraId="35E70B92">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防尘罩</w:t>
                  </w:r>
                </w:p>
              </w:tc>
              <w:tc>
                <w:tcPr>
                  <w:tcW w:w="797" w:type="pct"/>
                  <w:noWrap w:val="0"/>
                  <w:vAlign w:val="center"/>
                </w:tcPr>
                <w:p w14:paraId="70AB1217">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1.23</w:t>
                  </w:r>
                </w:p>
              </w:tc>
              <w:tc>
                <w:tcPr>
                  <w:tcW w:w="943" w:type="pct"/>
                  <w:vMerge w:val="continue"/>
                  <w:noWrap w:val="0"/>
                  <w:vAlign w:val="center"/>
                </w:tcPr>
                <w:p w14:paraId="37C247C7">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833" w:type="pct"/>
                  <w:vMerge w:val="continue"/>
                  <w:noWrap w:val="0"/>
                  <w:vAlign w:val="center"/>
                </w:tcPr>
                <w:p w14:paraId="0C5DCCB8">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r>
            <w:tr w14:paraId="6458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noWrap w:val="0"/>
                  <w:vAlign w:val="center"/>
                </w:tcPr>
                <w:p w14:paraId="3E007738">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w:t>
                  </w:r>
                </w:p>
              </w:tc>
              <w:tc>
                <w:tcPr>
                  <w:tcW w:w="796" w:type="pct"/>
                  <w:noWrap w:val="0"/>
                  <w:vAlign w:val="center"/>
                </w:tcPr>
                <w:p w14:paraId="03F79E0C">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受料粉尘</w:t>
                  </w:r>
                </w:p>
              </w:tc>
              <w:tc>
                <w:tcPr>
                  <w:tcW w:w="585" w:type="pct"/>
                  <w:noWrap w:val="0"/>
                  <w:vAlign w:val="center"/>
                </w:tcPr>
                <w:p w14:paraId="56CE8D79">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val="en-US" w:eastAsia="zh-CN"/>
                    </w:rPr>
                    <w:t>颗粒物</w:t>
                  </w:r>
                </w:p>
              </w:tc>
              <w:tc>
                <w:tcPr>
                  <w:tcW w:w="776" w:type="pct"/>
                  <w:noWrap w:val="0"/>
                  <w:vAlign w:val="center"/>
                </w:tcPr>
                <w:p w14:paraId="575260C7">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输送传送带封闭设置，装卸区设置遮挡设施</w:t>
                  </w:r>
                </w:p>
              </w:tc>
              <w:tc>
                <w:tcPr>
                  <w:tcW w:w="797" w:type="pct"/>
                  <w:noWrap w:val="0"/>
                  <w:vAlign w:val="center"/>
                </w:tcPr>
                <w:p w14:paraId="025F1456">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1.968</w:t>
                  </w:r>
                </w:p>
              </w:tc>
              <w:tc>
                <w:tcPr>
                  <w:tcW w:w="943" w:type="pct"/>
                  <w:vMerge w:val="continue"/>
                  <w:noWrap w:val="0"/>
                  <w:vAlign w:val="center"/>
                </w:tcPr>
                <w:p w14:paraId="75A1C5E3">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833" w:type="pct"/>
                  <w:vMerge w:val="continue"/>
                  <w:noWrap w:val="0"/>
                  <w:vAlign w:val="center"/>
                </w:tcPr>
                <w:p w14:paraId="17DB1842">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r>
            <w:tr w14:paraId="226C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pct"/>
                  <w:gridSpan w:val="2"/>
                  <w:noWrap w:val="0"/>
                  <w:vAlign w:val="center"/>
                </w:tcPr>
                <w:p w14:paraId="0351E1A0">
                  <w:pPr>
                    <w:pStyle w:val="2"/>
                    <w:keepNext w:val="0"/>
                    <w:keepLines w:val="0"/>
                    <w:suppressLineNumbers w:val="0"/>
                    <w:tabs>
                      <w:tab w:val="left" w:pos="2760"/>
                    </w:tabs>
                    <w:spacing w:before="0" w:beforeAutospacing="0" w:after="0" w:afterAutospacing="0" w:line="240" w:lineRule="auto"/>
                    <w:ind w:left="0" w:right="0"/>
                    <w:jc w:val="center"/>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合计</w:t>
                  </w:r>
                </w:p>
              </w:tc>
              <w:tc>
                <w:tcPr>
                  <w:tcW w:w="585" w:type="pct"/>
                  <w:noWrap w:val="0"/>
                  <w:vAlign w:val="center"/>
                </w:tcPr>
                <w:p w14:paraId="6B04EE79">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颗粒物</w:t>
                  </w:r>
                </w:p>
              </w:tc>
              <w:tc>
                <w:tcPr>
                  <w:tcW w:w="776" w:type="pct"/>
                  <w:noWrap w:val="0"/>
                  <w:vAlign w:val="center"/>
                </w:tcPr>
                <w:p w14:paraId="79AA08B4">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vertAlign w:val="baseline"/>
                    </w:rPr>
                  </w:pPr>
                </w:p>
              </w:tc>
              <w:tc>
                <w:tcPr>
                  <w:tcW w:w="797" w:type="pct"/>
                  <w:noWrap w:val="0"/>
                  <w:vAlign w:val="center"/>
                </w:tcPr>
                <w:p w14:paraId="31BB400C">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9.8154</w:t>
                  </w:r>
                </w:p>
              </w:tc>
              <w:tc>
                <w:tcPr>
                  <w:tcW w:w="943" w:type="pct"/>
                  <w:noWrap w:val="0"/>
                  <w:vAlign w:val="center"/>
                </w:tcPr>
                <w:p w14:paraId="4D3BA922">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c>
                <w:tcPr>
                  <w:tcW w:w="833" w:type="pct"/>
                  <w:noWrap w:val="0"/>
                  <w:vAlign w:val="center"/>
                </w:tcPr>
                <w:p w14:paraId="78918016">
                  <w:pPr>
                    <w:pStyle w:val="2"/>
                    <w:keepNext w:val="0"/>
                    <w:keepLines w:val="0"/>
                    <w:suppressLineNumbers w:val="0"/>
                    <w:tabs>
                      <w:tab w:val="left" w:pos="2760"/>
                    </w:tabs>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vertAlign w:val="baseline"/>
                    </w:rPr>
                  </w:pPr>
                </w:p>
              </w:tc>
            </w:tr>
          </w:tbl>
          <w:p w14:paraId="14564F9D">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2" w:firstLineChars="200"/>
              <w:textAlignment w:val="auto"/>
              <w:rPr>
                <w:rFonts w:hint="eastAsia" w:ascii="Times New Roman"/>
                <w:b/>
                <w:bCs/>
                <w:color w:val="auto"/>
                <w:kern w:val="2"/>
                <w:sz w:val="24"/>
                <w:lang w:val="en-US" w:eastAsia="zh-CN" w:bidi="ar"/>
              </w:rPr>
            </w:pPr>
            <w:r>
              <w:rPr>
                <w:rFonts w:hint="eastAsia" w:ascii="Times New Roman"/>
                <w:b/>
                <w:bCs/>
                <w:color w:val="auto"/>
                <w:kern w:val="2"/>
                <w:sz w:val="24"/>
                <w:lang w:val="en-US" w:eastAsia="zh-CN" w:bidi="ar"/>
              </w:rPr>
              <w:t>1.5 废气监测要求</w:t>
            </w:r>
          </w:p>
          <w:p w14:paraId="5997EE27">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eastAsia" w:ascii="Times New Roman" w:hAnsi="Times New Roman" w:eastAsia="宋体"/>
                <w:b/>
                <w:bCs/>
                <w:color w:val="auto"/>
                <w:sz w:val="21"/>
                <w:szCs w:val="21"/>
              </w:rPr>
            </w:pPr>
            <w:r>
              <w:rPr>
                <w:rFonts w:hint="eastAsia" w:ascii="Times New Roman"/>
                <w:b w:val="0"/>
                <w:bCs w:val="0"/>
                <w:color w:val="auto"/>
                <w:kern w:val="2"/>
                <w:sz w:val="24"/>
                <w:lang w:val="en-US" w:eastAsia="zh-CN" w:bidi="ar"/>
              </w:rPr>
              <w:t>根据《排污许可证申请与核发技术规范 锅炉》（HJ 953-2018）、《排污单位自行监测技术指南 火力发电及锅炉》（HJ 820-2017）废气监测要求，确定本项目的废气自行监测要求如下。</w:t>
            </w:r>
          </w:p>
          <w:p w14:paraId="657904FF">
            <w:pPr>
              <w:pStyle w:val="37"/>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rPr>
              <w:t>表4-</w:t>
            </w:r>
            <w:r>
              <w:rPr>
                <w:rFonts w:hint="eastAsia" w:ascii="Times New Roman"/>
                <w:b/>
                <w:bCs/>
                <w:color w:val="auto"/>
                <w:sz w:val="21"/>
                <w:szCs w:val="21"/>
                <w:lang w:val="en-US" w:eastAsia="zh-CN"/>
              </w:rPr>
              <w:t>11  运营期废气监测要求一览表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1525"/>
              <w:gridCol w:w="1339"/>
              <w:gridCol w:w="3514"/>
            </w:tblGrid>
            <w:tr w14:paraId="0D38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8" w:type="pct"/>
                  <w:vAlign w:val="center"/>
                </w:tcPr>
                <w:p w14:paraId="3C430DDA">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b/>
                      <w:bCs/>
                      <w:color w:val="auto"/>
                      <w:kern w:val="2"/>
                      <w:sz w:val="21"/>
                      <w:vertAlign w:val="baseline"/>
                      <w:lang w:val="en-US" w:eastAsia="zh-CN" w:bidi="ar"/>
                    </w:rPr>
                    <w:t>监测点位</w:t>
                  </w:r>
                </w:p>
              </w:tc>
              <w:tc>
                <w:tcPr>
                  <w:tcW w:w="933" w:type="pct"/>
                  <w:vAlign w:val="center"/>
                </w:tcPr>
                <w:p w14:paraId="4682499B">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b/>
                      <w:bCs/>
                      <w:color w:val="auto"/>
                      <w:kern w:val="2"/>
                      <w:sz w:val="21"/>
                      <w:vertAlign w:val="baseline"/>
                      <w:lang w:val="en-US" w:eastAsia="zh-CN" w:bidi="ar"/>
                    </w:rPr>
                    <w:t>监测指标</w:t>
                  </w:r>
                </w:p>
              </w:tc>
              <w:tc>
                <w:tcPr>
                  <w:tcW w:w="819" w:type="pct"/>
                  <w:vAlign w:val="center"/>
                </w:tcPr>
                <w:p w14:paraId="6EE95767">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b/>
                      <w:bCs/>
                      <w:color w:val="auto"/>
                      <w:kern w:val="2"/>
                      <w:sz w:val="21"/>
                      <w:vertAlign w:val="baseline"/>
                      <w:lang w:val="en-US" w:eastAsia="zh-CN" w:bidi="ar"/>
                    </w:rPr>
                    <w:t>检测频次</w:t>
                  </w:r>
                </w:p>
              </w:tc>
              <w:tc>
                <w:tcPr>
                  <w:tcW w:w="2149" w:type="pct"/>
                  <w:vAlign w:val="center"/>
                </w:tcPr>
                <w:p w14:paraId="2AFAE58C">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bCs/>
                      <w:color w:val="auto"/>
                      <w:kern w:val="2"/>
                      <w:sz w:val="21"/>
                      <w:vertAlign w:val="baseline"/>
                      <w:lang w:val="en-US" w:eastAsia="zh-CN" w:bidi="ar"/>
                    </w:rPr>
                  </w:pPr>
                  <w:r>
                    <w:rPr>
                      <w:rFonts w:hint="eastAsia" w:ascii="Times New Roman"/>
                      <w:b/>
                      <w:bCs/>
                      <w:color w:val="auto"/>
                      <w:kern w:val="2"/>
                      <w:sz w:val="21"/>
                      <w:vertAlign w:val="baseline"/>
                      <w:lang w:val="en-US" w:eastAsia="zh-CN" w:bidi="ar"/>
                    </w:rPr>
                    <w:t>执行标准</w:t>
                  </w:r>
                </w:p>
              </w:tc>
            </w:tr>
            <w:tr w14:paraId="15B7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8" w:type="pct"/>
                  <w:vMerge w:val="restart"/>
                  <w:vAlign w:val="center"/>
                </w:tcPr>
                <w:p w14:paraId="287833F7">
                  <w:pPr>
                    <w:pStyle w:val="37"/>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default" w:ascii="Times New Roman" w:eastAsia="宋体"/>
                      <w:b w:val="0"/>
                      <w:bCs w:val="0"/>
                      <w:color w:val="auto"/>
                      <w:kern w:val="2"/>
                      <w:sz w:val="21"/>
                      <w:vertAlign w:val="baseline"/>
                      <w:lang w:val="en-US" w:eastAsia="zh-CN" w:bidi="ar"/>
                    </w:rPr>
                  </w:pPr>
                  <w:r>
                    <w:rPr>
                      <w:rFonts w:hint="eastAsia" w:ascii="Times New Roman"/>
                      <w:b w:val="0"/>
                      <w:bCs w:val="0"/>
                      <w:color w:val="auto"/>
                      <w:kern w:val="2"/>
                      <w:sz w:val="21"/>
                      <w:vertAlign w:val="baseline"/>
                      <w:lang w:val="en-US" w:eastAsia="zh-CN" w:bidi="ar"/>
                    </w:rPr>
                    <w:t>生物质热风炉排气筒（DA001）</w:t>
                  </w:r>
                </w:p>
              </w:tc>
              <w:tc>
                <w:tcPr>
                  <w:tcW w:w="933" w:type="pct"/>
                  <w:vAlign w:val="center"/>
                </w:tcPr>
                <w:p w14:paraId="59FFFEA9">
                  <w:pPr>
                    <w:pStyle w:val="37"/>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auto"/>
                      <w:kern w:val="2"/>
                      <w:sz w:val="21"/>
                      <w:szCs w:val="28"/>
                      <w:vertAlign w:val="baseline"/>
                      <w:lang w:val="en-US" w:eastAsia="zh-CN" w:bidi="ar"/>
                    </w:rPr>
                  </w:pPr>
                  <w:r>
                    <w:rPr>
                      <w:rFonts w:hint="eastAsia" w:ascii="Times New Roman" w:hAnsi="Times New Roman" w:eastAsia="宋体"/>
                      <w:color w:val="auto"/>
                      <w:sz w:val="21"/>
                      <w:szCs w:val="21"/>
                    </w:rPr>
                    <w:t>SO</w:t>
                  </w:r>
                  <w:r>
                    <w:rPr>
                      <w:rFonts w:hint="eastAsia" w:ascii="Times New Roman" w:hAnsi="Times New Roman" w:eastAsia="宋体"/>
                      <w:color w:val="auto"/>
                      <w:sz w:val="21"/>
                      <w:szCs w:val="21"/>
                      <w:vertAlign w:val="subscript"/>
                    </w:rPr>
                    <w:t>2</w:t>
                  </w:r>
                </w:p>
              </w:tc>
              <w:tc>
                <w:tcPr>
                  <w:tcW w:w="819" w:type="pct"/>
                  <w:vMerge w:val="restart"/>
                  <w:vAlign w:val="center"/>
                </w:tcPr>
                <w:p w14:paraId="73F95050">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eastAsia="宋体"/>
                      <w:b w:val="0"/>
                      <w:bCs w:val="0"/>
                      <w:color w:val="auto"/>
                      <w:kern w:val="2"/>
                      <w:sz w:val="21"/>
                      <w:vertAlign w:val="baseline"/>
                      <w:lang w:val="en-US" w:eastAsia="zh-CN" w:bidi="ar"/>
                    </w:rPr>
                  </w:pPr>
                  <w:r>
                    <w:rPr>
                      <w:rFonts w:hint="eastAsia" w:ascii="Times New Roman"/>
                      <w:b w:val="0"/>
                      <w:bCs w:val="0"/>
                      <w:color w:val="auto"/>
                      <w:kern w:val="2"/>
                      <w:sz w:val="21"/>
                      <w:vertAlign w:val="baseline"/>
                      <w:lang w:val="en-US" w:eastAsia="zh-CN" w:bidi="ar"/>
                    </w:rPr>
                    <w:t>1次/年</w:t>
                  </w:r>
                </w:p>
              </w:tc>
              <w:tc>
                <w:tcPr>
                  <w:tcW w:w="3480" w:type="dxa"/>
                  <w:vMerge w:val="restart"/>
                  <w:vAlign w:val="center"/>
                </w:tcPr>
                <w:p w14:paraId="695C6084">
                  <w:pPr>
                    <w:keepNext w:val="0"/>
                    <w:keepLines w:val="0"/>
                    <w:widowControl/>
                    <w:suppressLineNumbers w:val="0"/>
                    <w:spacing w:before="0" w:beforeAutospacing="0" w:after="0" w:afterAutospacing="0"/>
                    <w:ind w:left="0" w:right="0"/>
                    <w:jc w:val="center"/>
                    <w:rPr>
                      <w:rFonts w:hint="eastAsia" w:ascii="Times New Roman" w:eastAsia="宋体"/>
                      <w:b w:val="0"/>
                      <w:bCs w:val="0"/>
                      <w:color w:val="auto"/>
                      <w:kern w:val="2"/>
                      <w:sz w:val="21"/>
                      <w:vertAlign w:val="baseline"/>
                      <w:lang w:val="en-US" w:eastAsia="zh-CN" w:bidi="ar"/>
                    </w:rPr>
                  </w:pPr>
                  <w:r>
                    <w:rPr>
                      <w:rFonts w:hint="eastAsia" w:ascii="Times New Roman" w:hAnsi="Times New Roman" w:eastAsia="宋体" w:cs="Times New Roman"/>
                      <w:color w:val="auto"/>
                      <w:szCs w:val="21"/>
                      <w:highlight w:val="none"/>
                      <w:lang w:eastAsia="zh-CN"/>
                    </w:rPr>
                    <w:t>《锅炉大气污染物排放标准》（GB13271-2014）表3燃气锅炉</w:t>
                  </w:r>
                  <w:r>
                    <w:rPr>
                      <w:rFonts w:hint="eastAsia" w:ascii="Times New Roman" w:hAnsi="Times New Roman" w:cs="Times New Roman"/>
                      <w:color w:val="auto"/>
                      <w:szCs w:val="21"/>
                      <w:highlight w:val="none"/>
                      <w:lang w:val="en-US" w:eastAsia="zh-CN"/>
                    </w:rPr>
                    <w:t>特别排放限值</w:t>
                  </w:r>
                </w:p>
              </w:tc>
            </w:tr>
            <w:tr w14:paraId="3654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8" w:type="pct"/>
                  <w:vMerge w:val="continue"/>
                  <w:vAlign w:val="center"/>
                </w:tcPr>
                <w:p w14:paraId="53A48623">
                  <w:pPr>
                    <w:pStyle w:val="37"/>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eastAsia" w:ascii="Times New Roman" w:eastAsia="宋体"/>
                      <w:b w:val="0"/>
                      <w:bCs w:val="0"/>
                      <w:color w:val="auto"/>
                      <w:kern w:val="2"/>
                      <w:sz w:val="21"/>
                      <w:vertAlign w:val="baseline"/>
                      <w:lang w:val="en-US" w:eastAsia="zh-CN" w:bidi="ar"/>
                    </w:rPr>
                  </w:pPr>
                </w:p>
              </w:tc>
              <w:tc>
                <w:tcPr>
                  <w:tcW w:w="933" w:type="pct"/>
                  <w:vAlign w:val="center"/>
                </w:tcPr>
                <w:p w14:paraId="380D95D5">
                  <w:pPr>
                    <w:pStyle w:val="37"/>
                    <w:keepNext w:val="0"/>
                    <w:keepLines w:val="0"/>
                    <w:pageBreakBefore w:val="0"/>
                    <w:suppressLineNumbers w:val="0"/>
                    <w:kinsoku/>
                    <w:wordWrap/>
                    <w:overflowPunct/>
                    <w:topLinePunct w:val="0"/>
                    <w:bidi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auto"/>
                      <w:kern w:val="2"/>
                      <w:sz w:val="21"/>
                      <w:szCs w:val="28"/>
                      <w:vertAlign w:val="baseline"/>
                      <w:lang w:val="en-US" w:eastAsia="zh-CN" w:bidi="ar"/>
                    </w:rPr>
                  </w:pPr>
                  <w:r>
                    <w:rPr>
                      <w:rFonts w:hint="eastAsia" w:ascii="Times New Roman" w:hAnsi="Times New Roman" w:eastAsia="宋体"/>
                      <w:color w:val="auto"/>
                      <w:sz w:val="21"/>
                      <w:szCs w:val="21"/>
                    </w:rPr>
                    <w:t>颗粒物</w:t>
                  </w:r>
                </w:p>
              </w:tc>
              <w:tc>
                <w:tcPr>
                  <w:tcW w:w="819" w:type="pct"/>
                  <w:vMerge w:val="continue"/>
                  <w:vAlign w:val="center"/>
                </w:tcPr>
                <w:p w14:paraId="6DFCC16C">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Times New Roman" w:eastAsia="宋体"/>
                      <w:b w:val="0"/>
                      <w:bCs w:val="0"/>
                      <w:color w:val="auto"/>
                      <w:kern w:val="2"/>
                      <w:sz w:val="21"/>
                      <w:vertAlign w:val="baseline"/>
                      <w:lang w:val="en-US" w:eastAsia="zh-CN" w:bidi="ar"/>
                    </w:rPr>
                  </w:pPr>
                </w:p>
              </w:tc>
              <w:tc>
                <w:tcPr>
                  <w:tcW w:w="2149" w:type="pct"/>
                  <w:vMerge w:val="continue"/>
                  <w:vAlign w:val="center"/>
                </w:tcPr>
                <w:p w14:paraId="332E2659">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Times New Roman" w:eastAsia="宋体"/>
                      <w:b w:val="0"/>
                      <w:bCs w:val="0"/>
                      <w:color w:val="auto"/>
                      <w:kern w:val="2"/>
                      <w:sz w:val="21"/>
                      <w:vertAlign w:val="baseline"/>
                      <w:lang w:val="en-US" w:eastAsia="zh-CN" w:bidi="ar"/>
                    </w:rPr>
                  </w:pPr>
                </w:p>
              </w:tc>
            </w:tr>
            <w:tr w14:paraId="31BA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8" w:type="pct"/>
                  <w:vMerge w:val="continue"/>
                  <w:vAlign w:val="center"/>
                </w:tcPr>
                <w:p w14:paraId="0C6E383B">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p>
              </w:tc>
              <w:tc>
                <w:tcPr>
                  <w:tcW w:w="933" w:type="pct"/>
                  <w:vAlign w:val="center"/>
                </w:tcPr>
                <w:p w14:paraId="64FF47CF">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rightChars="0" w:firstLine="0" w:firstLineChars="0"/>
                    <w:jc w:val="center"/>
                    <w:textAlignment w:val="auto"/>
                    <w:rPr>
                      <w:rFonts w:hint="eastAsia" w:ascii="Times New Roman" w:hAnsi="Times New Roman" w:eastAsia="宋体" w:cs="Times New Roman"/>
                      <w:b w:val="0"/>
                      <w:bCs w:val="0"/>
                      <w:color w:val="auto"/>
                      <w:kern w:val="2"/>
                      <w:sz w:val="21"/>
                      <w:szCs w:val="28"/>
                      <w:vertAlign w:val="baseline"/>
                      <w:lang w:val="en-US" w:eastAsia="zh-CN" w:bidi="ar"/>
                    </w:rPr>
                  </w:pPr>
                  <w:r>
                    <w:rPr>
                      <w:rFonts w:hint="eastAsia" w:ascii="Times New Roman"/>
                      <w:b w:val="0"/>
                      <w:bCs w:val="0"/>
                      <w:color w:val="auto"/>
                      <w:kern w:val="2"/>
                      <w:sz w:val="21"/>
                      <w:vertAlign w:val="baseline"/>
                      <w:lang w:val="en-US" w:eastAsia="zh-CN" w:bidi="ar"/>
                    </w:rPr>
                    <w:t>林格曼黑度</w:t>
                  </w:r>
                </w:p>
              </w:tc>
              <w:tc>
                <w:tcPr>
                  <w:tcW w:w="819" w:type="pct"/>
                  <w:vMerge w:val="continue"/>
                  <w:vAlign w:val="center"/>
                </w:tcPr>
                <w:p w14:paraId="173FD3F8">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Times New Roman" w:eastAsia="宋体"/>
                      <w:b w:val="0"/>
                      <w:bCs w:val="0"/>
                      <w:color w:val="auto"/>
                      <w:kern w:val="2"/>
                      <w:sz w:val="21"/>
                      <w:vertAlign w:val="baseline"/>
                      <w:lang w:val="en-US" w:eastAsia="zh-CN" w:bidi="ar"/>
                    </w:rPr>
                  </w:pPr>
                </w:p>
              </w:tc>
              <w:tc>
                <w:tcPr>
                  <w:tcW w:w="2149" w:type="pct"/>
                  <w:vMerge w:val="continue"/>
                  <w:vAlign w:val="center"/>
                </w:tcPr>
                <w:p w14:paraId="3DF29352">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Times New Roman" w:eastAsia="宋体"/>
                      <w:b w:val="0"/>
                      <w:bCs w:val="0"/>
                      <w:color w:val="auto"/>
                      <w:kern w:val="2"/>
                      <w:sz w:val="21"/>
                      <w:vertAlign w:val="baseline"/>
                      <w:lang w:val="en-US" w:eastAsia="zh-CN" w:bidi="ar"/>
                    </w:rPr>
                  </w:pPr>
                </w:p>
              </w:tc>
            </w:tr>
            <w:tr w14:paraId="69AB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8" w:type="pct"/>
                  <w:vMerge w:val="continue"/>
                  <w:vAlign w:val="center"/>
                </w:tcPr>
                <w:p w14:paraId="02C52787">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p>
              </w:tc>
              <w:tc>
                <w:tcPr>
                  <w:tcW w:w="933" w:type="pct"/>
                  <w:vAlign w:val="center"/>
                </w:tcPr>
                <w:p w14:paraId="48ECCA3F">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rightChars="0" w:firstLine="0" w:firstLineChars="0"/>
                    <w:jc w:val="center"/>
                    <w:textAlignment w:val="auto"/>
                    <w:rPr>
                      <w:rFonts w:hint="eastAsia" w:ascii="Times New Roman"/>
                      <w:b w:val="0"/>
                      <w:bCs w:val="0"/>
                      <w:color w:val="auto"/>
                      <w:kern w:val="2"/>
                      <w:sz w:val="21"/>
                      <w:vertAlign w:val="baseline"/>
                      <w:lang w:val="en-US" w:eastAsia="zh-CN" w:bidi="ar"/>
                    </w:rPr>
                  </w:pPr>
                  <w:r>
                    <w:rPr>
                      <w:rFonts w:hint="eastAsia" w:ascii="Times New Roman" w:hAnsi="Times New Roman" w:eastAsia="宋体"/>
                      <w:color w:val="auto"/>
                      <w:sz w:val="21"/>
                      <w:szCs w:val="21"/>
                    </w:rPr>
                    <w:t>NO</w:t>
                  </w:r>
                  <w:r>
                    <w:rPr>
                      <w:rFonts w:hint="eastAsia" w:ascii="Times New Roman" w:hAnsi="Times New Roman" w:eastAsia="宋体"/>
                      <w:color w:val="auto"/>
                      <w:sz w:val="21"/>
                      <w:szCs w:val="21"/>
                      <w:vertAlign w:val="subscript"/>
                    </w:rPr>
                    <w:t>X</w:t>
                  </w:r>
                </w:p>
              </w:tc>
              <w:tc>
                <w:tcPr>
                  <w:tcW w:w="819" w:type="pct"/>
                  <w:vAlign w:val="center"/>
                </w:tcPr>
                <w:p w14:paraId="1BD7CD25">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Times New Roman" w:eastAsia="宋体"/>
                      <w:b w:val="0"/>
                      <w:bCs w:val="0"/>
                      <w:color w:val="auto"/>
                      <w:kern w:val="2"/>
                      <w:sz w:val="21"/>
                      <w:vertAlign w:val="baseline"/>
                      <w:lang w:val="en-US" w:eastAsia="zh-CN" w:bidi="ar"/>
                    </w:rPr>
                  </w:pPr>
                  <w:r>
                    <w:rPr>
                      <w:rFonts w:hint="eastAsia" w:ascii="Times New Roman"/>
                      <w:b w:val="0"/>
                      <w:bCs w:val="0"/>
                      <w:color w:val="auto"/>
                      <w:kern w:val="2"/>
                      <w:sz w:val="21"/>
                      <w:vertAlign w:val="baseline"/>
                      <w:lang w:val="en-US" w:eastAsia="zh-CN" w:bidi="ar"/>
                    </w:rPr>
                    <w:t>1次/月</w:t>
                  </w:r>
                </w:p>
              </w:tc>
              <w:tc>
                <w:tcPr>
                  <w:tcW w:w="2149" w:type="pct"/>
                  <w:vMerge w:val="continue"/>
                  <w:vAlign w:val="center"/>
                </w:tcPr>
                <w:p w14:paraId="517D6FEC">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eastAsia" w:ascii="Times New Roman" w:eastAsia="宋体"/>
                      <w:b w:val="0"/>
                      <w:bCs w:val="0"/>
                      <w:color w:val="auto"/>
                      <w:kern w:val="2"/>
                      <w:sz w:val="21"/>
                      <w:vertAlign w:val="baseline"/>
                      <w:lang w:val="en-US" w:eastAsia="zh-CN" w:bidi="ar"/>
                    </w:rPr>
                  </w:pPr>
                </w:p>
              </w:tc>
            </w:tr>
            <w:tr w14:paraId="0F3C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8" w:type="pct"/>
                  <w:vAlign w:val="center"/>
                </w:tcPr>
                <w:p w14:paraId="132CB8B2">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hint="default" w:ascii="Times New Roman" w:eastAsia="宋体"/>
                      <w:b w:val="0"/>
                      <w:bCs w:val="0"/>
                      <w:color w:val="auto"/>
                      <w:kern w:val="2"/>
                      <w:sz w:val="21"/>
                      <w:vertAlign w:val="baseline"/>
                      <w:lang w:val="en-US" w:eastAsia="zh-CN" w:bidi="ar"/>
                    </w:rPr>
                  </w:pPr>
                  <w:r>
                    <w:rPr>
                      <w:rFonts w:hint="default" w:ascii="Times New Roman" w:hAnsi="Times New Roman" w:eastAsia="宋体" w:cs="Times New Roman"/>
                      <w:color w:val="auto"/>
                      <w:sz w:val="21"/>
                      <w:szCs w:val="21"/>
                      <w:highlight w:val="none"/>
                    </w:rPr>
                    <w:t>厂界无组织监控点</w:t>
                  </w:r>
                </w:p>
              </w:tc>
              <w:tc>
                <w:tcPr>
                  <w:tcW w:w="933" w:type="pct"/>
                  <w:vAlign w:val="center"/>
                </w:tcPr>
                <w:p w14:paraId="582299D0">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rightChars="0"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颗粒物</w:t>
                  </w:r>
                </w:p>
              </w:tc>
              <w:tc>
                <w:tcPr>
                  <w:tcW w:w="819" w:type="pct"/>
                  <w:vAlign w:val="center"/>
                </w:tcPr>
                <w:p w14:paraId="6B14D392">
                  <w:pPr>
                    <w:pStyle w:val="3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Times New Roman"/>
                      <w:b w:val="0"/>
                      <w:bCs w:val="0"/>
                      <w:color w:val="auto"/>
                      <w:kern w:val="2"/>
                      <w:sz w:val="21"/>
                      <w:vertAlign w:val="baseline"/>
                      <w:lang w:val="en-US" w:eastAsia="zh-CN" w:bidi="ar"/>
                    </w:rPr>
                  </w:pPr>
                  <w:r>
                    <w:rPr>
                      <w:rFonts w:hint="eastAsia" w:ascii="Times New Roman"/>
                      <w:b w:val="0"/>
                      <w:bCs w:val="0"/>
                      <w:color w:val="auto"/>
                      <w:kern w:val="2"/>
                      <w:sz w:val="21"/>
                      <w:vertAlign w:val="baseline"/>
                      <w:lang w:val="en-US" w:eastAsia="zh-CN" w:bidi="ar"/>
                    </w:rPr>
                    <w:t>1次/年</w:t>
                  </w:r>
                </w:p>
              </w:tc>
              <w:tc>
                <w:tcPr>
                  <w:tcW w:w="3480" w:type="dxa"/>
                  <w:vAlign w:val="center"/>
                </w:tcPr>
                <w:p w14:paraId="3B419F4F">
                  <w:pPr>
                    <w:keepNext w:val="0"/>
                    <w:keepLines w:val="0"/>
                    <w:widowControl/>
                    <w:suppressLineNumbers w:val="0"/>
                    <w:spacing w:before="0" w:beforeAutospacing="0" w:after="0" w:afterAutospacing="0"/>
                    <w:ind w:left="0" w:right="0"/>
                    <w:jc w:val="center"/>
                    <w:rPr>
                      <w:rFonts w:hint="eastAsia" w:ascii="Times New Roman" w:eastAsia="宋体"/>
                      <w:b w:val="0"/>
                      <w:bCs w:val="0"/>
                      <w:color w:val="auto"/>
                      <w:kern w:val="2"/>
                      <w:sz w:val="21"/>
                      <w:vertAlign w:val="baseline"/>
                      <w:lang w:val="en-US" w:eastAsia="zh-CN" w:bidi="ar"/>
                    </w:rPr>
                  </w:pPr>
                  <w:r>
                    <w:rPr>
                      <w:rFonts w:hint="eastAsia" w:ascii="Times New Roman" w:hAnsi="Times New Roman" w:eastAsia="宋体" w:cs="Times New Roman"/>
                      <w:color w:val="auto"/>
                      <w:szCs w:val="21"/>
                      <w:highlight w:val="none"/>
                      <w:lang w:eastAsia="zh-CN"/>
                    </w:rPr>
                    <w:t>《大气污染物综合排放标准》（GB16297-1996）</w:t>
                  </w:r>
                  <w:r>
                    <w:rPr>
                      <w:rFonts w:hint="eastAsia" w:ascii="Times New Roman" w:hAnsi="Times New Roman" w:eastAsia="宋体" w:cs="Times New Roman"/>
                      <w:color w:val="auto"/>
                      <w:szCs w:val="21"/>
                      <w:highlight w:val="none"/>
                      <w:lang w:val="en-US" w:eastAsia="zh-CN"/>
                    </w:rPr>
                    <w:t>表2 厂界无组织监测限值</w:t>
                  </w:r>
                </w:p>
              </w:tc>
            </w:tr>
          </w:tbl>
          <w:p w14:paraId="6117D313">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2" w:firstLineChars="200"/>
              <w:textAlignment w:val="auto"/>
              <w:rPr>
                <w:rFonts w:hint="default" w:ascii="Times New Roman" w:hAnsi="Times New Roman" w:eastAsia="宋体"/>
                <w:b/>
                <w:bCs/>
                <w:color w:val="auto"/>
                <w:kern w:val="2"/>
                <w:sz w:val="24"/>
              </w:rPr>
            </w:pPr>
            <w:r>
              <w:rPr>
                <w:rFonts w:hint="eastAsia" w:ascii="Times New Roman"/>
                <w:b/>
                <w:bCs/>
                <w:color w:val="auto"/>
                <w:kern w:val="2"/>
                <w:sz w:val="24"/>
                <w:lang w:val="en-US" w:eastAsia="zh-CN" w:bidi="ar"/>
              </w:rPr>
              <w:t xml:space="preserve">1.6 </w:t>
            </w:r>
            <w:r>
              <w:rPr>
                <w:rFonts w:hint="default" w:ascii="Times New Roman" w:hAnsi="Times New Roman" w:eastAsia="宋体"/>
                <w:b/>
                <w:bCs/>
                <w:color w:val="auto"/>
                <w:kern w:val="2"/>
                <w:sz w:val="24"/>
                <w:lang w:bidi="ar"/>
              </w:rPr>
              <w:t>运行管理要求</w:t>
            </w:r>
          </w:p>
          <w:p w14:paraId="1C471CB5">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default" w:ascii="Times New Roman" w:hAnsi="Times New Roman" w:eastAsia="宋体"/>
                <w:bCs/>
                <w:color w:val="auto"/>
                <w:sz w:val="24"/>
                <w:highlight w:val="none"/>
              </w:rPr>
            </w:pPr>
            <w:r>
              <w:rPr>
                <w:rFonts w:hint="default" w:ascii="Times New Roman" w:hAnsi="Times New Roman" w:eastAsia="宋体"/>
                <w:bCs/>
                <w:color w:val="auto"/>
                <w:sz w:val="24"/>
                <w:highlight w:val="none"/>
              </w:rPr>
              <w:t>本项目</w:t>
            </w:r>
            <w:r>
              <w:rPr>
                <w:rFonts w:hint="eastAsia" w:ascii="Times New Roman"/>
                <w:bCs/>
                <w:color w:val="auto"/>
                <w:sz w:val="24"/>
                <w:highlight w:val="none"/>
                <w:lang w:val="en-US" w:eastAsia="zh-CN"/>
              </w:rPr>
              <w:t>生物质热风炉配套安装SNCR+旋风除尘+布袋除尘器</w:t>
            </w:r>
            <w:r>
              <w:rPr>
                <w:rFonts w:hint="eastAsia" w:ascii="Times New Roman" w:hAnsi="Times New Roman" w:eastAsia="宋体"/>
                <w:bCs/>
                <w:color w:val="auto"/>
                <w:sz w:val="24"/>
                <w:highlight w:val="none"/>
              </w:rPr>
              <w:t>，处理后的废气</w:t>
            </w:r>
            <w:r>
              <w:rPr>
                <w:rFonts w:hint="eastAsia" w:ascii="Times New Roman"/>
                <w:bCs/>
                <w:color w:val="auto"/>
                <w:sz w:val="24"/>
                <w:highlight w:val="none"/>
                <w:lang w:val="en-US" w:eastAsia="zh-CN"/>
              </w:rPr>
              <w:t>经不低于17m</w:t>
            </w:r>
            <w:r>
              <w:rPr>
                <w:rFonts w:hint="eastAsia" w:ascii="Times New Roman" w:hAnsi="Times New Roman" w:eastAsia="宋体"/>
                <w:bCs/>
                <w:color w:val="auto"/>
                <w:sz w:val="24"/>
                <w:highlight w:val="none"/>
              </w:rPr>
              <w:t>烟囱排放。</w:t>
            </w:r>
          </w:p>
          <w:p w14:paraId="5C72D4B2">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default" w:ascii="Times New Roman" w:hAnsi="Times New Roman" w:eastAsia="宋体"/>
                <w:color w:val="auto"/>
                <w:kern w:val="2"/>
                <w:sz w:val="24"/>
              </w:rPr>
            </w:pPr>
            <w:r>
              <w:rPr>
                <w:rFonts w:hint="eastAsia" w:ascii="Times New Roman"/>
                <w:color w:val="auto"/>
                <w:kern w:val="2"/>
                <w:sz w:val="24"/>
                <w:lang w:val="en-US" w:eastAsia="zh-CN" w:bidi="ar"/>
              </w:rPr>
              <w:t>环保设施</w:t>
            </w:r>
            <w:r>
              <w:rPr>
                <w:rFonts w:hint="eastAsia" w:ascii="Times New Roman" w:hAnsi="Times New Roman" w:eastAsia="宋体"/>
                <w:color w:val="auto"/>
                <w:kern w:val="2"/>
                <w:sz w:val="24"/>
                <w:lang w:bidi="ar"/>
              </w:rPr>
              <w:t>故障情况下可能会导致锅炉废气</w:t>
            </w:r>
            <w:r>
              <w:rPr>
                <w:rFonts w:hint="eastAsia" w:ascii="Times New Roman"/>
                <w:color w:val="auto"/>
                <w:kern w:val="2"/>
                <w:sz w:val="24"/>
                <w:lang w:val="en-US" w:eastAsia="zh-CN" w:bidi="ar"/>
              </w:rPr>
              <w:t>中</w:t>
            </w:r>
            <w:r>
              <w:rPr>
                <w:rFonts w:hint="eastAsia" w:ascii="Times New Roman" w:hAnsi="Times New Roman" w:eastAsia="宋体"/>
                <w:color w:val="auto"/>
                <w:kern w:val="2"/>
                <w:sz w:val="24"/>
                <w:lang w:bidi="ar"/>
              </w:rPr>
              <w:t>污染物排放量骤然增加，加重周边环境污染，为防止锅炉废气污染物非正常工况排放，</w:t>
            </w:r>
            <w:r>
              <w:rPr>
                <w:rFonts w:hint="default" w:ascii="Times New Roman" w:hAnsi="Times New Roman" w:eastAsia="宋体"/>
                <w:color w:val="auto"/>
                <w:kern w:val="2"/>
                <w:sz w:val="24"/>
                <w:lang w:bidi="ar"/>
              </w:rPr>
              <w:t>锅炉排污单位应当按照相关法律法规、标准和技术规范等的要求运行大气污染防治设施，并进行维护和管理。保证设施正常运行，使排放的大气污染物符合相关国家或地方污染物排放标准的规定。</w:t>
            </w:r>
          </w:p>
          <w:p w14:paraId="5088FFB4">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default" w:ascii="Times New Roman" w:hAnsi="Times New Roman" w:eastAsia="宋体"/>
                <w:color w:val="auto"/>
                <w:kern w:val="2"/>
                <w:sz w:val="24"/>
              </w:rPr>
            </w:pPr>
            <w:r>
              <w:rPr>
                <w:rFonts w:hint="eastAsia" w:ascii="Times New Roman"/>
                <w:color w:val="auto"/>
                <w:kern w:val="2"/>
                <w:sz w:val="24"/>
                <w:lang w:eastAsia="zh-CN" w:bidi="ar"/>
              </w:rPr>
              <w:t>（</w:t>
            </w:r>
            <w:r>
              <w:rPr>
                <w:rFonts w:hint="eastAsia" w:ascii="Times New Roman"/>
                <w:color w:val="auto"/>
                <w:kern w:val="2"/>
                <w:sz w:val="24"/>
                <w:lang w:val="en-US" w:eastAsia="zh-CN" w:bidi="ar"/>
              </w:rPr>
              <w:t>1</w:t>
            </w:r>
            <w:r>
              <w:rPr>
                <w:rFonts w:hint="eastAsia" w:ascii="Times New Roman"/>
                <w:color w:val="auto"/>
                <w:kern w:val="2"/>
                <w:sz w:val="24"/>
                <w:lang w:eastAsia="zh-CN" w:bidi="ar"/>
              </w:rPr>
              <w:t>）</w:t>
            </w:r>
            <w:r>
              <w:rPr>
                <w:rFonts w:hint="default" w:ascii="Times New Roman" w:hAnsi="Times New Roman" w:eastAsia="宋体"/>
                <w:color w:val="auto"/>
                <w:kern w:val="2"/>
                <w:sz w:val="24"/>
                <w:lang w:bidi="ar"/>
              </w:rPr>
              <w:t>环保设施应与</w:t>
            </w:r>
            <w:r>
              <w:rPr>
                <w:rFonts w:hint="eastAsia" w:ascii="Times New Roman"/>
                <w:color w:val="auto"/>
                <w:kern w:val="2"/>
                <w:sz w:val="24"/>
                <w:lang w:val="en-US" w:eastAsia="zh-CN" w:bidi="ar"/>
              </w:rPr>
              <w:t>锅炉</w:t>
            </w:r>
            <w:r>
              <w:rPr>
                <w:rFonts w:hint="default" w:ascii="Times New Roman" w:hAnsi="Times New Roman" w:eastAsia="宋体"/>
                <w:color w:val="auto"/>
                <w:kern w:val="2"/>
                <w:sz w:val="24"/>
                <w:lang w:bidi="ar"/>
              </w:rPr>
              <w:t>同步运行，并保证在锅炉负荷波动情况下仍能正常运行。实现达标排放。由于事故或设备维修等原因造成治理设施停止运行时，应立即报告当地生态环境主管部门。</w:t>
            </w:r>
          </w:p>
          <w:p w14:paraId="46A0DAB5">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default" w:ascii="Times New Roman" w:hAnsi="Times New Roman" w:eastAsia="宋体"/>
                <w:color w:val="auto"/>
                <w:kern w:val="2"/>
                <w:sz w:val="24"/>
              </w:rPr>
            </w:pPr>
            <w:r>
              <w:rPr>
                <w:rFonts w:hint="eastAsia" w:ascii="Times New Roman"/>
                <w:color w:val="auto"/>
                <w:kern w:val="2"/>
                <w:sz w:val="24"/>
                <w:lang w:eastAsia="zh-CN" w:bidi="ar"/>
              </w:rPr>
              <w:t>（</w:t>
            </w:r>
            <w:r>
              <w:rPr>
                <w:rFonts w:hint="eastAsia" w:ascii="Times New Roman"/>
                <w:color w:val="auto"/>
                <w:kern w:val="2"/>
                <w:sz w:val="24"/>
                <w:lang w:val="en-US" w:eastAsia="zh-CN" w:bidi="ar"/>
              </w:rPr>
              <w:t>2</w:t>
            </w:r>
            <w:r>
              <w:rPr>
                <w:rFonts w:hint="eastAsia" w:ascii="Times New Roman"/>
                <w:color w:val="auto"/>
                <w:kern w:val="2"/>
                <w:sz w:val="24"/>
                <w:lang w:eastAsia="zh-CN" w:bidi="ar"/>
              </w:rPr>
              <w:t>）</w:t>
            </w:r>
            <w:r>
              <w:rPr>
                <w:rFonts w:hint="default" w:ascii="Times New Roman" w:hAnsi="Times New Roman" w:eastAsia="宋体"/>
                <w:color w:val="auto"/>
                <w:kern w:val="2"/>
                <w:sz w:val="24"/>
                <w:lang w:bidi="ar"/>
              </w:rPr>
              <w:t>治理设施运行应尽可能在满足设计工况的条件下进行，并根据工艺要求，定期对设备、电气，自控仪表及锅炉间进行检查维护，确保可靠稳定运行。</w:t>
            </w:r>
          </w:p>
          <w:p w14:paraId="591091E6">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default" w:ascii="Times New Roman" w:hAnsi="Times New Roman" w:eastAsia="宋体"/>
                <w:color w:val="auto"/>
                <w:kern w:val="2"/>
                <w:sz w:val="24"/>
              </w:rPr>
            </w:pPr>
            <w:r>
              <w:rPr>
                <w:rFonts w:hint="eastAsia" w:ascii="Times New Roman"/>
                <w:color w:val="auto"/>
                <w:kern w:val="2"/>
                <w:sz w:val="24"/>
                <w:lang w:eastAsia="zh-CN" w:bidi="ar"/>
              </w:rPr>
              <w:t>（</w:t>
            </w:r>
            <w:r>
              <w:rPr>
                <w:rFonts w:hint="eastAsia" w:ascii="Times New Roman"/>
                <w:color w:val="auto"/>
                <w:kern w:val="2"/>
                <w:sz w:val="24"/>
                <w:lang w:val="en-US" w:eastAsia="zh-CN" w:bidi="ar"/>
              </w:rPr>
              <w:t>3</w:t>
            </w:r>
            <w:r>
              <w:rPr>
                <w:rFonts w:hint="eastAsia" w:ascii="Times New Roman"/>
                <w:color w:val="auto"/>
                <w:kern w:val="2"/>
                <w:sz w:val="24"/>
                <w:lang w:eastAsia="zh-CN" w:bidi="ar"/>
              </w:rPr>
              <w:t>）</w:t>
            </w:r>
            <w:r>
              <w:rPr>
                <w:rFonts w:hint="default" w:ascii="Times New Roman" w:hAnsi="Times New Roman" w:eastAsia="宋体"/>
                <w:color w:val="auto"/>
                <w:kern w:val="2"/>
                <w:sz w:val="24"/>
                <w:lang w:bidi="ar"/>
              </w:rPr>
              <w:t>加</w:t>
            </w:r>
            <w:r>
              <w:rPr>
                <w:rFonts w:hint="eastAsia" w:ascii="Times New Roman"/>
                <w:color w:val="auto"/>
                <w:kern w:val="2"/>
                <w:sz w:val="24"/>
                <w:lang w:val="en-US" w:eastAsia="zh-CN" w:bidi="ar"/>
              </w:rPr>
              <w:t>强</w:t>
            </w:r>
            <w:r>
              <w:rPr>
                <w:rFonts w:hint="default" w:ascii="Times New Roman" w:hAnsi="Times New Roman" w:eastAsia="宋体"/>
                <w:color w:val="auto"/>
                <w:kern w:val="2"/>
                <w:sz w:val="24"/>
                <w:lang w:bidi="ar"/>
              </w:rPr>
              <w:t>治理设施巡控，消除设施隐患，保证设施正常稳定运行。</w:t>
            </w:r>
          </w:p>
          <w:p w14:paraId="7A5A1959">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default" w:ascii="Times New Roman" w:hAnsi="Times New Roman" w:eastAsia="宋体"/>
                <w:color w:val="auto"/>
                <w:kern w:val="2"/>
                <w:sz w:val="24"/>
              </w:rPr>
            </w:pPr>
            <w:r>
              <w:rPr>
                <w:rFonts w:hint="eastAsia" w:ascii="Times New Roman"/>
                <w:color w:val="auto"/>
                <w:kern w:val="2"/>
                <w:sz w:val="24"/>
                <w:lang w:eastAsia="zh-CN" w:bidi="ar"/>
              </w:rPr>
              <w:t>（</w:t>
            </w:r>
            <w:r>
              <w:rPr>
                <w:rFonts w:hint="eastAsia" w:ascii="Times New Roman"/>
                <w:color w:val="auto"/>
                <w:kern w:val="2"/>
                <w:sz w:val="24"/>
                <w:lang w:val="en-US" w:eastAsia="zh-CN" w:bidi="ar"/>
              </w:rPr>
              <w:t>4</w:t>
            </w:r>
            <w:r>
              <w:rPr>
                <w:rFonts w:hint="eastAsia" w:ascii="Times New Roman"/>
                <w:color w:val="auto"/>
                <w:kern w:val="2"/>
                <w:sz w:val="24"/>
                <w:lang w:eastAsia="zh-CN" w:bidi="ar"/>
              </w:rPr>
              <w:t>）</w:t>
            </w:r>
            <w:r>
              <w:rPr>
                <w:rFonts w:hint="default" w:ascii="Times New Roman" w:hAnsi="Times New Roman" w:eastAsia="宋体"/>
                <w:color w:val="auto"/>
                <w:kern w:val="2"/>
                <w:sz w:val="24"/>
                <w:lang w:bidi="ar"/>
              </w:rPr>
              <w:t>规范治理设施开停机记录：维修巡检记录、原辅料及燃料使用记录、设备部件更换记录、治理前后烟气监测记录等，要求记录规范、内容完整。</w:t>
            </w:r>
          </w:p>
          <w:p w14:paraId="0FBA9B6F">
            <w:pPr>
              <w:pStyle w:val="37"/>
              <w:keepNext w:val="0"/>
              <w:keepLines w:val="0"/>
              <w:pageBreakBefore w:val="0"/>
              <w:suppressLineNumbers w:val="0"/>
              <w:kinsoku/>
              <w:wordWrap/>
              <w:overflowPunct/>
              <w:topLinePunct w:val="0"/>
              <w:autoSpaceDE/>
              <w:autoSpaceDN/>
              <w:bidi w:val="0"/>
              <w:adjustRightInd/>
              <w:spacing w:before="0" w:beforeAutospacing="0" w:after="0" w:afterAutospacing="0"/>
              <w:ind w:left="0" w:right="0" w:firstLine="480" w:firstLineChars="200"/>
              <w:textAlignment w:val="auto"/>
              <w:rPr>
                <w:rFonts w:hint="default" w:ascii="Times New Roman" w:hAnsi="Times New Roman" w:eastAsia="宋体"/>
                <w:color w:val="auto"/>
                <w:kern w:val="2"/>
                <w:sz w:val="24"/>
              </w:rPr>
            </w:pPr>
            <w:r>
              <w:rPr>
                <w:rFonts w:hint="eastAsia" w:ascii="Times New Roman"/>
                <w:color w:val="auto"/>
                <w:kern w:val="2"/>
                <w:sz w:val="24"/>
                <w:lang w:eastAsia="zh-CN" w:bidi="ar"/>
              </w:rPr>
              <w:t>（</w:t>
            </w:r>
            <w:r>
              <w:rPr>
                <w:rFonts w:hint="eastAsia" w:ascii="Times New Roman"/>
                <w:color w:val="auto"/>
                <w:kern w:val="2"/>
                <w:sz w:val="24"/>
                <w:lang w:val="en-US" w:eastAsia="zh-CN" w:bidi="ar"/>
              </w:rPr>
              <w:t>5</w:t>
            </w:r>
            <w:r>
              <w:rPr>
                <w:rFonts w:hint="eastAsia" w:ascii="Times New Roman"/>
                <w:color w:val="auto"/>
                <w:kern w:val="2"/>
                <w:sz w:val="24"/>
                <w:lang w:eastAsia="zh-CN" w:bidi="ar"/>
              </w:rPr>
              <w:t>）</w:t>
            </w:r>
            <w:r>
              <w:rPr>
                <w:rFonts w:hint="default" w:ascii="Times New Roman" w:hAnsi="Times New Roman" w:eastAsia="宋体"/>
                <w:color w:val="auto"/>
                <w:kern w:val="2"/>
                <w:sz w:val="24"/>
                <w:lang w:bidi="ar"/>
              </w:rPr>
              <w:t>不应设置烟气旁路通道，已设置的烟气旁路通道应予以拆除或实行旁路挡板铅封。</w:t>
            </w:r>
          </w:p>
          <w:p w14:paraId="351D9C3B">
            <w:pPr>
              <w:pStyle w:val="34"/>
              <w:keepNext w:val="0"/>
              <w:keepLines w:val="0"/>
              <w:widowControl w:val="0"/>
              <w:suppressLineNumbers w:val="0"/>
              <w:autoSpaceDE w:val="0"/>
              <w:autoSpaceDN w:val="0"/>
              <w:spacing w:before="0" w:beforeAutospacing="0" w:after="0" w:afterAutospacing="0" w:line="360" w:lineRule="auto"/>
              <w:ind w:left="0" w:right="0" w:firstLine="482" w:firstLineChars="200"/>
              <w:jc w:val="both"/>
              <w:rPr>
                <w:rFonts w:hint="default" w:ascii="Times New Roman" w:hAnsi="Times New Roman" w:eastAsia="宋体"/>
                <w:b/>
                <w:color w:val="auto"/>
                <w:sz w:val="24"/>
                <w:szCs w:val="24"/>
                <w:lang w:bidi="ar"/>
              </w:rPr>
            </w:pPr>
            <w:r>
              <w:rPr>
                <w:rFonts w:hint="default" w:ascii="Times New Roman" w:hAnsi="Times New Roman" w:eastAsia="宋体"/>
                <w:b/>
                <w:color w:val="auto"/>
                <w:sz w:val="24"/>
                <w:szCs w:val="24"/>
                <w:lang w:bidi="ar"/>
              </w:rPr>
              <w:t>1.</w:t>
            </w:r>
            <w:r>
              <w:rPr>
                <w:rFonts w:hint="eastAsia" w:ascii="Times New Roman" w:hAnsi="Times New Roman"/>
                <w:b/>
                <w:color w:val="auto"/>
                <w:sz w:val="24"/>
                <w:szCs w:val="24"/>
                <w:lang w:val="en-US" w:eastAsia="zh-CN" w:bidi="ar"/>
              </w:rPr>
              <w:t xml:space="preserve">7 </w:t>
            </w:r>
            <w:r>
              <w:rPr>
                <w:rFonts w:hint="default" w:ascii="Times New Roman" w:hAnsi="Times New Roman" w:eastAsia="宋体"/>
                <w:b/>
                <w:color w:val="auto"/>
                <w:sz w:val="24"/>
                <w:szCs w:val="24"/>
                <w:lang w:bidi="ar"/>
              </w:rPr>
              <w:t>大气环境影响分析结论</w:t>
            </w:r>
          </w:p>
          <w:p w14:paraId="3BFDBDC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olor w:val="auto"/>
                <w:sz w:val="24"/>
                <w:lang w:bidi="ar"/>
              </w:rPr>
            </w:pPr>
            <w:r>
              <w:rPr>
                <w:rFonts w:hint="default" w:ascii="Times New Roman" w:hAnsi="Times New Roman" w:eastAsia="宋体"/>
                <w:color w:val="auto"/>
                <w:sz w:val="24"/>
                <w:lang w:bidi="ar"/>
              </w:rPr>
              <w:t>本项目排放的污染物颗粒物、二氧化硫</w:t>
            </w:r>
            <w:r>
              <w:rPr>
                <w:rFonts w:hint="eastAsia"/>
                <w:color w:val="auto"/>
                <w:sz w:val="24"/>
                <w:lang w:eastAsia="zh-CN" w:bidi="ar"/>
              </w:rPr>
              <w:t>、</w:t>
            </w:r>
            <w:r>
              <w:rPr>
                <w:rFonts w:hint="eastAsia"/>
                <w:color w:val="auto"/>
                <w:sz w:val="24"/>
                <w:lang w:eastAsia="zh-CN"/>
              </w:rPr>
              <w:t>NO</w:t>
            </w:r>
            <w:r>
              <w:rPr>
                <w:rFonts w:hint="eastAsia"/>
                <w:color w:val="auto"/>
                <w:sz w:val="24"/>
                <w:vertAlign w:val="subscript"/>
                <w:lang w:eastAsia="zh-CN"/>
              </w:rPr>
              <w:t>X</w:t>
            </w:r>
            <w:r>
              <w:rPr>
                <w:rFonts w:hint="default" w:ascii="Times New Roman" w:hAnsi="Times New Roman" w:eastAsia="宋体"/>
                <w:color w:val="auto"/>
                <w:sz w:val="24"/>
                <w:lang w:bidi="ar"/>
              </w:rPr>
              <w:t>的浓度符合《锅炉大气污染物排放标准》（</w:t>
            </w:r>
            <w:r>
              <w:rPr>
                <w:rFonts w:hint="eastAsia"/>
                <w:color w:val="auto"/>
                <w:sz w:val="24"/>
                <w:lang w:val="en-US" w:eastAsia="zh-CN" w:bidi="ar"/>
              </w:rPr>
              <w:t xml:space="preserve">GB </w:t>
            </w:r>
            <w:r>
              <w:rPr>
                <w:rFonts w:hint="default" w:ascii="Times New Roman" w:hAnsi="Times New Roman" w:eastAsia="宋体"/>
                <w:color w:val="auto"/>
                <w:sz w:val="24"/>
                <w:lang w:bidi="ar"/>
              </w:rPr>
              <w:t>13271-2014</w:t>
            </w:r>
            <w:r>
              <w:rPr>
                <w:rFonts w:hint="eastAsia"/>
                <w:color w:val="auto"/>
                <w:sz w:val="24"/>
                <w:lang w:eastAsia="zh-CN" w:bidi="ar"/>
              </w:rPr>
              <w:t>）大气污染物特别排放限值要求中燃气锅炉排放限值</w:t>
            </w:r>
            <w:r>
              <w:rPr>
                <w:rFonts w:hint="default" w:ascii="Times New Roman" w:hAnsi="Times New Roman" w:eastAsia="宋体"/>
                <w:color w:val="auto"/>
                <w:sz w:val="24"/>
                <w:lang w:bidi="ar"/>
              </w:rPr>
              <w:t>，故本项目排放的污染物对周围环境空气质量影响较小</w:t>
            </w:r>
            <w:r>
              <w:rPr>
                <w:rFonts w:hint="eastAsia"/>
                <w:color w:val="auto"/>
                <w:sz w:val="24"/>
                <w:lang w:eastAsia="zh-CN" w:bidi="ar"/>
              </w:rPr>
              <w:t>，</w:t>
            </w:r>
            <w:r>
              <w:rPr>
                <w:rFonts w:hint="default" w:ascii="Times New Roman" w:hAnsi="Times New Roman" w:eastAsia="宋体"/>
                <w:color w:val="auto"/>
                <w:sz w:val="24"/>
                <w:lang w:bidi="ar"/>
              </w:rPr>
              <w:t>采取的废气治理措施可行。</w:t>
            </w:r>
          </w:p>
          <w:p w14:paraId="55564C3A">
            <w:pPr>
              <w:keepNext w:val="0"/>
              <w:keepLines w:val="0"/>
              <w:suppressLineNumbers w:val="0"/>
              <w:autoSpaceDE w:val="0"/>
              <w:spacing w:before="0" w:beforeAutospacing="0" w:after="0" w:afterAutospacing="0" w:line="360" w:lineRule="auto"/>
              <w:ind w:left="0" w:right="0"/>
              <w:rPr>
                <w:rFonts w:hint="default" w:ascii="Times New Roman" w:hAnsi="Times New Roman" w:eastAsia="宋体"/>
                <w:b/>
                <w:color w:val="auto"/>
                <w:sz w:val="24"/>
                <w:lang w:bidi="ar"/>
              </w:rPr>
            </w:pPr>
            <w:r>
              <w:rPr>
                <w:rFonts w:hint="default" w:ascii="Times New Roman" w:hAnsi="Times New Roman" w:eastAsia="宋体"/>
                <w:b/>
                <w:color w:val="auto"/>
                <w:sz w:val="24"/>
                <w:lang w:bidi="ar"/>
              </w:rPr>
              <w:t>2</w:t>
            </w:r>
            <w:r>
              <w:rPr>
                <w:rFonts w:hint="default" w:ascii="Times New Roman" w:hAnsi="Times New Roman" w:eastAsia="宋体"/>
                <w:b/>
                <w:bCs/>
                <w:color w:val="auto"/>
                <w:sz w:val="24"/>
              </w:rPr>
              <w:t>、</w:t>
            </w:r>
            <w:r>
              <w:rPr>
                <w:rFonts w:hint="eastAsia" w:ascii="Times New Roman" w:hAnsi="Times New Roman" w:eastAsia="宋体"/>
                <w:b/>
                <w:color w:val="auto"/>
                <w:sz w:val="24"/>
                <w:lang w:bidi="ar"/>
              </w:rPr>
              <w:t>水环境影响</w:t>
            </w:r>
            <w:r>
              <w:rPr>
                <w:rFonts w:hint="default" w:ascii="Times New Roman" w:hAnsi="Times New Roman" w:eastAsia="宋体"/>
                <w:b/>
                <w:color w:val="auto"/>
                <w:sz w:val="24"/>
                <w:lang w:bidi="ar"/>
              </w:rPr>
              <w:t>分析</w:t>
            </w:r>
          </w:p>
          <w:p w14:paraId="7E9CFA24">
            <w:pPr>
              <w:pStyle w:val="2"/>
              <w:keepNext w:val="0"/>
              <w:keepLines w:val="0"/>
              <w:suppressLineNumbers w:val="0"/>
              <w:adjustRightInd/>
              <w:spacing w:before="0" w:beforeAutospacing="0" w:after="0" w:afterAutospacing="0" w:line="360" w:lineRule="auto"/>
              <w:ind w:left="0" w:right="0" w:firstLine="482" w:firstLineChars="200"/>
              <w:jc w:val="both"/>
              <w:rPr>
                <w:rFonts w:hint="default" w:ascii="Times New Roman" w:hAnsi="Times New Roman" w:eastAsia="宋体"/>
                <w:b/>
                <w:color w:val="auto"/>
                <w:kern w:val="2"/>
                <w:sz w:val="24"/>
                <w:lang w:val="en-US" w:eastAsia="zh-CN" w:bidi="ar"/>
              </w:rPr>
            </w:pPr>
            <w:r>
              <w:rPr>
                <w:rFonts w:hint="default" w:ascii="Times New Roman" w:hAnsi="Times New Roman" w:eastAsia="宋体"/>
                <w:b/>
                <w:color w:val="auto"/>
                <w:kern w:val="2"/>
                <w:sz w:val="24"/>
                <w:lang w:bidi="ar"/>
              </w:rPr>
              <w:t>2.1</w:t>
            </w:r>
            <w:r>
              <w:rPr>
                <w:rFonts w:hint="eastAsia" w:ascii="Times New Roman" w:hAnsi="Times New Roman"/>
                <w:b/>
                <w:color w:val="auto"/>
                <w:kern w:val="2"/>
                <w:sz w:val="24"/>
                <w:lang w:val="en-US" w:eastAsia="zh-CN" w:bidi="ar"/>
              </w:rPr>
              <w:t xml:space="preserve"> 废水污染源</w:t>
            </w:r>
          </w:p>
          <w:p w14:paraId="4428EE1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本项目废水主要来源于工作人员生活污水</w:t>
            </w:r>
            <w:r>
              <w:rPr>
                <w:rFonts w:hint="eastAsia" w:cs="Times New Roman"/>
                <w:color w:val="auto"/>
                <w:kern w:val="0"/>
                <w:sz w:val="24"/>
                <w:highlight w:val="none"/>
                <w:lang w:val="en-US" w:eastAsia="zh-CN"/>
              </w:rPr>
              <w:t>，</w:t>
            </w:r>
            <w:r>
              <w:rPr>
                <w:rFonts w:hint="default" w:ascii="Times New Roman" w:hAnsi="Times New Roman" w:cs="Times New Roman"/>
                <w:color w:val="auto"/>
                <w:kern w:val="0"/>
                <w:sz w:val="24"/>
                <w:highlight w:val="none"/>
              </w:rPr>
              <w:t>项目生活污水产生量为</w:t>
            </w:r>
            <w:r>
              <w:rPr>
                <w:rFonts w:hint="default" w:ascii="Times New Roman" w:hAnsi="Times New Roman" w:cs="Times New Roman"/>
                <w:bCs/>
                <w:color w:val="auto"/>
                <w:sz w:val="24"/>
                <w:highlight w:val="none"/>
                <w:lang w:val="en-US" w:eastAsia="zh-CN"/>
              </w:rPr>
              <w:t>1</w:t>
            </w:r>
            <w:r>
              <w:rPr>
                <w:rFonts w:hint="eastAsia" w:cs="Times New Roman"/>
                <w:bCs/>
                <w:color w:val="auto"/>
                <w:sz w:val="24"/>
                <w:highlight w:val="none"/>
                <w:lang w:val="en-US" w:eastAsia="zh-CN"/>
              </w:rPr>
              <w:t>92</w:t>
            </w:r>
            <w:r>
              <w:rPr>
                <w:rFonts w:hint="default" w:ascii="Times New Roman" w:hAnsi="Times New Roman" w:cs="Times New Roman"/>
                <w:bCs/>
                <w:color w:val="auto"/>
                <w:sz w:val="24"/>
                <w:highlight w:val="none"/>
              </w:rPr>
              <w:t>m</w:t>
            </w:r>
            <w:r>
              <w:rPr>
                <w:rFonts w:hint="default" w:ascii="Times New Roman" w:hAnsi="Times New Roman" w:cs="Times New Roman"/>
                <w:bCs/>
                <w:color w:val="auto"/>
                <w:sz w:val="24"/>
                <w:highlight w:val="none"/>
                <w:vertAlign w:val="superscript"/>
              </w:rPr>
              <w:t>3</w:t>
            </w:r>
            <w:r>
              <w:rPr>
                <w:rFonts w:hint="default" w:ascii="Times New Roman" w:hAnsi="Times New Roman" w:cs="Times New Roman"/>
                <w:bCs/>
                <w:color w:val="auto"/>
                <w:sz w:val="24"/>
                <w:highlight w:val="none"/>
              </w:rPr>
              <w:t>/a，</w:t>
            </w:r>
            <w:r>
              <w:rPr>
                <w:rFonts w:hint="eastAsia" w:cs="Times New Roman"/>
                <w:color w:val="auto"/>
                <w:sz w:val="24"/>
                <w:szCs w:val="24"/>
                <w:lang w:val="en-US" w:eastAsia="zh-CN"/>
              </w:rPr>
              <w:t>生活污水</w:t>
            </w:r>
            <w:r>
              <w:rPr>
                <w:rFonts w:hint="eastAsia" w:ascii="Times New Roman" w:hAnsi="Times New Roman" w:eastAsia="宋体" w:cs="Times New Roman"/>
                <w:color w:val="auto"/>
                <w:sz w:val="24"/>
                <w:szCs w:val="24"/>
                <w:lang w:val="en-US" w:eastAsia="zh-CN"/>
              </w:rPr>
              <w:t>排入</w:t>
            </w:r>
            <w:r>
              <w:rPr>
                <w:rFonts w:hint="eastAsia" w:cs="Times New Roman"/>
                <w:color w:val="auto"/>
                <w:sz w:val="24"/>
                <w:szCs w:val="24"/>
                <w:lang w:val="en-US" w:eastAsia="zh-CN"/>
              </w:rPr>
              <w:t>化粪池</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吸污清运</w:t>
            </w:r>
            <w:r>
              <w:rPr>
                <w:rFonts w:hint="eastAsia" w:ascii="Times New Roman" w:hAnsi="Times New Roman" w:eastAsia="宋体" w:cs="Times New Roman"/>
                <w:color w:val="auto"/>
                <w:sz w:val="24"/>
                <w:szCs w:val="24"/>
                <w:lang w:val="en-US" w:eastAsia="zh-CN"/>
              </w:rPr>
              <w:t>至</w:t>
            </w:r>
            <w:r>
              <w:rPr>
                <w:rFonts w:hint="eastAsia" w:cs="Times New Roman"/>
                <w:color w:val="auto"/>
                <w:sz w:val="24"/>
                <w:szCs w:val="24"/>
                <w:lang w:val="en-US" w:eastAsia="zh-CN"/>
              </w:rPr>
              <w:t>天北经济技术开发区污水处理厂</w:t>
            </w:r>
            <w:r>
              <w:rPr>
                <w:rFonts w:hint="eastAsia" w:ascii="Times New Roman" w:hAnsi="Times New Roman" w:eastAsia="宋体" w:cs="Times New Roman"/>
                <w:color w:val="auto"/>
                <w:sz w:val="24"/>
                <w:szCs w:val="24"/>
                <w:lang w:val="en-US" w:eastAsia="zh-CN"/>
              </w:rPr>
              <w:t>处理</w:t>
            </w:r>
            <w:r>
              <w:rPr>
                <w:rFonts w:hint="default" w:ascii="Times New Roman" w:hAnsi="Times New Roman" w:cs="Times New Roman"/>
                <w:bCs/>
                <w:color w:val="auto"/>
                <w:sz w:val="24"/>
                <w:szCs w:val="24"/>
                <w:highlight w:val="none"/>
              </w:rPr>
              <w:t>。</w:t>
            </w:r>
            <w:r>
              <w:rPr>
                <w:rFonts w:hint="default" w:ascii="Times New Roman" w:hAnsi="Times New Roman" w:cs="Times New Roman"/>
                <w:color w:val="auto"/>
                <w:kern w:val="0"/>
                <w:sz w:val="24"/>
                <w:highlight w:val="none"/>
              </w:rPr>
              <w:t>生活污水污染物组成、浓度及产生量见表4-</w:t>
            </w:r>
            <w:r>
              <w:rPr>
                <w:rFonts w:hint="eastAsia" w:cs="Times New Roman"/>
                <w:color w:val="auto"/>
                <w:kern w:val="0"/>
                <w:sz w:val="24"/>
                <w:highlight w:val="none"/>
                <w:lang w:val="en-US" w:eastAsia="zh-CN"/>
              </w:rPr>
              <w:t>12</w:t>
            </w:r>
            <w:r>
              <w:rPr>
                <w:rFonts w:hint="default" w:ascii="Times New Roman" w:hAnsi="Times New Roman" w:cs="Times New Roman"/>
                <w:color w:val="auto"/>
                <w:kern w:val="0"/>
                <w:sz w:val="24"/>
                <w:highlight w:val="none"/>
              </w:rPr>
              <w:t>。</w:t>
            </w:r>
          </w:p>
          <w:p w14:paraId="537D195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eastAsia" w:cs="Times New Roman"/>
                <w:b/>
                <w:color w:val="auto"/>
                <w:szCs w:val="21"/>
                <w:highlight w:val="none"/>
                <w:lang w:val="en-US" w:eastAsia="zh-CN"/>
              </w:rPr>
              <w:t>12</w:t>
            </w:r>
            <w:r>
              <w:rPr>
                <w:rFonts w:hint="default" w:ascii="Times New Roman" w:hAnsi="Times New Roman" w:cs="Times New Roman"/>
                <w:b/>
                <w:color w:val="auto"/>
                <w:szCs w:val="21"/>
                <w:highlight w:val="none"/>
              </w:rPr>
              <w:t xml:space="preserve">  生活污水水污染物组成、浓度及排放量</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2190"/>
              <w:gridCol w:w="1263"/>
              <w:gridCol w:w="1201"/>
              <w:gridCol w:w="1178"/>
              <w:gridCol w:w="945"/>
            </w:tblGrid>
            <w:tr w14:paraId="77BD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94" w:type="pct"/>
                  <w:gridSpan w:val="2"/>
                  <w:tcBorders>
                    <w:tl2br w:val="nil"/>
                    <w:tr2bl w:val="nil"/>
                  </w:tcBorders>
                  <w:noWrap/>
                  <w:vAlign w:val="center"/>
                </w:tcPr>
                <w:p w14:paraId="14C0AE4E">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b/>
                      <w:bCs w:val="0"/>
                      <w:color w:val="auto"/>
                      <w:highlight w:val="none"/>
                    </w:rPr>
                  </w:pPr>
                  <w:r>
                    <w:rPr>
                      <w:rFonts w:hint="default" w:ascii="Times New Roman" w:hAnsi="Times New Roman" w:cs="Times New Roman"/>
                      <w:b/>
                      <w:bCs w:val="0"/>
                      <w:color w:val="auto"/>
                      <w:szCs w:val="21"/>
                      <w:highlight w:val="none"/>
                    </w:rPr>
                    <w:t>污染指标</w:t>
                  </w:r>
                </w:p>
              </w:tc>
              <w:tc>
                <w:tcPr>
                  <w:tcW w:w="772" w:type="pct"/>
                  <w:tcBorders>
                    <w:tl2br w:val="nil"/>
                    <w:tr2bl w:val="nil"/>
                  </w:tcBorders>
                  <w:noWrap/>
                  <w:vAlign w:val="center"/>
                </w:tcPr>
                <w:p w14:paraId="2C1C1801">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t>COD</w:t>
                  </w:r>
                </w:p>
              </w:tc>
              <w:tc>
                <w:tcPr>
                  <w:tcW w:w="734" w:type="pct"/>
                  <w:tcBorders>
                    <w:tl2br w:val="nil"/>
                    <w:tr2bl w:val="nil"/>
                  </w:tcBorders>
                  <w:noWrap/>
                  <w:vAlign w:val="center"/>
                </w:tcPr>
                <w:p w14:paraId="26F57A12">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t>BOD</w:t>
                  </w:r>
                  <w:r>
                    <w:rPr>
                      <w:rFonts w:hint="default" w:ascii="Times New Roman" w:hAnsi="Times New Roman" w:cs="Times New Roman"/>
                      <w:b/>
                      <w:bCs w:val="0"/>
                      <w:color w:val="auto"/>
                      <w:highlight w:val="none"/>
                      <w:vertAlign w:val="subscript"/>
                    </w:rPr>
                    <w:t>5</w:t>
                  </w:r>
                </w:p>
              </w:tc>
              <w:tc>
                <w:tcPr>
                  <w:tcW w:w="720" w:type="pct"/>
                  <w:tcBorders>
                    <w:tl2br w:val="nil"/>
                    <w:tr2bl w:val="nil"/>
                  </w:tcBorders>
                  <w:noWrap/>
                  <w:vAlign w:val="center"/>
                </w:tcPr>
                <w:p w14:paraId="6C3BD748">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t>NH</w:t>
                  </w:r>
                  <w:r>
                    <w:rPr>
                      <w:rFonts w:hint="default" w:ascii="Times New Roman" w:hAnsi="Times New Roman" w:cs="Times New Roman"/>
                      <w:b/>
                      <w:bCs w:val="0"/>
                      <w:color w:val="auto"/>
                      <w:highlight w:val="none"/>
                      <w:vertAlign w:val="subscript"/>
                    </w:rPr>
                    <w:t>3</w:t>
                  </w:r>
                  <w:r>
                    <w:rPr>
                      <w:rFonts w:hint="default" w:ascii="Times New Roman" w:hAnsi="Times New Roman" w:cs="Times New Roman"/>
                      <w:b/>
                      <w:bCs w:val="0"/>
                      <w:color w:val="auto"/>
                      <w:highlight w:val="none"/>
                    </w:rPr>
                    <w:t>-N</w:t>
                  </w:r>
                </w:p>
              </w:tc>
              <w:tc>
                <w:tcPr>
                  <w:tcW w:w="578" w:type="pct"/>
                  <w:tcBorders>
                    <w:tl2br w:val="nil"/>
                    <w:tr2bl w:val="nil"/>
                  </w:tcBorders>
                  <w:noWrap/>
                  <w:vAlign w:val="center"/>
                </w:tcPr>
                <w:p w14:paraId="26D7BB26">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t>SS</w:t>
                  </w:r>
                </w:p>
              </w:tc>
            </w:tr>
            <w:tr w14:paraId="2728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55" w:type="pct"/>
                  <w:vMerge w:val="restart"/>
                  <w:tcBorders>
                    <w:tl2br w:val="nil"/>
                    <w:tr2bl w:val="nil"/>
                  </w:tcBorders>
                  <w:noWrap/>
                  <w:vAlign w:val="center"/>
                </w:tcPr>
                <w:p w14:paraId="48CBEC13">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生活污水</w:t>
                  </w:r>
                </w:p>
                <w:p w14:paraId="6F486FBB">
                  <w:pPr>
                    <w:pStyle w:val="120"/>
                    <w:keepNext w:val="0"/>
                    <w:keepLines w:val="0"/>
                    <w:suppressLineNumbers w:val="0"/>
                    <w:spacing w:before="0" w:beforeAutospacing="0" w:after="0" w:afterAutospacing="0" w:line="240" w:lineRule="auto"/>
                    <w:ind w:left="0" w:right="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w:t>
                  </w:r>
                  <w:r>
                    <w:rPr>
                      <w:rFonts w:hint="eastAsia" w:cs="Times New Roman"/>
                      <w:color w:val="auto"/>
                      <w:highlight w:val="none"/>
                      <w:lang w:val="en-US" w:eastAsia="zh-CN"/>
                    </w:rPr>
                    <w:t>92</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/a）</w:t>
                  </w:r>
                </w:p>
              </w:tc>
              <w:tc>
                <w:tcPr>
                  <w:tcW w:w="1338" w:type="pct"/>
                  <w:tcBorders>
                    <w:tl2br w:val="nil"/>
                    <w:tr2bl w:val="nil"/>
                  </w:tcBorders>
                  <w:noWrap/>
                  <w:vAlign w:val="center"/>
                </w:tcPr>
                <w:p w14:paraId="60F8580A">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水质浓度（mg/L）</w:t>
                  </w:r>
                </w:p>
              </w:tc>
              <w:tc>
                <w:tcPr>
                  <w:tcW w:w="772" w:type="pct"/>
                  <w:tcBorders>
                    <w:tl2br w:val="nil"/>
                    <w:tr2bl w:val="nil"/>
                  </w:tcBorders>
                  <w:noWrap/>
                  <w:vAlign w:val="center"/>
                </w:tcPr>
                <w:p w14:paraId="6B694F5D">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400</w:t>
                  </w:r>
                </w:p>
              </w:tc>
              <w:tc>
                <w:tcPr>
                  <w:tcW w:w="734" w:type="pct"/>
                  <w:tcBorders>
                    <w:tl2br w:val="nil"/>
                    <w:tr2bl w:val="nil"/>
                  </w:tcBorders>
                  <w:noWrap/>
                  <w:vAlign w:val="center"/>
                </w:tcPr>
                <w:p w14:paraId="3E5606B4">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250</w:t>
                  </w:r>
                </w:p>
              </w:tc>
              <w:tc>
                <w:tcPr>
                  <w:tcW w:w="720" w:type="pct"/>
                  <w:tcBorders>
                    <w:tl2br w:val="nil"/>
                    <w:tr2bl w:val="nil"/>
                  </w:tcBorders>
                  <w:noWrap/>
                  <w:vAlign w:val="center"/>
                </w:tcPr>
                <w:p w14:paraId="288FB1A4">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10</w:t>
                  </w:r>
                </w:p>
              </w:tc>
              <w:tc>
                <w:tcPr>
                  <w:tcW w:w="578" w:type="pct"/>
                  <w:tcBorders>
                    <w:tl2br w:val="nil"/>
                    <w:tr2bl w:val="nil"/>
                  </w:tcBorders>
                  <w:noWrap/>
                  <w:vAlign w:val="center"/>
                </w:tcPr>
                <w:p w14:paraId="3E54100E">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250</w:t>
                  </w:r>
                </w:p>
              </w:tc>
            </w:tr>
            <w:tr w14:paraId="1C17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855" w:type="pct"/>
                  <w:vMerge w:val="continue"/>
                  <w:tcBorders>
                    <w:tl2br w:val="nil"/>
                    <w:tr2bl w:val="nil"/>
                  </w:tcBorders>
                  <w:noWrap/>
                  <w:vAlign w:val="center"/>
                </w:tcPr>
                <w:p w14:paraId="21132512">
                  <w:pPr>
                    <w:pStyle w:val="120"/>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1338" w:type="pct"/>
                  <w:tcBorders>
                    <w:tl2br w:val="nil"/>
                    <w:tr2bl w:val="nil"/>
                  </w:tcBorders>
                  <w:noWrap/>
                  <w:vAlign w:val="center"/>
                </w:tcPr>
                <w:p w14:paraId="2706B23A">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污染物排放量（t/a）</w:t>
                  </w:r>
                </w:p>
              </w:tc>
              <w:tc>
                <w:tcPr>
                  <w:tcW w:w="1242" w:type="dxa"/>
                  <w:tcBorders>
                    <w:tl2br w:val="nil"/>
                    <w:tr2bl w:val="nil"/>
                  </w:tcBorders>
                  <w:noWrap/>
                  <w:vAlign w:val="center"/>
                </w:tcPr>
                <w:p w14:paraId="048CB7AD">
                  <w:pPr>
                    <w:pStyle w:val="120"/>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768</w:t>
                  </w:r>
                </w:p>
              </w:tc>
              <w:tc>
                <w:tcPr>
                  <w:tcW w:w="1181" w:type="dxa"/>
                  <w:tcBorders>
                    <w:tl2br w:val="nil"/>
                    <w:tr2bl w:val="nil"/>
                  </w:tcBorders>
                  <w:noWrap/>
                  <w:vAlign w:val="center"/>
                </w:tcPr>
                <w:p w14:paraId="3F88E290">
                  <w:pPr>
                    <w:pStyle w:val="120"/>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0.048</w:t>
                  </w:r>
                </w:p>
              </w:tc>
              <w:tc>
                <w:tcPr>
                  <w:tcW w:w="1158" w:type="dxa"/>
                  <w:tcBorders>
                    <w:tl2br w:val="nil"/>
                    <w:tr2bl w:val="nil"/>
                  </w:tcBorders>
                  <w:noWrap/>
                  <w:vAlign w:val="center"/>
                </w:tcPr>
                <w:p w14:paraId="43A879BE">
                  <w:pPr>
                    <w:pStyle w:val="120"/>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0.00</w:t>
                  </w:r>
                  <w:r>
                    <w:rPr>
                      <w:rFonts w:hint="eastAsia" w:cs="Times New Roman"/>
                      <w:color w:val="auto"/>
                      <w:highlight w:val="none"/>
                      <w:lang w:val="en-US" w:eastAsia="zh-CN"/>
                    </w:rPr>
                    <w:t>192</w:t>
                  </w:r>
                </w:p>
              </w:tc>
              <w:tc>
                <w:tcPr>
                  <w:tcW w:w="930" w:type="dxa"/>
                  <w:tcBorders>
                    <w:tl2br w:val="nil"/>
                    <w:tr2bl w:val="nil"/>
                  </w:tcBorders>
                  <w:noWrap/>
                  <w:vAlign w:val="center"/>
                </w:tcPr>
                <w:p w14:paraId="4B770FAE">
                  <w:pPr>
                    <w:pStyle w:val="120"/>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48</w:t>
                  </w:r>
                </w:p>
              </w:tc>
            </w:tr>
          </w:tbl>
          <w:p w14:paraId="2640E2E4">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sz w:val="24"/>
                <w:highlight w:val="none"/>
              </w:rPr>
            </w:pPr>
            <w:r>
              <w:rPr>
                <w:rFonts w:hint="default" w:ascii="Times New Roman" w:hAnsi="Times New Roman" w:eastAsia="宋体"/>
                <w:b/>
                <w:color w:val="auto"/>
                <w:kern w:val="2"/>
                <w:sz w:val="24"/>
                <w:lang w:bidi="ar"/>
              </w:rPr>
              <w:t>2.</w:t>
            </w:r>
            <w:r>
              <w:rPr>
                <w:rFonts w:hint="eastAsia" w:ascii="Times New Roman" w:hAnsi="Times New Roman"/>
                <w:b/>
                <w:color w:val="auto"/>
                <w:kern w:val="2"/>
                <w:sz w:val="24"/>
                <w:lang w:val="en-US" w:eastAsia="zh-CN" w:bidi="ar"/>
              </w:rPr>
              <w:t xml:space="preserve">2 </w:t>
            </w:r>
            <w:r>
              <w:rPr>
                <w:rFonts w:hint="default" w:ascii="Times New Roman" w:hAnsi="Times New Roman" w:cs="Times New Roman"/>
                <w:b/>
                <w:bCs/>
                <w:color w:val="auto"/>
                <w:sz w:val="24"/>
                <w:highlight w:val="none"/>
              </w:rPr>
              <w:t>污水处理依托可行性</w:t>
            </w:r>
          </w:p>
          <w:p w14:paraId="4A27A9DE">
            <w:pPr>
              <w:pStyle w:val="15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天北经济技术开发区污水处理厂由奎屯源鑫污水处理有限公司运营，位于天北经济技术开发区北工业园区东北角，占地面积46亩。2013年12月31日取得第七师生态环境局《关于奎屯源鑫污水处理有限公司奎屯天北新区污水处理厂项目环境影响报告书的批复》（师环审〔2013〕87号），批复建设规模为近期4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/d，远期15万m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/d，目前已建成一期工程2万m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/d和二期扩容工程2万m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/d，总处理量达到4万m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w:t>
            </w:r>
          </w:p>
          <w:p w14:paraId="20B3F763">
            <w:pPr>
              <w:pStyle w:val="15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一期工程处理工艺为“多级A</w:t>
            </w:r>
            <w:r>
              <w:rPr>
                <w:rFonts w:hint="eastAsia" w:ascii="Times New Roman" w:hAnsi="Times New Roman" w:cs="Times New Roman"/>
                <w:color w:val="auto"/>
                <w:sz w:val="24"/>
                <w:szCs w:val="24"/>
                <w:highlight w:val="none"/>
                <w:vertAlign w:val="superscript"/>
                <w:lang w:val="en-US" w:eastAsia="zh-CN"/>
              </w:rPr>
              <w:t>2</w:t>
            </w:r>
            <w:r>
              <w:rPr>
                <w:rFonts w:hint="eastAsia" w:ascii="Times New Roman" w:hAnsi="Times New Roman" w:cs="Times New Roman"/>
                <w:color w:val="auto"/>
                <w:sz w:val="24"/>
                <w:szCs w:val="24"/>
                <w:highlight w:val="none"/>
                <w:lang w:val="en-US" w:eastAsia="zh-CN"/>
              </w:rPr>
              <w:t>/O+中水膜处理系统+二氧化氯消毒”工艺，采用二氧化氯消毒，中水采用膜处理工艺，除臭采用生物除臭；污泥采用叠螺脱水后送奎屯固废填埋场卫生填埋。天北经济技术开发区污水经过污水处理厂处理达到《城镇污水处理厂污染物排放标准》（GB18918-2002）中一级A排放标准后排入配套中水库进行综合利用。</w:t>
            </w:r>
          </w:p>
          <w:p w14:paraId="6B07108A">
            <w:pPr>
              <w:pStyle w:val="2"/>
              <w:keepNext w:val="0"/>
              <w:keepLines w:val="0"/>
              <w:suppressLineNumbers w:val="0"/>
              <w:adjustRightInd/>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二期扩容工程采用“预处理+多级AO微氧循环流生物处理工艺+除磷加药+高效沉淀池-V型滤池深度处理工艺+接触消毒”工艺，出水水质达到《城镇污水处理厂污染物排放标准》（GB18918-2002）中一级A排放标准，同时满足《城市污水再生利用城市杂用水水质》（GB/T18920-2020）和《城市污水再生利用绿地灌溉水质标准》（GB/T25499-2010）中相关控制标准，处理后的尾水进行综合利用，实施污水资源化，灌溉季节用于下游防护林绿化及荒滩绿化，非灌溉期退水于中水库中存储，后续进行中水回用。脱水污泥含水率≤60%，满足《城镇污水处理厂污泥处置混合填埋泥质》（CJ/T 249）的规定后运往兵团第七师五五工业园一般固体废物填埋场（已投运）进行安全填埋。</w:t>
            </w:r>
          </w:p>
          <w:p w14:paraId="7C2A96CA">
            <w:pPr>
              <w:pStyle w:val="2"/>
              <w:keepNext w:val="0"/>
              <w:keepLines w:val="0"/>
              <w:suppressLineNumbers w:val="0"/>
              <w:adjustRightInd/>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中水储水池位于天北经济技术开发区污水处理厂东北方向3.5km处，由输水管线、扬水泵站、稳流池、中水储水池组成。中水储水池工程设计库容为305万m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正常蓄水位370.8m，坝顶长度3128m，最大坝高7.5m，坝顶宽5m，坝顶高程373.2m。输水管线总长3500m，库区地面高程367m。中水库占地面积约1600亩，库区周边以荒草地为主。中水储水池的主要任务是回收储存冬季污水处理厂处理后的中水，解决中水储存问题，保护水资源；同时利用处理达标的中水灌溉、绿化、道路浇洒、企业低质用水等，可增加绿化面积，改善区域水环境，实现水资源可持续利用。本项目废水依托天北经济技术开发区污水处理厂处理的环境可行性具体如下：</w:t>
            </w:r>
          </w:p>
          <w:p w14:paraId="2C3E729F">
            <w:pPr>
              <w:pStyle w:val="2"/>
              <w:keepNext w:val="0"/>
              <w:keepLines w:val="0"/>
              <w:suppressLineNumbers w:val="0"/>
              <w:adjustRightInd/>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进水水质：天北经济技术开发区污水处理厂接管水质为《污水综合排放标准》（GB8978-1996）表4中的三级标准，该标准未包含的溶解性总固体、氨氮执行《城市污水再生利用绿地灌溉水质》（GB/T25499-2010）绿地灌溉标准。本项目总排口处污染物浓度满足《污水综合排放标准》（GB8978-1996）表4中的三级标准、《城市污水再生利用绿地灌溉水质》（GB/T25499-2010）绿地灌溉标准。故可排入园区污水管网。</w:t>
            </w:r>
          </w:p>
          <w:p w14:paraId="723656F5">
            <w:pPr>
              <w:pStyle w:val="2"/>
              <w:keepNext w:val="0"/>
              <w:keepLines w:val="0"/>
              <w:suppressLineNumbers w:val="0"/>
              <w:adjustRightInd/>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（2）处理规模可行性：天北经济技术开发区污水处理厂目前实际建成规模为4万m³/d。目前园区污水处理厂实际处理规模为1.5万m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/d~1.8万m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/d，日处理余量2.2万m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/d~2.5万m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/d，本项目废水实际排放规模为1.92m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/d（192m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/a），可接纳本项目污水。</w:t>
            </w:r>
          </w:p>
          <w:p w14:paraId="692D321C">
            <w:pPr>
              <w:pStyle w:val="2"/>
              <w:keepNext w:val="0"/>
              <w:keepLines w:val="0"/>
              <w:suppressLineNumbers w:val="0"/>
              <w:adjustRightInd/>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（3）污水处理厂处理工艺和出水标准：天北经济技术开发区污水处理厂一期工程采用“多级A</w:t>
            </w:r>
            <w:r>
              <w:rPr>
                <w:rFonts w:hint="eastAsia" w:ascii="Times New Roman" w:hAnsi="Times New Roman" w:cs="Times New Roman"/>
                <w:color w:val="auto"/>
                <w:sz w:val="24"/>
                <w:szCs w:val="24"/>
                <w:highlight w:val="none"/>
                <w:vertAlign w:val="superscript"/>
                <w:lang w:val="en-US" w:eastAsia="zh-CN"/>
              </w:rPr>
              <w:t>2</w:t>
            </w:r>
            <w:r>
              <w:rPr>
                <w:rFonts w:hint="eastAsia" w:ascii="Times New Roman" w:hAnsi="Times New Roman" w:cs="Times New Roman"/>
                <w:color w:val="auto"/>
                <w:sz w:val="24"/>
                <w:szCs w:val="24"/>
                <w:highlight w:val="none"/>
                <w:lang w:val="en-US" w:eastAsia="zh-CN"/>
              </w:rPr>
              <w:t>/O+中水膜处理系统+二氧化氯消毒”工艺，出水满足《城镇污水处理厂污染物排放标准》（GB18918-2002）一级A标准要求。二期扩容工程采用“预处理+多级AO微氧循环流生物处理工艺+除磷加药+高效沉淀池-V型滤池深度处理工艺+接触消毒”工艺，出水水质达到《城镇污水处理厂污染物排放标准》（GB18918-2002）中一级A排放标准，同时满足《城市污水再生利用城市杂用水水质》（GB/T18920-2020）和《城市污水再生利用绿地灌溉水质标准》（GB/T25499-2010）中相关控制标准。</w:t>
            </w:r>
          </w:p>
          <w:p w14:paraId="2940C349">
            <w:pPr>
              <w:pStyle w:val="2"/>
              <w:keepNext w:val="0"/>
              <w:keepLines w:val="0"/>
              <w:suppressLineNumbers w:val="0"/>
              <w:adjustRightInd/>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综上可知，本项目废水依托天北经济技术开发区污水处理厂是可行的。</w:t>
            </w:r>
          </w:p>
          <w:p w14:paraId="3C3A1FF4">
            <w:pPr>
              <w:pStyle w:val="108"/>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b/>
                <w:bCs/>
                <w:color w:val="auto"/>
                <w:sz w:val="24"/>
                <w:lang w:val="en-US"/>
              </w:rPr>
            </w:pPr>
            <w:r>
              <w:rPr>
                <w:rFonts w:hint="eastAsia"/>
                <w:b/>
                <w:bCs/>
                <w:color w:val="auto"/>
                <w:sz w:val="24"/>
                <w:lang w:val="en-US" w:eastAsia="zh-CN"/>
              </w:rPr>
              <w:t xml:space="preserve">2.3 </w:t>
            </w:r>
            <w:r>
              <w:rPr>
                <w:rFonts w:hint="eastAsia" w:ascii="Times New Roman" w:hAnsi="Times New Roman" w:eastAsia="宋体"/>
                <w:b/>
                <w:bCs/>
                <w:color w:val="auto"/>
                <w:sz w:val="24"/>
                <w:lang w:val="en-US"/>
              </w:rPr>
              <w:t>废水排放监测计划</w:t>
            </w:r>
          </w:p>
          <w:p w14:paraId="7DDA3A54">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olor w:val="auto"/>
                <w:sz w:val="24"/>
              </w:rPr>
            </w:pPr>
            <w:r>
              <w:rPr>
                <w:rFonts w:hint="eastAsia" w:ascii="Times New Roman" w:hAnsi="Times New Roman" w:eastAsia="宋体"/>
                <w:color w:val="auto"/>
                <w:sz w:val="24"/>
              </w:rPr>
              <w:t>根据《排污单位自行监测技术指南 火力发电及锅炉》（HJ</w:t>
            </w:r>
            <w:r>
              <w:rPr>
                <w:rFonts w:hint="eastAsia"/>
                <w:color w:val="auto"/>
                <w:sz w:val="24"/>
                <w:lang w:val="en-US" w:eastAsia="zh-CN"/>
              </w:rPr>
              <w:t xml:space="preserve"> </w:t>
            </w:r>
            <w:r>
              <w:rPr>
                <w:rFonts w:hint="eastAsia" w:ascii="Times New Roman" w:hAnsi="Times New Roman" w:eastAsia="宋体"/>
                <w:color w:val="auto"/>
                <w:sz w:val="24"/>
              </w:rPr>
              <w:t>820-2017</w:t>
            </w:r>
            <w:r>
              <w:rPr>
                <w:rFonts w:hint="eastAsia"/>
                <w:color w:val="auto"/>
                <w:sz w:val="24"/>
                <w:lang w:eastAsia="zh-CN"/>
              </w:rPr>
              <w:t>）</w:t>
            </w:r>
            <w:r>
              <w:rPr>
                <w:rFonts w:hint="eastAsia"/>
                <w:color w:val="auto"/>
                <w:sz w:val="24"/>
                <w:lang w:val="en-US" w:eastAsia="zh-CN"/>
              </w:rPr>
              <w:t>及《排污单位自行监测技术指南 总则》（HJ 819-2017）</w:t>
            </w:r>
            <w:r>
              <w:rPr>
                <w:rFonts w:hint="eastAsia" w:ascii="Times New Roman" w:hAnsi="Times New Roman" w:eastAsia="宋体"/>
                <w:color w:val="auto"/>
                <w:sz w:val="24"/>
              </w:rPr>
              <w:t>相关规定，本次评价确定本项目废水排放自行监测方案见表4-</w:t>
            </w:r>
            <w:r>
              <w:rPr>
                <w:rFonts w:hint="eastAsia"/>
                <w:color w:val="auto"/>
                <w:sz w:val="24"/>
                <w:lang w:val="en-US" w:eastAsia="zh-CN"/>
              </w:rPr>
              <w:t>13</w:t>
            </w:r>
            <w:r>
              <w:rPr>
                <w:rFonts w:hint="eastAsia" w:ascii="Times New Roman" w:hAnsi="Times New Roman" w:eastAsia="宋体"/>
                <w:color w:val="auto"/>
                <w:sz w:val="24"/>
              </w:rPr>
              <w:t>。</w:t>
            </w:r>
          </w:p>
          <w:p w14:paraId="53D6E4C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b/>
                <w:color w:val="auto"/>
                <w:sz w:val="21"/>
                <w:szCs w:val="21"/>
              </w:rPr>
            </w:pPr>
            <w:r>
              <w:rPr>
                <w:rFonts w:hint="eastAsia" w:ascii="Times New Roman" w:hAnsi="Times New Roman" w:eastAsia="宋体"/>
                <w:b/>
                <w:color w:val="auto"/>
                <w:sz w:val="21"/>
                <w:szCs w:val="21"/>
              </w:rPr>
              <w:t>表4-</w:t>
            </w:r>
            <w:r>
              <w:rPr>
                <w:rFonts w:hint="eastAsia"/>
                <w:b/>
                <w:color w:val="auto"/>
                <w:sz w:val="21"/>
                <w:szCs w:val="21"/>
                <w:lang w:val="en-US" w:eastAsia="zh-CN"/>
              </w:rPr>
              <w:t>13</w:t>
            </w:r>
            <w:r>
              <w:rPr>
                <w:rFonts w:hint="eastAsia" w:ascii="Times New Roman" w:hAnsi="Times New Roman" w:eastAsia="宋体"/>
                <w:b/>
                <w:color w:val="auto"/>
                <w:sz w:val="21"/>
                <w:szCs w:val="21"/>
              </w:rPr>
              <w:t xml:space="preserve">  废水排放监测方案</w:t>
            </w:r>
          </w:p>
          <w:tbl>
            <w:tblPr>
              <w:tblStyle w:val="40"/>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453"/>
              <w:gridCol w:w="2885"/>
              <w:gridCol w:w="1111"/>
              <w:gridCol w:w="2729"/>
            </w:tblGrid>
            <w:tr w14:paraId="1B0E8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888" w:type="pct"/>
                  <w:tcBorders>
                    <w:tl2br w:val="nil"/>
                    <w:tr2bl w:val="nil"/>
                  </w:tcBorders>
                  <w:vAlign w:val="center"/>
                </w:tcPr>
                <w:p w14:paraId="5CA328F4">
                  <w:pPr>
                    <w:pStyle w:val="148"/>
                    <w:keepNext w:val="0"/>
                    <w:keepLines w:val="0"/>
                    <w:suppressLineNumbers w:val="0"/>
                    <w:spacing w:before="0" w:beforeAutospacing="0" w:after="0" w:afterAutospacing="0"/>
                    <w:ind w:left="0" w:right="0"/>
                    <w:rPr>
                      <w:rFonts w:hint="default" w:ascii="Times New Roman" w:hAnsi="Times New Roman" w:eastAsia="宋体"/>
                      <w:b/>
                      <w:bCs/>
                      <w:iCs/>
                      <w:color w:val="auto"/>
                    </w:rPr>
                  </w:pPr>
                  <w:r>
                    <w:rPr>
                      <w:rFonts w:hint="eastAsia" w:ascii="Times New Roman" w:hAnsi="Times New Roman" w:eastAsia="宋体"/>
                      <w:b/>
                      <w:bCs/>
                      <w:iCs/>
                      <w:color w:val="auto"/>
                    </w:rPr>
                    <w:t>监测位置</w:t>
                  </w:r>
                </w:p>
              </w:tc>
              <w:tc>
                <w:tcPr>
                  <w:tcW w:w="1763" w:type="pct"/>
                  <w:tcBorders>
                    <w:tl2br w:val="nil"/>
                    <w:tr2bl w:val="nil"/>
                  </w:tcBorders>
                  <w:vAlign w:val="center"/>
                </w:tcPr>
                <w:p w14:paraId="5501719D">
                  <w:pPr>
                    <w:pStyle w:val="148"/>
                    <w:keepNext w:val="0"/>
                    <w:keepLines w:val="0"/>
                    <w:suppressLineNumbers w:val="0"/>
                    <w:spacing w:before="0" w:beforeAutospacing="0" w:after="0" w:afterAutospacing="0"/>
                    <w:ind w:left="0" w:right="0"/>
                    <w:rPr>
                      <w:rFonts w:hint="default" w:ascii="Times New Roman" w:hAnsi="Times New Roman" w:eastAsia="宋体"/>
                      <w:b/>
                      <w:bCs/>
                      <w:iCs/>
                      <w:color w:val="auto"/>
                    </w:rPr>
                  </w:pPr>
                  <w:r>
                    <w:rPr>
                      <w:rFonts w:hint="eastAsia" w:ascii="Times New Roman" w:hAnsi="Times New Roman" w:eastAsia="宋体"/>
                      <w:b/>
                      <w:bCs/>
                      <w:iCs/>
                      <w:color w:val="auto"/>
                    </w:rPr>
                    <w:t>监测项目</w:t>
                  </w:r>
                </w:p>
              </w:tc>
              <w:tc>
                <w:tcPr>
                  <w:tcW w:w="679" w:type="pct"/>
                  <w:tcBorders>
                    <w:tl2br w:val="nil"/>
                    <w:tr2bl w:val="nil"/>
                  </w:tcBorders>
                  <w:vAlign w:val="center"/>
                </w:tcPr>
                <w:p w14:paraId="272E4C2F">
                  <w:pPr>
                    <w:pStyle w:val="148"/>
                    <w:keepNext w:val="0"/>
                    <w:keepLines w:val="0"/>
                    <w:suppressLineNumbers w:val="0"/>
                    <w:spacing w:before="0" w:beforeAutospacing="0" w:after="0" w:afterAutospacing="0"/>
                    <w:ind w:left="0" w:right="0"/>
                    <w:rPr>
                      <w:rFonts w:hint="default" w:ascii="Times New Roman" w:hAnsi="Times New Roman" w:eastAsia="宋体"/>
                      <w:b/>
                      <w:bCs/>
                      <w:iCs/>
                      <w:color w:val="auto"/>
                    </w:rPr>
                  </w:pPr>
                  <w:r>
                    <w:rPr>
                      <w:rFonts w:hint="eastAsia" w:ascii="Times New Roman" w:hAnsi="Times New Roman" w:eastAsia="宋体"/>
                      <w:b/>
                      <w:bCs/>
                      <w:iCs/>
                      <w:color w:val="auto"/>
                    </w:rPr>
                    <w:t>监测频率</w:t>
                  </w:r>
                </w:p>
              </w:tc>
              <w:tc>
                <w:tcPr>
                  <w:tcW w:w="1668" w:type="pct"/>
                  <w:tcBorders>
                    <w:tl2br w:val="nil"/>
                    <w:tr2bl w:val="nil"/>
                  </w:tcBorders>
                  <w:vAlign w:val="center"/>
                </w:tcPr>
                <w:p w14:paraId="2B6EBDF9">
                  <w:pPr>
                    <w:pStyle w:val="148"/>
                    <w:keepNext w:val="0"/>
                    <w:keepLines w:val="0"/>
                    <w:suppressLineNumbers w:val="0"/>
                    <w:spacing w:before="0" w:beforeAutospacing="0" w:after="0" w:afterAutospacing="0"/>
                    <w:ind w:left="0" w:right="0"/>
                    <w:rPr>
                      <w:rFonts w:hint="default" w:ascii="Times New Roman" w:hAnsi="Times New Roman" w:eastAsia="宋体"/>
                      <w:b/>
                      <w:bCs/>
                      <w:iCs/>
                      <w:color w:val="auto"/>
                    </w:rPr>
                  </w:pPr>
                  <w:r>
                    <w:rPr>
                      <w:rFonts w:hint="eastAsia" w:ascii="Times New Roman" w:hAnsi="Times New Roman" w:eastAsia="宋体"/>
                      <w:b/>
                      <w:bCs/>
                      <w:iCs/>
                      <w:color w:val="auto"/>
                    </w:rPr>
                    <w:t>监测方式</w:t>
                  </w:r>
                </w:p>
              </w:tc>
            </w:tr>
            <w:tr w14:paraId="15F0E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888" w:type="pct"/>
                  <w:tcBorders>
                    <w:tl2br w:val="nil"/>
                    <w:tr2bl w:val="nil"/>
                  </w:tcBorders>
                  <w:vAlign w:val="center"/>
                </w:tcPr>
                <w:p w14:paraId="0DE90850">
                  <w:pPr>
                    <w:pStyle w:val="148"/>
                    <w:keepNext w:val="0"/>
                    <w:keepLines w:val="0"/>
                    <w:suppressLineNumbers w:val="0"/>
                    <w:spacing w:before="0" w:beforeAutospacing="0" w:after="0" w:afterAutospacing="0"/>
                    <w:ind w:left="0" w:right="0"/>
                    <w:rPr>
                      <w:rFonts w:hint="default" w:ascii="Times New Roman" w:hAnsi="Times New Roman" w:eastAsia="宋体"/>
                      <w:iCs/>
                      <w:color w:val="auto"/>
                    </w:rPr>
                  </w:pPr>
                  <w:r>
                    <w:rPr>
                      <w:rFonts w:hint="eastAsia" w:ascii="Times New Roman" w:hAnsi="Times New Roman" w:eastAsia="宋体"/>
                      <w:iCs/>
                      <w:color w:val="auto"/>
                    </w:rPr>
                    <w:t>企业废水总排放口</w:t>
                  </w:r>
                </w:p>
              </w:tc>
              <w:tc>
                <w:tcPr>
                  <w:tcW w:w="1763" w:type="pct"/>
                  <w:tcBorders>
                    <w:tl2br w:val="nil"/>
                    <w:tr2bl w:val="nil"/>
                  </w:tcBorders>
                  <w:vAlign w:val="center"/>
                </w:tcPr>
                <w:p w14:paraId="24129BC6">
                  <w:pPr>
                    <w:pStyle w:val="148"/>
                    <w:keepNext w:val="0"/>
                    <w:keepLines w:val="0"/>
                    <w:suppressLineNumbers w:val="0"/>
                    <w:spacing w:before="0" w:beforeAutospacing="0" w:after="0" w:afterAutospacing="0"/>
                    <w:ind w:left="0" w:right="0"/>
                    <w:rPr>
                      <w:rFonts w:hint="default" w:ascii="Times New Roman" w:hAnsi="Times New Roman" w:eastAsia="宋体"/>
                      <w:iCs/>
                      <w:color w:val="auto"/>
                    </w:rPr>
                  </w:pPr>
                  <w:r>
                    <w:rPr>
                      <w:rFonts w:hint="eastAsia"/>
                      <w:iCs/>
                      <w:color w:val="auto"/>
                      <w:lang w:eastAsia="zh-CN"/>
                    </w:rPr>
                    <w:t>pH</w:t>
                  </w:r>
                  <w:r>
                    <w:rPr>
                      <w:rFonts w:hint="eastAsia" w:ascii="Times New Roman" w:hAnsi="Times New Roman" w:eastAsia="宋体"/>
                      <w:iCs/>
                      <w:color w:val="auto"/>
                    </w:rPr>
                    <w:t>值、</w:t>
                  </w:r>
                  <w:r>
                    <w:rPr>
                      <w:rFonts w:hint="eastAsia"/>
                      <w:iCs/>
                      <w:color w:val="auto"/>
                      <w:lang w:val="en-US" w:eastAsia="zh-CN"/>
                    </w:rPr>
                    <w:t>COD、BOD</w:t>
                  </w:r>
                  <w:r>
                    <w:rPr>
                      <w:rFonts w:hint="eastAsia"/>
                      <w:iCs/>
                      <w:color w:val="auto"/>
                      <w:vertAlign w:val="subscript"/>
                      <w:lang w:val="en-US" w:eastAsia="zh-CN"/>
                    </w:rPr>
                    <w:t>5</w:t>
                  </w:r>
                  <w:r>
                    <w:rPr>
                      <w:rFonts w:hint="eastAsia" w:ascii="Times New Roman" w:hAnsi="Times New Roman" w:eastAsia="宋体"/>
                      <w:iCs/>
                      <w:color w:val="auto"/>
                    </w:rPr>
                    <w:t>、氨氮、悬浮物</w:t>
                  </w:r>
                </w:p>
              </w:tc>
              <w:tc>
                <w:tcPr>
                  <w:tcW w:w="679" w:type="pct"/>
                  <w:tcBorders>
                    <w:tl2br w:val="nil"/>
                    <w:tr2bl w:val="nil"/>
                  </w:tcBorders>
                  <w:vAlign w:val="center"/>
                </w:tcPr>
                <w:p w14:paraId="69514B1C">
                  <w:pPr>
                    <w:pStyle w:val="148"/>
                    <w:keepNext w:val="0"/>
                    <w:keepLines w:val="0"/>
                    <w:suppressLineNumbers w:val="0"/>
                    <w:spacing w:before="0" w:beforeAutospacing="0" w:after="0" w:afterAutospacing="0"/>
                    <w:ind w:left="0" w:right="0"/>
                    <w:rPr>
                      <w:rFonts w:hint="default" w:ascii="Times New Roman" w:hAnsi="Times New Roman" w:eastAsia="宋体"/>
                      <w:iCs/>
                      <w:color w:val="auto"/>
                    </w:rPr>
                  </w:pPr>
                  <w:r>
                    <w:rPr>
                      <w:rFonts w:hint="eastAsia" w:ascii="Times New Roman" w:hAnsi="Times New Roman" w:eastAsia="宋体"/>
                      <w:iCs/>
                      <w:color w:val="auto"/>
                    </w:rPr>
                    <w:t>每年1次</w:t>
                  </w:r>
                </w:p>
              </w:tc>
              <w:tc>
                <w:tcPr>
                  <w:tcW w:w="1668" w:type="pct"/>
                  <w:tcBorders>
                    <w:tl2br w:val="nil"/>
                    <w:tr2bl w:val="nil"/>
                  </w:tcBorders>
                  <w:vAlign w:val="center"/>
                </w:tcPr>
                <w:p w14:paraId="44AE5845">
                  <w:pPr>
                    <w:pStyle w:val="148"/>
                    <w:keepNext w:val="0"/>
                    <w:keepLines w:val="0"/>
                    <w:suppressLineNumbers w:val="0"/>
                    <w:spacing w:before="0" w:beforeAutospacing="0" w:after="0" w:afterAutospacing="0"/>
                    <w:ind w:left="0" w:right="0"/>
                    <w:rPr>
                      <w:rFonts w:hint="default" w:ascii="Times New Roman" w:hAnsi="Times New Roman" w:eastAsia="宋体"/>
                      <w:iCs/>
                      <w:color w:val="auto"/>
                    </w:rPr>
                  </w:pPr>
                  <w:r>
                    <w:rPr>
                      <w:rFonts w:hint="eastAsia" w:ascii="Times New Roman" w:hAnsi="Times New Roman" w:eastAsia="宋体"/>
                      <w:iCs/>
                      <w:color w:val="auto"/>
                    </w:rPr>
                    <w:t>委托第三方监测单位监测</w:t>
                  </w:r>
                </w:p>
              </w:tc>
            </w:tr>
          </w:tbl>
          <w:p w14:paraId="7D3D0F87">
            <w:pPr>
              <w:pStyle w:val="34"/>
              <w:keepNext w:val="0"/>
              <w:keepLines w:val="0"/>
              <w:widowControl w:val="0"/>
              <w:suppressLineNumbers w:val="0"/>
              <w:autoSpaceDE w:val="0"/>
              <w:spacing w:before="0" w:beforeAutospacing="0" w:after="0" w:afterAutospacing="0" w:line="360" w:lineRule="auto"/>
              <w:ind w:left="0" w:right="0" w:firstLine="482" w:firstLineChars="200"/>
              <w:jc w:val="both"/>
              <w:rPr>
                <w:rFonts w:hint="default" w:ascii="Times New Roman" w:hAnsi="Times New Roman" w:eastAsia="宋体"/>
                <w:b/>
                <w:bCs/>
                <w:color w:val="auto"/>
                <w:kern w:val="2"/>
                <w:szCs w:val="24"/>
                <w:lang w:bidi="ar"/>
              </w:rPr>
            </w:pPr>
            <w:r>
              <w:rPr>
                <w:rFonts w:hint="default" w:ascii="Times New Roman" w:hAnsi="Times New Roman" w:eastAsia="宋体"/>
                <w:b/>
                <w:bCs/>
                <w:color w:val="auto"/>
                <w:kern w:val="2"/>
                <w:szCs w:val="24"/>
                <w:lang w:bidi="ar"/>
              </w:rPr>
              <w:t>2.</w:t>
            </w:r>
            <w:r>
              <w:rPr>
                <w:rFonts w:hint="eastAsia" w:ascii="Times New Roman" w:hAnsi="Times New Roman"/>
                <w:b/>
                <w:bCs/>
                <w:color w:val="auto"/>
                <w:kern w:val="2"/>
                <w:szCs w:val="24"/>
                <w:lang w:val="en-US" w:eastAsia="zh-CN" w:bidi="ar"/>
              </w:rPr>
              <w:t xml:space="preserve">4 </w:t>
            </w:r>
            <w:r>
              <w:rPr>
                <w:rFonts w:hint="default" w:ascii="Times New Roman" w:hAnsi="Times New Roman" w:eastAsia="宋体"/>
                <w:b/>
                <w:bCs/>
                <w:color w:val="auto"/>
                <w:kern w:val="2"/>
                <w:szCs w:val="24"/>
                <w:lang w:bidi="ar"/>
              </w:rPr>
              <w:t>运行管理要求</w:t>
            </w:r>
          </w:p>
          <w:p w14:paraId="539E940C">
            <w:pPr>
              <w:pStyle w:val="34"/>
              <w:keepNext w:val="0"/>
              <w:keepLines w:val="0"/>
              <w:widowControl w:val="0"/>
              <w:suppressLineNumbers w:val="0"/>
              <w:autoSpaceDE w:val="0"/>
              <w:spacing w:before="0" w:beforeAutospacing="0" w:after="0" w:afterAutospacing="0" w:line="360" w:lineRule="auto"/>
              <w:ind w:left="0" w:right="0" w:firstLine="480" w:firstLineChars="200"/>
              <w:jc w:val="both"/>
              <w:rPr>
                <w:rFonts w:hint="default" w:ascii="Times New Roman" w:hAnsi="Times New Roman" w:eastAsia="宋体"/>
                <w:color w:val="auto"/>
                <w:kern w:val="2"/>
                <w:szCs w:val="24"/>
                <w:lang w:bidi="ar"/>
              </w:rPr>
            </w:pPr>
            <w:r>
              <w:rPr>
                <w:rFonts w:hint="default" w:ascii="Times New Roman" w:hAnsi="Times New Roman" w:eastAsia="宋体"/>
                <w:color w:val="auto"/>
                <w:kern w:val="2"/>
                <w:szCs w:val="24"/>
                <w:lang w:bidi="ar"/>
              </w:rPr>
              <w:t>应当按照相关法律法规、标准和技术规范等的要求运行水污染防治设施并进行维护和管理；保证设施运行正常。</w:t>
            </w:r>
          </w:p>
          <w:p w14:paraId="5F54994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3、噪声</w:t>
            </w:r>
          </w:p>
          <w:p w14:paraId="16FFF434">
            <w:pPr>
              <w:pStyle w:val="2"/>
              <w:keepNext w:val="0"/>
              <w:keepLines w:val="0"/>
              <w:suppressLineNumbers w:val="0"/>
              <w:adjustRightInd/>
              <w:spacing w:before="0" w:beforeAutospacing="0" w:after="0" w:afterAutospacing="0" w:line="360" w:lineRule="auto"/>
              <w:ind w:left="0" w:right="0" w:firstLine="482" w:firstLineChars="200"/>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3.1</w:t>
            </w:r>
            <w:r>
              <w:rPr>
                <w:rFonts w:hint="eastAsia" w:ascii="Times New Roman" w:hAnsi="Times New Roman" w:cs="Times New Roman"/>
                <w:b/>
                <w:bCs/>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rPr>
              <w:t>噪声影响及环保措施分析</w:t>
            </w:r>
          </w:p>
          <w:p w14:paraId="2F2E1819">
            <w:pPr>
              <w:keepNext w:val="0"/>
              <w:keepLines w:val="0"/>
              <w:suppressLineNumbers w:val="0"/>
              <w:spacing w:before="0" w:beforeAutospacing="0" w:after="0" w:afterAutospacing="0" w:line="348" w:lineRule="auto"/>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本项目营运期噪声主要来源于</w:t>
            </w:r>
            <w:r>
              <w:rPr>
                <w:rFonts w:hint="eastAsia" w:ascii="Times New Roman" w:hAnsi="Times New Roman" w:cs="Times New Roman"/>
                <w:color w:val="auto"/>
                <w:sz w:val="24"/>
                <w:highlight w:val="none"/>
                <w:lang w:val="en-US" w:eastAsia="zh-CN"/>
              </w:rPr>
              <w:t>烘干</w:t>
            </w:r>
            <w:r>
              <w:rPr>
                <w:rFonts w:hint="default" w:ascii="Times New Roman" w:hAnsi="Times New Roman" w:cs="Times New Roman"/>
                <w:color w:val="auto"/>
                <w:sz w:val="24"/>
                <w:highlight w:val="none"/>
              </w:rPr>
              <w:t>风机、</w:t>
            </w:r>
            <w:r>
              <w:rPr>
                <w:rFonts w:hint="eastAsia" w:cs="Times New Roman"/>
                <w:color w:val="auto"/>
                <w:sz w:val="24"/>
                <w:highlight w:val="none"/>
                <w:lang w:val="en-US" w:eastAsia="zh-CN"/>
              </w:rPr>
              <w:t>除尘器</w:t>
            </w:r>
            <w:r>
              <w:rPr>
                <w:rFonts w:hint="default" w:ascii="Times New Roman" w:hAnsi="Times New Roman" w:cs="Times New Roman"/>
                <w:color w:val="auto"/>
                <w:sz w:val="24"/>
                <w:highlight w:val="none"/>
              </w:rPr>
              <w:t>等设备运行产生的噪声，噪声源均设置</w:t>
            </w:r>
            <w:r>
              <w:rPr>
                <w:rFonts w:hint="eastAsia" w:ascii="Times New Roman" w:hAnsi="Times New Roman" w:cs="Times New Roman"/>
                <w:color w:val="auto"/>
                <w:sz w:val="24"/>
                <w:highlight w:val="none"/>
                <w:lang w:val="en-US" w:eastAsia="zh-CN"/>
              </w:rPr>
              <w:t>厂房内</w:t>
            </w:r>
            <w:r>
              <w:rPr>
                <w:rFonts w:hint="default" w:ascii="Times New Roman" w:hAnsi="Times New Roman" w:cs="Times New Roman"/>
                <w:color w:val="auto"/>
                <w:sz w:val="24"/>
                <w:highlight w:val="none"/>
              </w:rPr>
              <w:t>，均为室内噪声源，根据</w:t>
            </w:r>
            <w:r>
              <w:rPr>
                <w:rFonts w:hint="eastAsia" w:ascii="Times New Roman" w:hAnsi="Times New Roman" w:cs="Times New Roman"/>
                <w:color w:val="auto"/>
                <w:sz w:val="24"/>
                <w:highlight w:val="none"/>
                <w:lang w:val="en-US" w:eastAsia="zh-CN"/>
              </w:rPr>
              <w:t>设备</w:t>
            </w:r>
            <w:r>
              <w:rPr>
                <w:rFonts w:hint="default" w:ascii="Times New Roman" w:hAnsi="Times New Roman" w:cs="Times New Roman"/>
                <w:color w:val="auto"/>
                <w:sz w:val="24"/>
                <w:highlight w:val="none"/>
              </w:rPr>
              <w:t>生产商提供的数据，其噪声源源强为</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rPr>
              <w:t>0~</w:t>
            </w:r>
            <w:r>
              <w:rPr>
                <w:rFonts w:hint="eastAsia" w:cs="Times New Roman"/>
                <w:color w:val="auto"/>
                <w:sz w:val="24"/>
                <w:highlight w:val="none"/>
                <w:lang w:val="en-US" w:eastAsia="zh-CN"/>
              </w:rPr>
              <w:t>90</w:t>
            </w:r>
            <w:r>
              <w:rPr>
                <w:rFonts w:hint="default" w:ascii="Times New Roman" w:hAnsi="Times New Roman" w:cs="Times New Roman"/>
                <w:color w:val="auto"/>
                <w:sz w:val="24"/>
                <w:highlight w:val="none"/>
              </w:rPr>
              <w:t>dB</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A</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，噪声源强统计结果见表4-</w:t>
            </w:r>
            <w:r>
              <w:rPr>
                <w:rFonts w:hint="eastAsia" w:ascii="Times New Roman" w:hAnsi="Times New Roman" w:cs="Times New Roman"/>
                <w:color w:val="auto"/>
                <w:sz w:val="24"/>
                <w:highlight w:val="none"/>
                <w:lang w:val="en-US" w:eastAsia="zh-CN"/>
              </w:rPr>
              <w:t>1</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rPr>
              <w:t>。</w:t>
            </w:r>
          </w:p>
          <w:p w14:paraId="39DE153D">
            <w:pPr>
              <w:pStyle w:val="47"/>
              <w:keepNext w:val="0"/>
              <w:keepLines w:val="0"/>
              <w:pageBreakBefore w:val="0"/>
              <w:widowControl/>
              <w:kinsoku/>
              <w:wordWrap/>
              <w:overflowPunct/>
              <w:topLinePunct w:val="0"/>
              <w:autoSpaceDE/>
              <w:autoSpaceDN/>
              <w:bidi w:val="0"/>
              <w:adjustRightInd w:val="0"/>
              <w:snapToGrid w:val="0"/>
              <w:spacing w:before="0" w:line="240" w:lineRule="auto"/>
              <w:ind w:firstLine="0" w:firstLineChars="0"/>
              <w:textAlignment w:val="auto"/>
              <w:rPr>
                <w:rFonts w:hint="default" w:ascii="Times New Roman" w:hAnsi="Times New Roman" w:eastAsia="宋体" w:cs="Times New Roman"/>
                <w:bCs w:val="0"/>
                <w:color w:val="auto"/>
                <w:highlight w:val="none"/>
                <w:lang w:val="en-US"/>
              </w:rPr>
            </w:pPr>
            <w:r>
              <w:rPr>
                <w:rFonts w:hint="eastAsia" w:ascii="Times New Roman" w:hAnsi="Times New Roman" w:eastAsia="宋体" w:cs="Times New Roman"/>
                <w:bCs w:val="0"/>
                <w:color w:val="auto"/>
                <w:highlight w:val="none"/>
                <w:lang w:val="en-US" w:eastAsia="zh-CN"/>
              </w:rPr>
              <w:t>表4-1</w:t>
            </w:r>
            <w:r>
              <w:rPr>
                <w:rFonts w:hint="eastAsia" w:cs="Times New Roman"/>
                <w:bCs w:val="0"/>
                <w:color w:val="auto"/>
                <w:highlight w:val="none"/>
                <w:lang w:val="en-US" w:eastAsia="zh-CN"/>
              </w:rPr>
              <w:t>4</w:t>
            </w:r>
            <w:r>
              <w:rPr>
                <w:rFonts w:hint="default" w:ascii="Times New Roman" w:hAnsi="Times New Roman" w:eastAsia="宋体" w:cs="Times New Roman"/>
                <w:bCs w:val="0"/>
                <w:color w:val="auto"/>
                <w:highlight w:val="none"/>
                <w:lang w:val="en-US"/>
              </w:rPr>
              <w:t xml:space="preserve">  </w:t>
            </w:r>
            <w:r>
              <w:rPr>
                <w:rFonts w:hint="eastAsia" w:ascii="Times New Roman" w:hAnsi="Times New Roman" w:eastAsia="宋体" w:cs="Times New Roman"/>
                <w:bCs w:val="0"/>
                <w:color w:val="auto"/>
                <w:highlight w:val="none"/>
                <w:lang w:val="en-US" w:eastAsia="zh-CN"/>
              </w:rPr>
              <w:t>项目</w:t>
            </w:r>
            <w:r>
              <w:rPr>
                <w:rFonts w:hint="default" w:ascii="Times New Roman" w:hAnsi="Times New Roman" w:eastAsia="宋体" w:cs="Times New Roman"/>
                <w:bCs w:val="0"/>
                <w:color w:val="auto"/>
                <w:highlight w:val="none"/>
                <w:lang w:val="en-US" w:eastAsia="zh-CN"/>
              </w:rPr>
              <w:t>噪声源强调查清单（室内声源）</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434"/>
              <w:gridCol w:w="435"/>
              <w:gridCol w:w="805"/>
              <w:gridCol w:w="697"/>
              <w:gridCol w:w="461"/>
              <w:gridCol w:w="491"/>
              <w:gridCol w:w="481"/>
              <w:gridCol w:w="651"/>
              <w:gridCol w:w="749"/>
              <w:gridCol w:w="904"/>
              <w:gridCol w:w="805"/>
              <w:gridCol w:w="831"/>
            </w:tblGrid>
            <w:tr w14:paraId="0240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65" w:type="pct"/>
                  <w:vMerge w:val="restart"/>
                  <w:noWrap w:val="0"/>
                  <w:vAlign w:val="center"/>
                </w:tcPr>
                <w:p w14:paraId="1940C19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序号</w:t>
                  </w:r>
                </w:p>
              </w:tc>
              <w:tc>
                <w:tcPr>
                  <w:tcW w:w="266" w:type="pct"/>
                  <w:vMerge w:val="restart"/>
                  <w:noWrap w:val="0"/>
                  <w:vAlign w:val="center"/>
                </w:tcPr>
                <w:p w14:paraId="1EA1C2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建筑物名称</w:t>
                  </w:r>
                </w:p>
              </w:tc>
              <w:tc>
                <w:tcPr>
                  <w:tcW w:w="266" w:type="pct"/>
                  <w:vMerge w:val="restart"/>
                  <w:noWrap w:val="0"/>
                  <w:vAlign w:val="center"/>
                </w:tcPr>
                <w:p w14:paraId="189684A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声源</w:t>
                  </w:r>
                </w:p>
                <w:p w14:paraId="48E69D1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名称</w:t>
                  </w:r>
                </w:p>
              </w:tc>
              <w:tc>
                <w:tcPr>
                  <w:tcW w:w="492" w:type="pct"/>
                  <w:vMerge w:val="restart"/>
                  <w:noWrap w:val="0"/>
                  <w:vAlign w:val="center"/>
                </w:tcPr>
                <w:p w14:paraId="32F741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声源源强dB</w:t>
                  </w:r>
                  <w:r>
                    <w:rPr>
                      <w:rFonts w:hint="eastAsia" w:ascii="Times New Roman" w:hAnsi="Times New Roman" w:eastAsia="宋体" w:cs="Times New Roman"/>
                      <w:b/>
                      <w:bCs/>
                      <w:color w:val="auto"/>
                      <w:kern w:val="0"/>
                      <w:sz w:val="21"/>
                      <w:szCs w:val="21"/>
                      <w:highlight w:val="none"/>
                      <w:lang w:val="en-US" w:eastAsia="zh-CN"/>
                    </w:rPr>
                    <w:t>（</w:t>
                  </w:r>
                  <w:r>
                    <w:rPr>
                      <w:rFonts w:hint="default" w:ascii="Times New Roman" w:hAnsi="Times New Roman" w:eastAsia="宋体" w:cs="Times New Roman"/>
                      <w:b/>
                      <w:bCs/>
                      <w:color w:val="auto"/>
                      <w:kern w:val="0"/>
                      <w:sz w:val="21"/>
                      <w:szCs w:val="21"/>
                      <w:highlight w:val="none"/>
                      <w:lang w:val="en-US" w:eastAsia="zh-CN"/>
                    </w:rPr>
                    <w:t>A</w:t>
                  </w:r>
                  <w:r>
                    <w:rPr>
                      <w:rFonts w:hint="eastAsia" w:ascii="Times New Roman" w:hAnsi="Times New Roman" w:eastAsia="宋体" w:cs="Times New Roman"/>
                      <w:b/>
                      <w:bCs/>
                      <w:color w:val="auto"/>
                      <w:kern w:val="0"/>
                      <w:sz w:val="21"/>
                      <w:szCs w:val="21"/>
                      <w:highlight w:val="none"/>
                      <w:lang w:val="en-US" w:eastAsia="zh-CN"/>
                    </w:rPr>
                    <w:t>）（多台设备为叠加后源强）</w:t>
                  </w:r>
                </w:p>
              </w:tc>
              <w:tc>
                <w:tcPr>
                  <w:tcW w:w="426" w:type="pct"/>
                  <w:vMerge w:val="restart"/>
                  <w:noWrap w:val="0"/>
                  <w:vAlign w:val="center"/>
                </w:tcPr>
                <w:p w14:paraId="7D58851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控制措施</w:t>
                  </w:r>
                </w:p>
              </w:tc>
              <w:tc>
                <w:tcPr>
                  <w:tcW w:w="876" w:type="pct"/>
                  <w:gridSpan w:val="3"/>
                  <w:noWrap w:val="0"/>
                  <w:vAlign w:val="center"/>
                </w:tcPr>
                <w:p w14:paraId="7667A1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rPr>
                  </w:pPr>
                  <w:r>
                    <w:rPr>
                      <w:rFonts w:hint="default" w:ascii="Times New Roman" w:hAnsi="Times New Roman" w:eastAsia="宋体" w:cs="Times New Roman"/>
                      <w:b/>
                      <w:bCs/>
                      <w:color w:val="auto"/>
                      <w:kern w:val="0"/>
                      <w:sz w:val="21"/>
                      <w:szCs w:val="21"/>
                      <w:highlight w:val="none"/>
                      <w:lang w:val="en-US" w:eastAsia="zh-CN"/>
                    </w:rPr>
                    <w:t>空间相对位置/m</w:t>
                  </w:r>
                </w:p>
              </w:tc>
              <w:tc>
                <w:tcPr>
                  <w:tcW w:w="398" w:type="pct"/>
                  <w:vMerge w:val="restart"/>
                  <w:noWrap w:val="0"/>
                  <w:vAlign w:val="center"/>
                </w:tcPr>
                <w:p w14:paraId="39ECD44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距室内边界距离/m</w:t>
                  </w:r>
                </w:p>
              </w:tc>
              <w:tc>
                <w:tcPr>
                  <w:tcW w:w="458" w:type="pct"/>
                  <w:vMerge w:val="restart"/>
                  <w:noWrap w:val="0"/>
                  <w:vAlign w:val="center"/>
                </w:tcPr>
                <w:p w14:paraId="198B246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室内边界声级dB</w:t>
                  </w:r>
                  <w:r>
                    <w:rPr>
                      <w:rFonts w:hint="eastAsia" w:ascii="Times New Roman" w:hAnsi="Times New Roman" w:eastAsia="宋体" w:cs="Times New Roman"/>
                      <w:b/>
                      <w:bCs/>
                      <w:color w:val="auto"/>
                      <w:kern w:val="0"/>
                      <w:sz w:val="21"/>
                      <w:szCs w:val="21"/>
                      <w:highlight w:val="none"/>
                      <w:lang w:val="en-US" w:eastAsia="zh-CN"/>
                    </w:rPr>
                    <w:t>（</w:t>
                  </w:r>
                  <w:r>
                    <w:rPr>
                      <w:rFonts w:hint="default" w:ascii="Times New Roman" w:hAnsi="Times New Roman" w:eastAsia="宋体" w:cs="Times New Roman"/>
                      <w:b/>
                      <w:bCs/>
                      <w:color w:val="auto"/>
                      <w:kern w:val="0"/>
                      <w:sz w:val="21"/>
                      <w:szCs w:val="21"/>
                      <w:highlight w:val="none"/>
                      <w:lang w:val="en-US" w:eastAsia="zh-CN"/>
                    </w:rPr>
                    <w:t>A</w:t>
                  </w:r>
                  <w:r>
                    <w:rPr>
                      <w:rFonts w:hint="eastAsia" w:ascii="Times New Roman" w:hAnsi="Times New Roman" w:eastAsia="宋体" w:cs="Times New Roman"/>
                      <w:b/>
                      <w:bCs/>
                      <w:color w:val="auto"/>
                      <w:kern w:val="0"/>
                      <w:sz w:val="21"/>
                      <w:szCs w:val="21"/>
                      <w:highlight w:val="none"/>
                      <w:lang w:val="en-US" w:eastAsia="zh-CN"/>
                    </w:rPr>
                    <w:t>）</w:t>
                  </w:r>
                </w:p>
              </w:tc>
              <w:tc>
                <w:tcPr>
                  <w:tcW w:w="553" w:type="pct"/>
                  <w:vMerge w:val="restart"/>
                  <w:noWrap w:val="0"/>
                  <w:vAlign w:val="center"/>
                </w:tcPr>
                <w:p w14:paraId="307A43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运行时段</w:t>
                  </w:r>
                </w:p>
              </w:tc>
              <w:tc>
                <w:tcPr>
                  <w:tcW w:w="492" w:type="pct"/>
                  <w:vMerge w:val="restart"/>
                  <w:noWrap w:val="0"/>
                  <w:vAlign w:val="center"/>
                </w:tcPr>
                <w:p w14:paraId="555FF28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建筑物插入损失/dB</w:t>
                  </w:r>
                  <w:r>
                    <w:rPr>
                      <w:rFonts w:hint="eastAsia" w:ascii="Times New Roman" w:hAnsi="Times New Roman" w:eastAsia="宋体" w:cs="Times New Roman"/>
                      <w:b/>
                      <w:bCs/>
                      <w:color w:val="auto"/>
                      <w:kern w:val="0"/>
                      <w:sz w:val="21"/>
                      <w:szCs w:val="21"/>
                      <w:highlight w:val="none"/>
                      <w:lang w:val="en-US" w:eastAsia="zh-CN"/>
                    </w:rPr>
                    <w:t>（</w:t>
                  </w:r>
                  <w:r>
                    <w:rPr>
                      <w:rFonts w:hint="default" w:ascii="Times New Roman" w:hAnsi="Times New Roman" w:eastAsia="宋体" w:cs="Times New Roman"/>
                      <w:b/>
                      <w:bCs/>
                      <w:color w:val="auto"/>
                      <w:kern w:val="0"/>
                      <w:sz w:val="21"/>
                      <w:szCs w:val="21"/>
                      <w:highlight w:val="none"/>
                      <w:lang w:val="en-US" w:eastAsia="zh-CN"/>
                    </w:rPr>
                    <w:t>A</w:t>
                  </w:r>
                  <w:r>
                    <w:rPr>
                      <w:rFonts w:hint="eastAsia" w:ascii="Times New Roman" w:hAnsi="Times New Roman" w:eastAsia="宋体" w:cs="Times New Roman"/>
                      <w:b/>
                      <w:bCs/>
                      <w:color w:val="auto"/>
                      <w:kern w:val="0"/>
                      <w:sz w:val="21"/>
                      <w:szCs w:val="21"/>
                      <w:highlight w:val="none"/>
                      <w:lang w:val="en-US" w:eastAsia="zh-CN"/>
                    </w:rPr>
                    <w:t>）</w:t>
                  </w:r>
                </w:p>
              </w:tc>
              <w:tc>
                <w:tcPr>
                  <w:tcW w:w="503" w:type="pct"/>
                  <w:vMerge w:val="restart"/>
                  <w:noWrap w:val="0"/>
                  <w:vAlign w:val="center"/>
                </w:tcPr>
                <w:p w14:paraId="579416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auto"/>
                      <w:kern w:val="0"/>
                      <w:sz w:val="21"/>
                      <w:szCs w:val="21"/>
                      <w:highlight w:val="none"/>
                      <w:lang w:val="en-US" w:eastAsia="zh-CN" w:bidi="zh-CN"/>
                    </w:rPr>
                  </w:pPr>
                  <w:r>
                    <w:rPr>
                      <w:rFonts w:hint="default" w:ascii="Times New Roman" w:hAnsi="Times New Roman" w:eastAsia="宋体" w:cs="Times New Roman"/>
                      <w:b/>
                      <w:bCs/>
                      <w:color w:val="auto"/>
                      <w:kern w:val="0"/>
                      <w:sz w:val="21"/>
                      <w:szCs w:val="21"/>
                      <w:highlight w:val="none"/>
                      <w:lang w:val="en-US" w:eastAsia="zh-CN"/>
                    </w:rPr>
                    <w:t>建筑物外噪声声压级/dB</w:t>
                  </w:r>
                  <w:r>
                    <w:rPr>
                      <w:rFonts w:hint="eastAsia" w:ascii="Times New Roman" w:hAnsi="Times New Roman" w:eastAsia="宋体" w:cs="Times New Roman"/>
                      <w:b/>
                      <w:bCs/>
                      <w:color w:val="auto"/>
                      <w:kern w:val="0"/>
                      <w:sz w:val="21"/>
                      <w:szCs w:val="21"/>
                      <w:highlight w:val="none"/>
                      <w:lang w:val="en-US" w:eastAsia="zh-CN"/>
                    </w:rPr>
                    <w:t>（</w:t>
                  </w:r>
                  <w:r>
                    <w:rPr>
                      <w:rFonts w:hint="default" w:ascii="Times New Roman" w:hAnsi="Times New Roman" w:eastAsia="宋体" w:cs="Times New Roman"/>
                      <w:b/>
                      <w:bCs/>
                      <w:color w:val="auto"/>
                      <w:kern w:val="0"/>
                      <w:sz w:val="21"/>
                      <w:szCs w:val="21"/>
                      <w:highlight w:val="none"/>
                      <w:lang w:val="en-US" w:eastAsia="zh-CN"/>
                    </w:rPr>
                    <w:t>A</w:t>
                  </w:r>
                  <w:r>
                    <w:rPr>
                      <w:rFonts w:hint="eastAsia" w:ascii="Times New Roman" w:hAnsi="Times New Roman" w:eastAsia="宋体" w:cs="Times New Roman"/>
                      <w:b/>
                      <w:bCs/>
                      <w:color w:val="auto"/>
                      <w:kern w:val="0"/>
                      <w:sz w:val="21"/>
                      <w:szCs w:val="21"/>
                      <w:highlight w:val="none"/>
                      <w:lang w:val="en-US" w:eastAsia="zh-CN"/>
                    </w:rPr>
                    <w:t>）</w:t>
                  </w:r>
                </w:p>
              </w:tc>
            </w:tr>
            <w:tr w14:paraId="51F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65" w:type="pct"/>
                  <w:vMerge w:val="continue"/>
                  <w:noWrap w:val="0"/>
                  <w:vAlign w:val="center"/>
                </w:tcPr>
                <w:p w14:paraId="37D0F6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266" w:type="pct"/>
                  <w:vMerge w:val="continue"/>
                  <w:noWrap w:val="0"/>
                  <w:vAlign w:val="center"/>
                </w:tcPr>
                <w:p w14:paraId="4F4149C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266" w:type="pct"/>
                  <w:vMerge w:val="continue"/>
                  <w:noWrap w:val="0"/>
                  <w:vAlign w:val="center"/>
                </w:tcPr>
                <w:p w14:paraId="028B8E4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rPr>
                  </w:pPr>
                </w:p>
              </w:tc>
              <w:tc>
                <w:tcPr>
                  <w:tcW w:w="492" w:type="pct"/>
                  <w:vMerge w:val="continue"/>
                  <w:noWrap w:val="0"/>
                  <w:vAlign w:val="center"/>
                </w:tcPr>
                <w:p w14:paraId="0C9782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426" w:type="pct"/>
                  <w:vMerge w:val="continue"/>
                  <w:noWrap w:val="0"/>
                  <w:vAlign w:val="center"/>
                </w:tcPr>
                <w:p w14:paraId="7EAF277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282" w:type="pct"/>
                  <w:noWrap w:val="0"/>
                  <w:vAlign w:val="center"/>
                </w:tcPr>
                <w:p w14:paraId="39A66D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color w:val="auto"/>
                      <w:kern w:val="0"/>
                      <w:sz w:val="21"/>
                      <w:szCs w:val="21"/>
                      <w:highlight w:val="none"/>
                      <w:lang w:val="en-US" w:eastAsia="zh-CN"/>
                    </w:rPr>
                    <w:t>X</w:t>
                  </w:r>
                </w:p>
              </w:tc>
              <w:tc>
                <w:tcPr>
                  <w:tcW w:w="300" w:type="pct"/>
                  <w:noWrap w:val="0"/>
                  <w:vAlign w:val="center"/>
                </w:tcPr>
                <w:p w14:paraId="38A8B1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color w:val="auto"/>
                      <w:kern w:val="0"/>
                      <w:sz w:val="21"/>
                      <w:szCs w:val="21"/>
                      <w:highlight w:val="none"/>
                      <w:lang w:val="en-US" w:eastAsia="zh-CN"/>
                    </w:rPr>
                    <w:t>Y</w:t>
                  </w:r>
                </w:p>
              </w:tc>
              <w:tc>
                <w:tcPr>
                  <w:tcW w:w="293" w:type="pct"/>
                  <w:noWrap w:val="0"/>
                  <w:vAlign w:val="center"/>
                </w:tcPr>
                <w:p w14:paraId="0D90B80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color w:val="auto"/>
                      <w:kern w:val="0"/>
                      <w:sz w:val="21"/>
                      <w:szCs w:val="21"/>
                      <w:highlight w:val="none"/>
                      <w:lang w:val="en-US" w:eastAsia="zh-CN"/>
                    </w:rPr>
                    <w:t>Z</w:t>
                  </w:r>
                </w:p>
              </w:tc>
              <w:tc>
                <w:tcPr>
                  <w:tcW w:w="398" w:type="pct"/>
                  <w:vMerge w:val="continue"/>
                  <w:noWrap w:val="0"/>
                  <w:vAlign w:val="center"/>
                </w:tcPr>
                <w:p w14:paraId="7DD9A97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458" w:type="pct"/>
                  <w:vMerge w:val="continue"/>
                  <w:noWrap w:val="0"/>
                  <w:vAlign w:val="center"/>
                </w:tcPr>
                <w:p w14:paraId="2F0143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553" w:type="pct"/>
                  <w:vMerge w:val="continue"/>
                  <w:noWrap w:val="0"/>
                  <w:vAlign w:val="center"/>
                </w:tcPr>
                <w:p w14:paraId="3D84C66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492" w:type="pct"/>
                  <w:vMerge w:val="continue"/>
                  <w:noWrap w:val="0"/>
                  <w:vAlign w:val="center"/>
                </w:tcPr>
                <w:p w14:paraId="644582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503" w:type="pct"/>
                  <w:vMerge w:val="continue"/>
                  <w:noWrap w:val="0"/>
                  <w:vAlign w:val="center"/>
                </w:tcPr>
                <w:p w14:paraId="0C4850E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zh-CN"/>
                    </w:rPr>
                  </w:pPr>
                </w:p>
              </w:tc>
            </w:tr>
            <w:tr w14:paraId="43AA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65" w:type="pct"/>
                  <w:noWrap w:val="0"/>
                  <w:vAlign w:val="center"/>
                </w:tcPr>
                <w:p w14:paraId="3DB8B5E1">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rPr>
                    <w:t>1</w:t>
                  </w:r>
                </w:p>
              </w:tc>
              <w:tc>
                <w:tcPr>
                  <w:tcW w:w="266" w:type="pct"/>
                  <w:noWrap w:val="0"/>
                  <w:vAlign w:val="center"/>
                </w:tcPr>
                <w:p w14:paraId="57DF427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生产车间</w:t>
                  </w:r>
                </w:p>
              </w:tc>
              <w:tc>
                <w:tcPr>
                  <w:tcW w:w="266" w:type="pct"/>
                  <w:noWrap w:val="0"/>
                  <w:vAlign w:val="center"/>
                </w:tcPr>
                <w:p w14:paraId="2E33F950">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b w:val="0"/>
                      <w:bCs/>
                      <w:color w:val="auto"/>
                      <w:sz w:val="21"/>
                      <w:szCs w:val="21"/>
                      <w:highlight w:val="none"/>
                    </w:rPr>
                    <w:t>筛分机</w:t>
                  </w:r>
                </w:p>
              </w:tc>
              <w:tc>
                <w:tcPr>
                  <w:tcW w:w="492" w:type="pct"/>
                  <w:noWrap w:val="0"/>
                  <w:vAlign w:val="center"/>
                </w:tcPr>
                <w:p w14:paraId="2E040B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color w:val="auto"/>
                      <w:kern w:val="0"/>
                      <w:sz w:val="21"/>
                      <w:szCs w:val="21"/>
                      <w:highlight w:val="none"/>
                      <w:lang w:val="en-US" w:eastAsia="zh-CN"/>
                    </w:rPr>
                  </w:pPr>
                  <w:r>
                    <w:rPr>
                      <w:rFonts w:hint="eastAsia" w:eastAsia="宋体" w:cs="Times New Roman"/>
                      <w:b w:val="0"/>
                      <w:bCs/>
                      <w:i w:val="0"/>
                      <w:iCs w:val="0"/>
                      <w:color w:val="auto"/>
                      <w:kern w:val="0"/>
                      <w:sz w:val="21"/>
                      <w:szCs w:val="21"/>
                      <w:highlight w:val="none"/>
                      <w:u w:val="none"/>
                      <w:lang w:val="en-US" w:eastAsia="zh-CN" w:bidi="ar"/>
                    </w:rPr>
                    <w:t>85</w:t>
                  </w:r>
                </w:p>
              </w:tc>
              <w:tc>
                <w:tcPr>
                  <w:tcW w:w="426" w:type="pct"/>
                  <w:vMerge w:val="restart"/>
                  <w:noWrap w:val="0"/>
                  <w:vAlign w:val="center"/>
                </w:tcPr>
                <w:p w14:paraId="30804ED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封闭厂房，</w:t>
                  </w:r>
                  <w:r>
                    <w:rPr>
                      <w:rFonts w:hint="eastAsia" w:ascii="Times New Roman" w:hAnsi="Times New Roman" w:eastAsia="宋体" w:cs="Times New Roman"/>
                      <w:color w:val="auto"/>
                      <w:kern w:val="0"/>
                      <w:sz w:val="21"/>
                      <w:szCs w:val="21"/>
                      <w:highlight w:val="none"/>
                      <w:lang w:val="en-US" w:eastAsia="zh-CN"/>
                    </w:rPr>
                    <w:t>选择低噪声设备，</w:t>
                  </w:r>
                  <w:r>
                    <w:rPr>
                      <w:rFonts w:hint="default" w:ascii="Times New Roman" w:hAnsi="Times New Roman" w:eastAsia="宋体" w:cs="Times New Roman"/>
                      <w:color w:val="auto"/>
                      <w:kern w:val="0"/>
                      <w:sz w:val="21"/>
                      <w:szCs w:val="21"/>
                      <w:highlight w:val="none"/>
                    </w:rPr>
                    <w:t>基础减振</w:t>
                  </w:r>
                </w:p>
              </w:tc>
              <w:tc>
                <w:tcPr>
                  <w:tcW w:w="282" w:type="pct"/>
                  <w:noWrap w:val="0"/>
                  <w:vAlign w:val="center"/>
                </w:tcPr>
                <w:p w14:paraId="5426216E">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52</w:t>
                  </w:r>
                </w:p>
              </w:tc>
              <w:tc>
                <w:tcPr>
                  <w:tcW w:w="300" w:type="pct"/>
                  <w:noWrap w:val="0"/>
                  <w:vAlign w:val="center"/>
                </w:tcPr>
                <w:p w14:paraId="0B9C31C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88</w:t>
                  </w:r>
                </w:p>
              </w:tc>
              <w:tc>
                <w:tcPr>
                  <w:tcW w:w="293" w:type="pct"/>
                  <w:noWrap w:val="0"/>
                  <w:vAlign w:val="center"/>
                </w:tcPr>
                <w:p w14:paraId="417730B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p>
              </w:tc>
              <w:tc>
                <w:tcPr>
                  <w:tcW w:w="398" w:type="pct"/>
                  <w:noWrap w:val="0"/>
                  <w:vAlign w:val="center"/>
                </w:tcPr>
                <w:p w14:paraId="665058B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2.0</w:t>
                  </w:r>
                </w:p>
              </w:tc>
              <w:tc>
                <w:tcPr>
                  <w:tcW w:w="458" w:type="pct"/>
                  <w:noWrap w:val="0"/>
                  <w:vAlign w:val="center"/>
                </w:tcPr>
                <w:p w14:paraId="534A68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79</w:t>
                  </w:r>
                </w:p>
              </w:tc>
              <w:tc>
                <w:tcPr>
                  <w:tcW w:w="553" w:type="pct"/>
                  <w:vMerge w:val="restart"/>
                  <w:noWrap w:val="0"/>
                  <w:vAlign w:val="center"/>
                </w:tcPr>
                <w:p w14:paraId="03F06F3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9</w:t>
                  </w:r>
                  <w:r>
                    <w:rPr>
                      <w:rFonts w:hint="eastAsia" w:cs="Times New Roman"/>
                      <w:color w:val="auto"/>
                      <w:kern w:val="0"/>
                      <w:sz w:val="21"/>
                      <w:szCs w:val="21"/>
                      <w:highlight w:val="none"/>
                      <w:lang w:val="en-US" w:eastAsia="zh-CN"/>
                    </w:rPr>
                    <w:t>:</w:t>
                  </w:r>
                  <w:r>
                    <w:rPr>
                      <w:rFonts w:hint="eastAsia" w:ascii="Times New Roman" w:hAnsi="Times New Roman" w:eastAsia="宋体" w:cs="Times New Roman"/>
                      <w:color w:val="auto"/>
                      <w:kern w:val="0"/>
                      <w:sz w:val="21"/>
                      <w:szCs w:val="21"/>
                      <w:highlight w:val="none"/>
                      <w:lang w:val="en-US" w:eastAsia="zh-CN"/>
                    </w:rPr>
                    <w:t>00~21:00</w:t>
                  </w:r>
                </w:p>
              </w:tc>
              <w:tc>
                <w:tcPr>
                  <w:tcW w:w="492" w:type="pct"/>
                  <w:noWrap w:val="0"/>
                  <w:vAlign w:val="center"/>
                </w:tcPr>
                <w:p w14:paraId="6D583F1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15</w:t>
                  </w:r>
                </w:p>
              </w:tc>
              <w:tc>
                <w:tcPr>
                  <w:tcW w:w="503" w:type="pct"/>
                  <w:noWrap w:val="0"/>
                  <w:vAlign w:val="center"/>
                </w:tcPr>
                <w:p w14:paraId="7A78E5E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64</w:t>
                  </w:r>
                </w:p>
              </w:tc>
            </w:tr>
            <w:tr w14:paraId="423A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65" w:type="pct"/>
                  <w:noWrap w:val="0"/>
                  <w:vAlign w:val="center"/>
                </w:tcPr>
                <w:p w14:paraId="0377ED4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rPr>
                    <w:t>2</w:t>
                  </w:r>
                </w:p>
              </w:tc>
              <w:tc>
                <w:tcPr>
                  <w:tcW w:w="266" w:type="pct"/>
                  <w:noWrap w:val="0"/>
                  <w:vAlign w:val="center"/>
                </w:tcPr>
                <w:p w14:paraId="2640CA1D">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生产车间</w:t>
                  </w:r>
                </w:p>
              </w:tc>
              <w:tc>
                <w:tcPr>
                  <w:tcW w:w="266" w:type="pct"/>
                  <w:noWrap w:val="0"/>
                  <w:vAlign w:val="center"/>
                </w:tcPr>
                <w:p w14:paraId="6ADC60E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rPr>
                    <w:t>仓前提升机</w:t>
                  </w:r>
                </w:p>
              </w:tc>
              <w:tc>
                <w:tcPr>
                  <w:tcW w:w="492" w:type="pct"/>
                  <w:noWrap w:val="0"/>
                  <w:vAlign w:val="center"/>
                </w:tcPr>
                <w:p w14:paraId="4EB9E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color w:val="auto"/>
                      <w:kern w:val="0"/>
                      <w:sz w:val="21"/>
                      <w:szCs w:val="21"/>
                      <w:highlight w:val="none"/>
                      <w:lang w:val="en-US" w:eastAsia="zh-CN"/>
                    </w:rPr>
                  </w:pPr>
                  <w:r>
                    <w:rPr>
                      <w:rFonts w:hint="eastAsia" w:cs="Times New Roman"/>
                      <w:b/>
                      <w:bCs/>
                      <w:color w:val="auto"/>
                      <w:kern w:val="0"/>
                      <w:sz w:val="21"/>
                      <w:szCs w:val="21"/>
                      <w:highlight w:val="none"/>
                      <w:lang w:val="en-US" w:eastAsia="zh-CN"/>
                    </w:rPr>
                    <w:t>80</w:t>
                  </w:r>
                </w:p>
              </w:tc>
              <w:tc>
                <w:tcPr>
                  <w:tcW w:w="426" w:type="pct"/>
                  <w:vMerge w:val="continue"/>
                  <w:noWrap w:val="0"/>
                  <w:vAlign w:val="center"/>
                </w:tcPr>
                <w:p w14:paraId="74C55DF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282" w:type="pct"/>
                  <w:noWrap w:val="0"/>
                  <w:vAlign w:val="center"/>
                </w:tcPr>
                <w:p w14:paraId="0F20F2F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42</w:t>
                  </w:r>
                </w:p>
              </w:tc>
              <w:tc>
                <w:tcPr>
                  <w:tcW w:w="300" w:type="pct"/>
                  <w:noWrap w:val="0"/>
                  <w:vAlign w:val="center"/>
                </w:tcPr>
                <w:p w14:paraId="3DE21A7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86</w:t>
                  </w:r>
                </w:p>
              </w:tc>
              <w:tc>
                <w:tcPr>
                  <w:tcW w:w="293" w:type="pct"/>
                  <w:noWrap w:val="0"/>
                  <w:vAlign w:val="center"/>
                </w:tcPr>
                <w:p w14:paraId="6C74455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w:t>
                  </w:r>
                </w:p>
              </w:tc>
              <w:tc>
                <w:tcPr>
                  <w:tcW w:w="398" w:type="pct"/>
                  <w:noWrap w:val="0"/>
                  <w:vAlign w:val="center"/>
                </w:tcPr>
                <w:p w14:paraId="0E54D89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w:t>
                  </w:r>
                  <w:r>
                    <w:rPr>
                      <w:rFonts w:hint="eastAsia" w:ascii="Times New Roman" w:hAnsi="Times New Roman" w:eastAsia="宋体" w:cs="Times New Roman"/>
                      <w:color w:val="auto"/>
                      <w:kern w:val="0"/>
                      <w:sz w:val="21"/>
                      <w:szCs w:val="21"/>
                      <w:highlight w:val="none"/>
                      <w:lang w:val="en-US" w:eastAsia="zh-CN"/>
                    </w:rPr>
                    <w:t>.0</w:t>
                  </w:r>
                </w:p>
              </w:tc>
              <w:tc>
                <w:tcPr>
                  <w:tcW w:w="458" w:type="pct"/>
                  <w:noWrap w:val="0"/>
                  <w:vAlign w:val="center"/>
                </w:tcPr>
                <w:p w14:paraId="6240A0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74</w:t>
                  </w:r>
                </w:p>
              </w:tc>
              <w:tc>
                <w:tcPr>
                  <w:tcW w:w="553" w:type="pct"/>
                  <w:vMerge w:val="continue"/>
                  <w:noWrap w:val="0"/>
                  <w:vAlign w:val="center"/>
                </w:tcPr>
                <w:p w14:paraId="7EBC75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492" w:type="pct"/>
                  <w:noWrap w:val="0"/>
                  <w:vAlign w:val="center"/>
                </w:tcPr>
                <w:p w14:paraId="5ED17E6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15</w:t>
                  </w:r>
                </w:p>
              </w:tc>
              <w:tc>
                <w:tcPr>
                  <w:tcW w:w="503" w:type="pct"/>
                  <w:noWrap w:val="0"/>
                  <w:vAlign w:val="center"/>
                </w:tcPr>
                <w:p w14:paraId="3069EA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59</w:t>
                  </w:r>
                </w:p>
              </w:tc>
            </w:tr>
            <w:tr w14:paraId="6DDE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65" w:type="pct"/>
                  <w:noWrap w:val="0"/>
                  <w:vAlign w:val="center"/>
                </w:tcPr>
                <w:p w14:paraId="53692FBA">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rPr>
                    <w:t>3</w:t>
                  </w:r>
                </w:p>
              </w:tc>
              <w:tc>
                <w:tcPr>
                  <w:tcW w:w="266" w:type="pct"/>
                  <w:noWrap w:val="0"/>
                  <w:vAlign w:val="center"/>
                </w:tcPr>
                <w:p w14:paraId="3F0C8B1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生产车间</w:t>
                  </w:r>
                </w:p>
              </w:tc>
              <w:tc>
                <w:tcPr>
                  <w:tcW w:w="266" w:type="pct"/>
                  <w:noWrap w:val="0"/>
                  <w:vAlign w:val="center"/>
                </w:tcPr>
                <w:p w14:paraId="0C5999E0">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rPr>
                    <w:t>塔前提升机</w:t>
                  </w:r>
                </w:p>
              </w:tc>
              <w:tc>
                <w:tcPr>
                  <w:tcW w:w="492" w:type="pct"/>
                  <w:noWrap w:val="0"/>
                  <w:vAlign w:val="center"/>
                </w:tcPr>
                <w:p w14:paraId="3EBF26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color w:val="auto"/>
                      <w:kern w:val="0"/>
                      <w:sz w:val="21"/>
                      <w:szCs w:val="21"/>
                      <w:highlight w:val="none"/>
                      <w:lang w:val="en-US" w:eastAsia="zh-CN"/>
                    </w:rPr>
                  </w:pPr>
                  <w:r>
                    <w:rPr>
                      <w:rFonts w:hint="eastAsia" w:eastAsia="宋体" w:cs="Times New Roman"/>
                      <w:b w:val="0"/>
                      <w:bCs/>
                      <w:i w:val="0"/>
                      <w:iCs w:val="0"/>
                      <w:color w:val="auto"/>
                      <w:kern w:val="0"/>
                      <w:sz w:val="21"/>
                      <w:szCs w:val="21"/>
                      <w:highlight w:val="none"/>
                      <w:u w:val="none"/>
                      <w:lang w:val="en-US" w:eastAsia="zh-CN" w:bidi="ar"/>
                    </w:rPr>
                    <w:t>80</w:t>
                  </w:r>
                </w:p>
              </w:tc>
              <w:tc>
                <w:tcPr>
                  <w:tcW w:w="426" w:type="pct"/>
                  <w:vMerge w:val="continue"/>
                  <w:noWrap w:val="0"/>
                  <w:vAlign w:val="center"/>
                </w:tcPr>
                <w:p w14:paraId="3BF8C6B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282" w:type="pct"/>
                  <w:noWrap w:val="0"/>
                  <w:vAlign w:val="center"/>
                </w:tcPr>
                <w:p w14:paraId="7350AF3D">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38</w:t>
                  </w:r>
                </w:p>
              </w:tc>
              <w:tc>
                <w:tcPr>
                  <w:tcW w:w="300" w:type="pct"/>
                  <w:noWrap w:val="0"/>
                  <w:vAlign w:val="center"/>
                </w:tcPr>
                <w:p w14:paraId="7F0ED206">
                  <w:pPr>
                    <w:keepNext w:val="0"/>
                    <w:keepLines w:val="0"/>
                    <w:suppressLineNumbers w:val="0"/>
                    <w:spacing w:before="0" w:beforeAutospacing="0" w:after="0" w:afterAutospacing="0" w:line="240" w:lineRule="auto"/>
                    <w:ind w:left="0" w:leftChars="0" w:right="0" w:rightChars="0"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49</w:t>
                  </w:r>
                </w:p>
              </w:tc>
              <w:tc>
                <w:tcPr>
                  <w:tcW w:w="293" w:type="pct"/>
                  <w:noWrap w:val="0"/>
                  <w:vAlign w:val="center"/>
                </w:tcPr>
                <w:p w14:paraId="7F3DAE94">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w:t>
                  </w:r>
                </w:p>
              </w:tc>
              <w:tc>
                <w:tcPr>
                  <w:tcW w:w="398" w:type="pct"/>
                  <w:noWrap w:val="0"/>
                  <w:vAlign w:val="center"/>
                </w:tcPr>
                <w:p w14:paraId="36D110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2.0</w:t>
                  </w:r>
                </w:p>
              </w:tc>
              <w:tc>
                <w:tcPr>
                  <w:tcW w:w="458" w:type="pct"/>
                  <w:noWrap w:val="0"/>
                  <w:vAlign w:val="center"/>
                </w:tcPr>
                <w:p w14:paraId="1B35104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74</w:t>
                  </w:r>
                </w:p>
              </w:tc>
              <w:tc>
                <w:tcPr>
                  <w:tcW w:w="553" w:type="pct"/>
                  <w:vMerge w:val="continue"/>
                  <w:noWrap w:val="0"/>
                  <w:vAlign w:val="center"/>
                </w:tcPr>
                <w:p w14:paraId="4CD3223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492" w:type="pct"/>
                  <w:noWrap w:val="0"/>
                  <w:vAlign w:val="center"/>
                </w:tcPr>
                <w:p w14:paraId="749F726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15</w:t>
                  </w:r>
                </w:p>
              </w:tc>
              <w:tc>
                <w:tcPr>
                  <w:tcW w:w="503" w:type="pct"/>
                  <w:noWrap w:val="0"/>
                  <w:vAlign w:val="center"/>
                </w:tcPr>
                <w:p w14:paraId="5B8361C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59</w:t>
                  </w:r>
                </w:p>
              </w:tc>
            </w:tr>
            <w:tr w14:paraId="0C67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65" w:type="pct"/>
                  <w:noWrap w:val="0"/>
                  <w:vAlign w:val="center"/>
                </w:tcPr>
                <w:p w14:paraId="5EADB1D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rPr>
                    <w:t>4</w:t>
                  </w:r>
                </w:p>
              </w:tc>
              <w:tc>
                <w:tcPr>
                  <w:tcW w:w="266" w:type="pct"/>
                  <w:noWrap w:val="0"/>
                  <w:vAlign w:val="center"/>
                </w:tcPr>
                <w:p w14:paraId="5AF59236">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生产车间</w:t>
                  </w:r>
                </w:p>
              </w:tc>
              <w:tc>
                <w:tcPr>
                  <w:tcW w:w="266" w:type="pct"/>
                  <w:noWrap w:val="0"/>
                  <w:vAlign w:val="center"/>
                </w:tcPr>
                <w:p w14:paraId="6153662A">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cs="Times New Roman"/>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rPr>
                    <w:t>谷物干燥机</w:t>
                  </w:r>
                </w:p>
              </w:tc>
              <w:tc>
                <w:tcPr>
                  <w:tcW w:w="492" w:type="pct"/>
                  <w:noWrap w:val="0"/>
                  <w:vAlign w:val="center"/>
                </w:tcPr>
                <w:p w14:paraId="211166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color w:val="auto"/>
                      <w:kern w:val="0"/>
                      <w:sz w:val="21"/>
                      <w:szCs w:val="21"/>
                      <w:highlight w:val="none"/>
                      <w:lang w:val="en-US" w:eastAsia="zh-CN"/>
                    </w:rPr>
                  </w:pPr>
                  <w:r>
                    <w:rPr>
                      <w:rFonts w:hint="eastAsia" w:eastAsia="宋体" w:cs="Times New Roman"/>
                      <w:b w:val="0"/>
                      <w:bCs/>
                      <w:i w:val="0"/>
                      <w:iCs w:val="0"/>
                      <w:color w:val="auto"/>
                      <w:kern w:val="0"/>
                      <w:sz w:val="21"/>
                      <w:szCs w:val="21"/>
                      <w:highlight w:val="none"/>
                      <w:u w:val="none"/>
                      <w:lang w:val="en-US" w:eastAsia="zh-CN" w:bidi="ar"/>
                    </w:rPr>
                    <w:t>90</w:t>
                  </w:r>
                </w:p>
              </w:tc>
              <w:tc>
                <w:tcPr>
                  <w:tcW w:w="426" w:type="pct"/>
                  <w:vMerge w:val="continue"/>
                  <w:noWrap w:val="0"/>
                  <w:vAlign w:val="center"/>
                </w:tcPr>
                <w:p w14:paraId="3493761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282" w:type="pct"/>
                  <w:noWrap w:val="0"/>
                  <w:vAlign w:val="center"/>
                </w:tcPr>
                <w:p w14:paraId="0C79917E">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38</w:t>
                  </w:r>
                </w:p>
              </w:tc>
              <w:tc>
                <w:tcPr>
                  <w:tcW w:w="300" w:type="pct"/>
                  <w:noWrap w:val="0"/>
                  <w:vAlign w:val="center"/>
                </w:tcPr>
                <w:p w14:paraId="272D79EE">
                  <w:pPr>
                    <w:keepNext w:val="0"/>
                    <w:keepLines w:val="0"/>
                    <w:suppressLineNumbers w:val="0"/>
                    <w:spacing w:before="0" w:beforeAutospacing="0" w:after="0" w:afterAutospacing="0" w:line="240" w:lineRule="auto"/>
                    <w:ind w:left="0" w:leftChars="0" w:right="0" w:rightChars="0"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83</w:t>
                  </w:r>
                </w:p>
              </w:tc>
              <w:tc>
                <w:tcPr>
                  <w:tcW w:w="293" w:type="pct"/>
                  <w:noWrap w:val="0"/>
                  <w:vAlign w:val="center"/>
                </w:tcPr>
                <w:p w14:paraId="344CD59A">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p>
              </w:tc>
              <w:tc>
                <w:tcPr>
                  <w:tcW w:w="398" w:type="pct"/>
                  <w:noWrap w:val="0"/>
                  <w:vAlign w:val="center"/>
                </w:tcPr>
                <w:p w14:paraId="351D77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1.0</w:t>
                  </w:r>
                </w:p>
              </w:tc>
              <w:tc>
                <w:tcPr>
                  <w:tcW w:w="458" w:type="pct"/>
                  <w:noWrap w:val="0"/>
                  <w:vAlign w:val="center"/>
                </w:tcPr>
                <w:p w14:paraId="73EAE8E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90</w:t>
                  </w:r>
                </w:p>
              </w:tc>
              <w:tc>
                <w:tcPr>
                  <w:tcW w:w="553" w:type="pct"/>
                  <w:vMerge w:val="continue"/>
                  <w:noWrap w:val="0"/>
                  <w:vAlign w:val="center"/>
                </w:tcPr>
                <w:p w14:paraId="522E54D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492" w:type="pct"/>
                  <w:noWrap w:val="0"/>
                  <w:vAlign w:val="center"/>
                </w:tcPr>
                <w:p w14:paraId="03510B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15</w:t>
                  </w:r>
                </w:p>
              </w:tc>
              <w:tc>
                <w:tcPr>
                  <w:tcW w:w="503" w:type="pct"/>
                  <w:noWrap w:val="0"/>
                  <w:vAlign w:val="center"/>
                </w:tcPr>
                <w:p w14:paraId="135A77A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75</w:t>
                  </w:r>
                </w:p>
              </w:tc>
            </w:tr>
            <w:tr w14:paraId="65B4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65" w:type="pct"/>
                  <w:noWrap w:val="0"/>
                  <w:vAlign w:val="center"/>
                </w:tcPr>
                <w:p w14:paraId="4A85819D">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rPr>
                    <w:t>5</w:t>
                  </w:r>
                </w:p>
              </w:tc>
              <w:tc>
                <w:tcPr>
                  <w:tcW w:w="266" w:type="pct"/>
                  <w:noWrap w:val="0"/>
                  <w:vAlign w:val="center"/>
                </w:tcPr>
                <w:p w14:paraId="6B3A4290">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生产车间</w:t>
                  </w:r>
                </w:p>
              </w:tc>
              <w:tc>
                <w:tcPr>
                  <w:tcW w:w="266" w:type="pct"/>
                  <w:noWrap w:val="0"/>
                  <w:vAlign w:val="center"/>
                </w:tcPr>
                <w:p w14:paraId="7B01109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生物质热风炉</w:t>
                  </w:r>
                </w:p>
              </w:tc>
              <w:tc>
                <w:tcPr>
                  <w:tcW w:w="492" w:type="pct"/>
                  <w:noWrap w:val="0"/>
                  <w:vAlign w:val="center"/>
                </w:tcPr>
                <w:p w14:paraId="090326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color w:val="auto"/>
                      <w:kern w:val="0"/>
                      <w:sz w:val="21"/>
                      <w:szCs w:val="21"/>
                      <w:highlight w:val="none"/>
                      <w:lang w:val="en-US" w:eastAsia="zh-CN"/>
                    </w:rPr>
                  </w:pPr>
                  <w:r>
                    <w:rPr>
                      <w:rFonts w:hint="eastAsia" w:eastAsia="宋体" w:cs="Times New Roman"/>
                      <w:b w:val="0"/>
                      <w:bCs/>
                      <w:i w:val="0"/>
                      <w:iCs w:val="0"/>
                      <w:color w:val="auto"/>
                      <w:kern w:val="0"/>
                      <w:sz w:val="21"/>
                      <w:szCs w:val="21"/>
                      <w:highlight w:val="none"/>
                      <w:u w:val="none"/>
                      <w:lang w:val="en-US" w:eastAsia="zh-CN" w:bidi="ar"/>
                    </w:rPr>
                    <w:t>85</w:t>
                  </w:r>
                </w:p>
              </w:tc>
              <w:tc>
                <w:tcPr>
                  <w:tcW w:w="426" w:type="pct"/>
                  <w:vMerge w:val="continue"/>
                  <w:noWrap w:val="0"/>
                  <w:vAlign w:val="center"/>
                </w:tcPr>
                <w:p w14:paraId="089D26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282" w:type="pct"/>
                  <w:noWrap w:val="0"/>
                  <w:vAlign w:val="center"/>
                </w:tcPr>
                <w:p w14:paraId="0276BCFE">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44</w:t>
                  </w:r>
                </w:p>
              </w:tc>
              <w:tc>
                <w:tcPr>
                  <w:tcW w:w="300" w:type="pct"/>
                  <w:noWrap w:val="0"/>
                  <w:vAlign w:val="center"/>
                </w:tcPr>
                <w:p w14:paraId="019CEDF8">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118</w:t>
                  </w:r>
                </w:p>
              </w:tc>
              <w:tc>
                <w:tcPr>
                  <w:tcW w:w="293" w:type="pct"/>
                  <w:noWrap w:val="0"/>
                  <w:vAlign w:val="center"/>
                </w:tcPr>
                <w:p w14:paraId="215BD64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p>
              </w:tc>
              <w:tc>
                <w:tcPr>
                  <w:tcW w:w="398" w:type="pct"/>
                  <w:noWrap w:val="0"/>
                  <w:vAlign w:val="center"/>
                </w:tcPr>
                <w:p w14:paraId="796E93B6">
                  <w:pPr>
                    <w:keepNext w:val="0"/>
                    <w:keepLines w:val="0"/>
                    <w:suppressLineNumbers w:val="0"/>
                    <w:spacing w:before="0" w:beforeAutospacing="0" w:after="0" w:afterAutospacing="0" w:line="240" w:lineRule="auto"/>
                    <w:ind w:left="0" w:right="0"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1.0</w:t>
                  </w:r>
                </w:p>
              </w:tc>
              <w:tc>
                <w:tcPr>
                  <w:tcW w:w="458" w:type="pct"/>
                  <w:noWrap w:val="0"/>
                  <w:vAlign w:val="center"/>
                </w:tcPr>
                <w:p w14:paraId="602BC9A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85</w:t>
                  </w:r>
                </w:p>
              </w:tc>
              <w:tc>
                <w:tcPr>
                  <w:tcW w:w="553" w:type="pct"/>
                  <w:vMerge w:val="continue"/>
                  <w:noWrap w:val="0"/>
                  <w:vAlign w:val="center"/>
                </w:tcPr>
                <w:p w14:paraId="232E756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492" w:type="pct"/>
                  <w:noWrap w:val="0"/>
                  <w:vAlign w:val="center"/>
                </w:tcPr>
                <w:p w14:paraId="5184BB61">
                  <w:pPr>
                    <w:keepNext w:val="0"/>
                    <w:keepLines w:val="0"/>
                    <w:suppressLineNumbers w:val="0"/>
                    <w:spacing w:before="0" w:beforeAutospacing="0" w:after="0" w:afterAutospacing="0" w:line="240" w:lineRule="auto"/>
                    <w:ind w:left="0" w:right="0"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15</w:t>
                  </w:r>
                </w:p>
              </w:tc>
              <w:tc>
                <w:tcPr>
                  <w:tcW w:w="503" w:type="pct"/>
                  <w:noWrap w:val="0"/>
                  <w:vAlign w:val="center"/>
                </w:tcPr>
                <w:p w14:paraId="6BC0935C">
                  <w:pPr>
                    <w:keepNext w:val="0"/>
                    <w:keepLines w:val="0"/>
                    <w:suppressLineNumbers w:val="0"/>
                    <w:spacing w:before="0" w:beforeAutospacing="0" w:after="0" w:afterAutospacing="0" w:line="240" w:lineRule="auto"/>
                    <w:ind w:left="0" w:right="0"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70</w:t>
                  </w:r>
                </w:p>
              </w:tc>
            </w:tr>
            <w:tr w14:paraId="175B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65" w:type="pct"/>
                  <w:noWrap w:val="0"/>
                  <w:vAlign w:val="center"/>
                </w:tcPr>
                <w:p w14:paraId="3A52CEB0">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rPr>
                    <w:t>6</w:t>
                  </w:r>
                </w:p>
              </w:tc>
              <w:tc>
                <w:tcPr>
                  <w:tcW w:w="266" w:type="pct"/>
                  <w:noWrap w:val="0"/>
                  <w:vAlign w:val="center"/>
                </w:tcPr>
                <w:p w14:paraId="1E9C943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生产车间</w:t>
                  </w:r>
                </w:p>
              </w:tc>
              <w:tc>
                <w:tcPr>
                  <w:tcW w:w="266" w:type="pct"/>
                  <w:noWrap w:val="0"/>
                  <w:vAlign w:val="center"/>
                </w:tcPr>
                <w:p w14:paraId="71A3DB6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布袋除尘器</w:t>
                  </w:r>
                </w:p>
              </w:tc>
              <w:tc>
                <w:tcPr>
                  <w:tcW w:w="492" w:type="pct"/>
                  <w:noWrap w:val="0"/>
                  <w:vAlign w:val="center"/>
                </w:tcPr>
                <w:p w14:paraId="5CB73E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color w:val="auto"/>
                      <w:kern w:val="0"/>
                      <w:sz w:val="21"/>
                      <w:szCs w:val="21"/>
                      <w:highlight w:val="none"/>
                      <w:lang w:val="en-US" w:eastAsia="zh-CN"/>
                    </w:rPr>
                  </w:pPr>
                  <w:r>
                    <w:rPr>
                      <w:rFonts w:hint="eastAsia" w:eastAsia="宋体" w:cs="Times New Roman"/>
                      <w:b w:val="0"/>
                      <w:bCs/>
                      <w:i w:val="0"/>
                      <w:iCs w:val="0"/>
                      <w:color w:val="auto"/>
                      <w:kern w:val="0"/>
                      <w:sz w:val="21"/>
                      <w:szCs w:val="21"/>
                      <w:highlight w:val="none"/>
                      <w:u w:val="none"/>
                      <w:lang w:val="en-US" w:eastAsia="zh-CN" w:bidi="ar"/>
                    </w:rPr>
                    <w:t>85</w:t>
                  </w:r>
                </w:p>
              </w:tc>
              <w:tc>
                <w:tcPr>
                  <w:tcW w:w="426" w:type="pct"/>
                  <w:vMerge w:val="continue"/>
                  <w:noWrap w:val="0"/>
                  <w:vAlign w:val="center"/>
                </w:tcPr>
                <w:p w14:paraId="362F3BC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282" w:type="pct"/>
                  <w:noWrap w:val="0"/>
                  <w:vAlign w:val="center"/>
                </w:tcPr>
                <w:p w14:paraId="048ADB3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56</w:t>
                  </w:r>
                </w:p>
              </w:tc>
              <w:tc>
                <w:tcPr>
                  <w:tcW w:w="300" w:type="pct"/>
                  <w:noWrap w:val="0"/>
                  <w:vAlign w:val="center"/>
                </w:tcPr>
                <w:p w14:paraId="13D5B1C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124</w:t>
                  </w:r>
                </w:p>
              </w:tc>
              <w:tc>
                <w:tcPr>
                  <w:tcW w:w="293" w:type="pct"/>
                  <w:noWrap w:val="0"/>
                  <w:vAlign w:val="center"/>
                </w:tcPr>
                <w:p w14:paraId="1967BC8A">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w:t>
                  </w:r>
                </w:p>
              </w:tc>
              <w:tc>
                <w:tcPr>
                  <w:tcW w:w="398" w:type="pct"/>
                  <w:noWrap w:val="0"/>
                  <w:vAlign w:val="center"/>
                </w:tcPr>
                <w:p w14:paraId="141D75B6">
                  <w:pPr>
                    <w:keepNext w:val="0"/>
                    <w:keepLines w:val="0"/>
                    <w:suppressLineNumbers w:val="0"/>
                    <w:spacing w:before="0" w:beforeAutospacing="0" w:after="0" w:afterAutospacing="0" w:line="240" w:lineRule="auto"/>
                    <w:ind w:left="0" w:right="0"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2.0</w:t>
                  </w:r>
                </w:p>
              </w:tc>
              <w:tc>
                <w:tcPr>
                  <w:tcW w:w="458" w:type="pct"/>
                  <w:noWrap w:val="0"/>
                  <w:vAlign w:val="center"/>
                </w:tcPr>
                <w:p w14:paraId="2F101AA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79</w:t>
                  </w:r>
                </w:p>
              </w:tc>
              <w:tc>
                <w:tcPr>
                  <w:tcW w:w="553" w:type="pct"/>
                  <w:vMerge w:val="continue"/>
                  <w:noWrap w:val="0"/>
                  <w:vAlign w:val="center"/>
                </w:tcPr>
                <w:p w14:paraId="00F013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p>
              </w:tc>
              <w:tc>
                <w:tcPr>
                  <w:tcW w:w="492" w:type="pct"/>
                  <w:noWrap w:val="0"/>
                  <w:vAlign w:val="center"/>
                </w:tcPr>
                <w:p w14:paraId="321FF547">
                  <w:pPr>
                    <w:keepNext w:val="0"/>
                    <w:keepLines w:val="0"/>
                    <w:suppressLineNumbers w:val="0"/>
                    <w:spacing w:before="0" w:beforeAutospacing="0" w:after="0" w:afterAutospacing="0" w:line="240" w:lineRule="auto"/>
                    <w:ind w:left="0" w:right="0"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15</w:t>
                  </w:r>
                </w:p>
              </w:tc>
              <w:tc>
                <w:tcPr>
                  <w:tcW w:w="503" w:type="pct"/>
                  <w:noWrap w:val="0"/>
                  <w:vAlign w:val="center"/>
                </w:tcPr>
                <w:p w14:paraId="2A7C270E">
                  <w:pPr>
                    <w:keepNext w:val="0"/>
                    <w:keepLines w:val="0"/>
                    <w:suppressLineNumbers w:val="0"/>
                    <w:spacing w:before="0" w:beforeAutospacing="0" w:after="0" w:afterAutospacing="0" w:line="240" w:lineRule="auto"/>
                    <w:ind w:left="0" w:right="0" w:firstLine="0" w:firstLineChars="0"/>
                    <w:jc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64</w:t>
                  </w:r>
                </w:p>
              </w:tc>
            </w:tr>
            <w:tr w14:paraId="332F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5000" w:type="pct"/>
                  <w:gridSpan w:val="13"/>
                  <w:noWrap w:val="0"/>
                  <w:vAlign w:val="center"/>
                </w:tcPr>
                <w:p w14:paraId="6281B6E3">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b w:val="0"/>
                      <w:bCs w:val="0"/>
                      <w:color w:val="auto"/>
                      <w:kern w:val="0"/>
                      <w:sz w:val="21"/>
                      <w:szCs w:val="21"/>
                      <w:highlight w:val="none"/>
                      <w:lang w:val="en-US" w:eastAsia="zh-CN"/>
                    </w:rPr>
                    <w:t>备注：项目周围无声环境敏感点，以</w:t>
                  </w:r>
                  <w:r>
                    <w:rPr>
                      <w:rFonts w:hint="eastAsia" w:cs="Times New Roman"/>
                      <w:b w:val="0"/>
                      <w:bCs w:val="0"/>
                      <w:color w:val="auto"/>
                      <w:kern w:val="0"/>
                      <w:sz w:val="21"/>
                      <w:szCs w:val="21"/>
                      <w:highlight w:val="none"/>
                      <w:lang w:val="en-US" w:eastAsia="zh-CN"/>
                    </w:rPr>
                    <w:t>厂区</w:t>
                  </w:r>
                  <w:r>
                    <w:rPr>
                      <w:rFonts w:hint="eastAsia" w:ascii="Times New Roman" w:hAnsi="Times New Roman" w:eastAsia="宋体" w:cs="Times New Roman"/>
                      <w:b w:val="0"/>
                      <w:bCs w:val="0"/>
                      <w:color w:val="auto"/>
                      <w:kern w:val="0"/>
                      <w:sz w:val="21"/>
                      <w:szCs w:val="21"/>
                      <w:highlight w:val="none"/>
                      <w:lang w:val="en-US" w:eastAsia="zh-CN"/>
                    </w:rPr>
                    <w:t>西南角为原点建立坐标系。</w:t>
                  </w:r>
                </w:p>
              </w:tc>
            </w:tr>
          </w:tbl>
          <w:p w14:paraId="5CABA17C">
            <w:pPr>
              <w:pStyle w:val="2"/>
              <w:keepNext w:val="0"/>
              <w:keepLines w:val="0"/>
              <w:suppressLineNumbers w:val="0"/>
              <w:adjustRightInd/>
              <w:spacing w:before="0" w:beforeAutospacing="0" w:after="0" w:afterAutospacing="0" w:line="360" w:lineRule="auto"/>
              <w:ind w:left="0" w:right="0" w:firstLine="482" w:firstLineChars="200"/>
              <w:jc w:val="both"/>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3.2 噪声影响预测</w:t>
            </w:r>
          </w:p>
          <w:p w14:paraId="69D3316A">
            <w:pPr>
              <w:pStyle w:val="2"/>
              <w:keepNext w:val="0"/>
              <w:keepLines w:val="0"/>
              <w:suppressLineNumbers w:val="0"/>
              <w:adjustRightInd/>
              <w:spacing w:before="0" w:beforeAutospacing="0" w:after="0" w:afterAutospacing="0" w:line="360" w:lineRule="auto"/>
              <w:ind w:left="0" w:right="0" w:firstLine="480" w:firstLineChars="200"/>
              <w:jc w:val="both"/>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本项目设备集中在锅炉房，将锅炉房中的各个声源等效为一个</w:t>
            </w:r>
            <w:r>
              <w:rPr>
                <w:rFonts w:hint="eastAsia" w:ascii="Times New Roman" w:hAnsi="Times New Roman" w:cs="Times New Roman"/>
                <w:color w:val="auto"/>
                <w:sz w:val="24"/>
                <w:szCs w:val="24"/>
                <w:lang w:val="en-US" w:eastAsia="zh-CN"/>
              </w:rPr>
              <w:t>位于</w:t>
            </w:r>
            <w:r>
              <w:rPr>
                <w:rFonts w:hint="eastAsia" w:ascii="Times New Roman" w:hAnsi="Times New Roman" w:eastAsia="宋体" w:cs="Times New Roman"/>
                <w:color w:val="auto"/>
                <w:sz w:val="24"/>
                <w:szCs w:val="24"/>
                <w:lang w:val="en-US" w:eastAsia="zh-CN"/>
              </w:rPr>
              <w:t>锅炉房中部的噪声源进行预测。</w:t>
            </w:r>
          </w:p>
          <w:p w14:paraId="565771A3">
            <w:pPr>
              <w:keepNext w:val="0"/>
              <w:keepLines w:val="0"/>
              <w:pageBreakBefore w:val="0"/>
              <w:widowControl/>
              <w:suppressLineNumbers w:val="0"/>
              <w:kinsoku/>
              <w:wordWrap w:val="0"/>
              <w:overflowPunct/>
              <w:topLinePunct/>
              <w:autoSpaceDE/>
              <w:autoSpaceDN/>
              <w:bidi w:val="0"/>
              <w:adjustRightInd w:val="0"/>
              <w:snapToGrid w:val="0"/>
              <w:spacing w:before="0" w:beforeAutospacing="0" w:after="0" w:afterAutospacing="0" w:line="360" w:lineRule="auto"/>
              <w:ind w:left="0" w:leftChars="0" w:right="0" w:firstLine="480" w:firstLineChars="200"/>
              <w:outlineLvl w:val="9"/>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通过选用低噪声设备，采取封闭厂房</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厂房为单层砖结构</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噪声设备安装基础减振装置，加强设备维护等措施，厂房隔声量取</w:t>
            </w:r>
            <w:r>
              <w:rPr>
                <w:rFonts w:hint="eastAsia"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5dB</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A</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故经建筑隔声后，可降低</w:t>
            </w:r>
            <w:r>
              <w:rPr>
                <w:rFonts w:hint="eastAsia"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5dB</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A</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。根据点声源噪声衰减模式，可估算出运营期间距声源不同距离处的噪声值。其预测模式如下：</w:t>
            </w:r>
          </w:p>
          <w:p w14:paraId="1846B4A7">
            <w:pPr>
              <w:pStyle w:val="145"/>
              <w:keepNext w:val="0"/>
              <w:keepLines w:val="0"/>
              <w:pageBreakBefore w:val="0"/>
              <w:widowControl/>
              <w:suppressLineNumbers w:val="0"/>
              <w:kinsoku/>
              <w:wordWrap w:val="0"/>
              <w:overflowPunct/>
              <w:topLinePunct/>
              <w:autoSpaceDE/>
              <w:autoSpaceDN/>
              <w:bidi w:val="0"/>
              <w:spacing w:before="0" w:beforeAutospacing="0" w:after="0" w:afterAutospacing="0"/>
              <w:ind w:left="0" w:leftChars="0" w:right="0" w:firstLine="0" w:firstLineChars="0"/>
              <w:jc w:val="center"/>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object>
                <v:shape id="_x0000_i1032" o:spt="75" type="#_x0000_t75" style="height:18pt;width:171pt;" o:ole="t" filled="f" o:preferrelative="t" stroked="f" coordsize="21600,21600">
                  <v:path/>
                  <v:fill on="f" focussize="0,0"/>
                  <v:stroke on="f"/>
                  <v:imagedata r:id="rId44" o:title=""/>
                  <o:lock v:ext="edit" aspectratio="t"/>
                  <w10:wrap type="none"/>
                  <w10:anchorlock/>
                </v:shape>
                <o:OLEObject Type="Embed" ProgID="Equation.3" ShapeID="_x0000_i1032" DrawAspect="Content" ObjectID="_1468075732" r:id="rId43">
                  <o:LockedField>false</o:LockedField>
                </o:OLEObject>
              </w:object>
            </w:r>
          </w:p>
          <w:p w14:paraId="6A940DBF">
            <w:pPr>
              <w:pStyle w:val="145"/>
              <w:keepNext w:val="0"/>
              <w:keepLines w:val="0"/>
              <w:pageBreakBefore w:val="0"/>
              <w:widowControl/>
              <w:suppressLineNumbers w:val="0"/>
              <w:kinsoku/>
              <w:wordWrap w:val="0"/>
              <w:overflowPunct/>
              <w:topLinePunct/>
              <w:autoSpaceDE/>
              <w:autoSpaceDN/>
              <w:bidi w:val="0"/>
              <w:spacing w:before="0" w:beforeAutospacing="0" w:after="0" w:afterAutospacing="0"/>
              <w:ind w:left="0" w:leftChars="0" w:right="0"/>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式中：Loct</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r</w:t>
            </w:r>
            <w:r>
              <w:rPr>
                <w:rFonts w:hint="eastAsia" w:cs="Times New Roman"/>
                <w:color w:val="auto"/>
                <w:sz w:val="24"/>
                <w:szCs w:val="24"/>
                <w:lang w:eastAsia="zh-CN"/>
              </w:rPr>
              <w:t>）</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点声源在预测点产生的倍频带声压级，dB；</w:t>
            </w:r>
          </w:p>
          <w:p w14:paraId="772B3722">
            <w:pPr>
              <w:pStyle w:val="145"/>
              <w:keepNext w:val="0"/>
              <w:keepLines w:val="0"/>
              <w:pageBreakBefore w:val="0"/>
              <w:widowControl/>
              <w:suppressLineNumbers w:val="0"/>
              <w:kinsoku/>
              <w:wordWrap w:val="0"/>
              <w:overflowPunct/>
              <w:topLinePunct/>
              <w:autoSpaceDE/>
              <w:autoSpaceDN/>
              <w:bidi w:val="0"/>
              <w:spacing w:before="0" w:beforeAutospacing="0" w:after="0" w:afterAutospacing="0"/>
              <w:ind w:left="0" w:leftChars="0" w:right="0" w:firstLine="1200" w:firstLineChars="500"/>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Loct</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r</w:t>
            </w:r>
            <w:r>
              <w:rPr>
                <w:rFonts w:hint="default" w:ascii="Times New Roman" w:hAnsi="Times New Roman" w:eastAsia="宋体" w:cs="Times New Roman"/>
                <w:color w:val="auto"/>
                <w:sz w:val="24"/>
                <w:szCs w:val="24"/>
                <w:vertAlign w:val="subscript"/>
              </w:rPr>
              <w:t>0</w:t>
            </w:r>
            <w:r>
              <w:rPr>
                <w:rFonts w:hint="eastAsia" w:cs="Times New Roman"/>
                <w:color w:val="auto"/>
                <w:sz w:val="24"/>
                <w:szCs w:val="24"/>
                <w:lang w:eastAsia="zh-CN"/>
              </w:rPr>
              <w:t>）</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参考位置r</w:t>
            </w:r>
            <w:r>
              <w:rPr>
                <w:rFonts w:hint="default" w:ascii="Times New Roman" w:hAnsi="Times New Roman" w:eastAsia="宋体" w:cs="Times New Roman"/>
                <w:color w:val="auto"/>
                <w:sz w:val="24"/>
                <w:szCs w:val="24"/>
                <w:vertAlign w:val="subscript"/>
              </w:rPr>
              <w:t>0</w:t>
            </w:r>
            <w:r>
              <w:rPr>
                <w:rFonts w:hint="default" w:ascii="Times New Roman" w:hAnsi="Times New Roman" w:eastAsia="宋体" w:cs="Times New Roman"/>
                <w:color w:val="auto"/>
                <w:sz w:val="24"/>
                <w:szCs w:val="24"/>
              </w:rPr>
              <w:t>处的倍频带声压级，dB；</w:t>
            </w:r>
          </w:p>
          <w:p w14:paraId="7C4D88BF">
            <w:pPr>
              <w:pStyle w:val="145"/>
              <w:keepNext w:val="0"/>
              <w:keepLines w:val="0"/>
              <w:pageBreakBefore w:val="0"/>
              <w:widowControl/>
              <w:suppressLineNumbers w:val="0"/>
              <w:kinsoku/>
              <w:wordWrap w:val="0"/>
              <w:overflowPunct/>
              <w:topLinePunct/>
              <w:autoSpaceDE/>
              <w:autoSpaceDN/>
              <w:bidi w:val="0"/>
              <w:spacing w:before="0" w:beforeAutospacing="0" w:after="0" w:afterAutospacing="0"/>
              <w:ind w:left="0" w:leftChars="0" w:right="0" w:firstLine="1200" w:firstLineChars="500"/>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R</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预测点距声源的距离，m；</w:t>
            </w:r>
          </w:p>
          <w:p w14:paraId="1604EEB0">
            <w:pPr>
              <w:pStyle w:val="145"/>
              <w:keepNext w:val="0"/>
              <w:keepLines w:val="0"/>
              <w:pageBreakBefore w:val="0"/>
              <w:widowControl/>
              <w:suppressLineNumbers w:val="0"/>
              <w:kinsoku/>
              <w:wordWrap w:val="0"/>
              <w:overflowPunct/>
              <w:topLinePunct/>
              <w:autoSpaceDE/>
              <w:autoSpaceDN/>
              <w:bidi w:val="0"/>
              <w:spacing w:before="0" w:beforeAutospacing="0" w:after="0" w:afterAutospacing="0"/>
              <w:ind w:left="0" w:leftChars="0" w:right="0" w:firstLine="1200" w:firstLineChars="500"/>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r</w:t>
            </w:r>
            <w:r>
              <w:rPr>
                <w:rFonts w:hint="default" w:ascii="Times New Roman" w:hAnsi="Times New Roman" w:eastAsia="宋体" w:cs="Times New Roman"/>
                <w:color w:val="auto"/>
                <w:sz w:val="24"/>
                <w:szCs w:val="24"/>
                <w:vertAlign w:val="subscript"/>
              </w:rPr>
              <w:t>0</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参考位置距声源的距离，m；</w:t>
            </w:r>
          </w:p>
          <w:p w14:paraId="33478DA5">
            <w:pPr>
              <w:pStyle w:val="145"/>
              <w:keepNext w:val="0"/>
              <w:keepLines w:val="0"/>
              <w:pageBreakBefore w:val="0"/>
              <w:widowControl/>
              <w:suppressLineNumbers w:val="0"/>
              <w:kinsoku/>
              <w:wordWrap w:val="0"/>
              <w:overflowPunct/>
              <w:topLinePunct/>
              <w:autoSpaceDE/>
              <w:autoSpaceDN/>
              <w:bidi w:val="0"/>
              <w:spacing w:before="0" w:beforeAutospacing="0" w:after="0" w:afterAutospacing="0"/>
              <w:ind w:left="0" w:leftChars="0" w:right="0" w:firstLine="1200" w:firstLineChars="500"/>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Loct</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各种因素引起的衰减量</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包括声屏障、遮挡物、空气吸收、地面效应引起的衰减量，计算方法详见导则</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 w14:paraId="0A1A0B41">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auto"/>
                <w:sz w:val="24"/>
                <w:szCs w:val="24"/>
              </w:rPr>
            </w:pPr>
            <w:r>
              <w:rPr>
                <w:rFonts w:hint="eastAsia" w:cs="Times New Roman"/>
                <w:b/>
                <w:bCs/>
                <w:color w:val="auto"/>
                <w:sz w:val="24"/>
                <w:szCs w:val="24"/>
                <w:lang w:val="en-US" w:eastAsia="zh-CN"/>
              </w:rPr>
              <w:t xml:space="preserve">3.3 </w:t>
            </w:r>
            <w:r>
              <w:rPr>
                <w:rFonts w:hint="default" w:ascii="Times New Roman" w:hAnsi="Times New Roman" w:eastAsia="宋体" w:cs="Times New Roman"/>
                <w:b/>
                <w:bCs/>
                <w:color w:val="auto"/>
                <w:sz w:val="24"/>
                <w:szCs w:val="24"/>
              </w:rPr>
              <w:t>预测结果</w:t>
            </w:r>
          </w:p>
          <w:p w14:paraId="424FDF9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val="0"/>
                <w:color w:val="auto"/>
                <w:lang w:val="en-US"/>
              </w:rPr>
            </w:pPr>
            <w:r>
              <w:rPr>
                <w:rFonts w:hint="default" w:ascii="Times New Roman" w:hAnsi="Times New Roman" w:eastAsia="宋体" w:cs="Times New Roman"/>
                <w:color w:val="auto"/>
                <w:sz w:val="24"/>
                <w:szCs w:val="24"/>
              </w:rPr>
              <w:t>利用预测模式，本项目</w:t>
            </w:r>
            <w:r>
              <w:rPr>
                <w:rFonts w:hint="eastAsia" w:ascii="Times New Roman" w:hAnsi="Times New Roman" w:eastAsia="宋体" w:cs="Times New Roman"/>
                <w:color w:val="auto"/>
                <w:sz w:val="24"/>
                <w:szCs w:val="24"/>
                <w:lang w:val="en-US" w:eastAsia="zh-CN"/>
              </w:rPr>
              <w:t>夜间不生产，昼间</w:t>
            </w:r>
            <w:r>
              <w:rPr>
                <w:rFonts w:hint="default" w:ascii="Times New Roman" w:hAnsi="Times New Roman" w:eastAsia="宋体" w:cs="Times New Roman"/>
                <w:color w:val="auto"/>
                <w:sz w:val="24"/>
                <w:szCs w:val="24"/>
              </w:rPr>
              <w:t>主要噪声源对厂界声环境的影响预测结果</w:t>
            </w:r>
            <w:r>
              <w:rPr>
                <w:rFonts w:hint="eastAsia" w:ascii="Times New Roman" w:hAnsi="Times New Roman" w:eastAsia="宋体" w:cs="Times New Roman"/>
                <w:color w:val="auto"/>
                <w:sz w:val="24"/>
                <w:szCs w:val="24"/>
                <w:lang w:val="en-US" w:eastAsia="zh-CN"/>
              </w:rPr>
              <w:t>见表4-</w:t>
            </w:r>
            <w:r>
              <w:rPr>
                <w:rFonts w:hint="eastAsia" w:cs="Times New Roman"/>
                <w:color w:val="auto"/>
                <w:sz w:val="24"/>
                <w:szCs w:val="24"/>
                <w:lang w:val="en-US" w:eastAsia="zh-CN"/>
              </w:rPr>
              <w:t>15</w:t>
            </w:r>
            <w:r>
              <w:rPr>
                <w:rFonts w:hint="eastAsia" w:ascii="Times New Roman" w:hAnsi="Times New Roman" w:eastAsia="宋体" w:cs="Times New Roman"/>
                <w:color w:val="auto"/>
                <w:sz w:val="24"/>
                <w:szCs w:val="24"/>
                <w:lang w:val="en-US" w:eastAsia="zh-CN"/>
              </w:rPr>
              <w:t>。</w:t>
            </w:r>
          </w:p>
          <w:p w14:paraId="1A4616BE">
            <w:pPr>
              <w:pStyle w:val="47"/>
              <w:keepNext w:val="0"/>
              <w:keepLines w:val="0"/>
              <w:pageBreakBefore w:val="0"/>
              <w:widowControl/>
              <w:kinsoku/>
              <w:wordWrap/>
              <w:overflowPunct/>
              <w:topLinePunct w:val="0"/>
              <w:autoSpaceDE/>
              <w:autoSpaceDN/>
              <w:bidi w:val="0"/>
              <w:adjustRightInd w:val="0"/>
              <w:snapToGrid w:val="0"/>
              <w:spacing w:before="0" w:line="240" w:lineRule="auto"/>
              <w:ind w:firstLine="0" w:firstLineChars="0"/>
              <w:textAlignment w:val="auto"/>
              <w:rPr>
                <w:rFonts w:hint="default" w:ascii="Times New Roman" w:hAnsi="Times New Roman" w:eastAsia="宋体" w:cs="Times New Roman"/>
                <w:bCs w:val="0"/>
                <w:color w:val="auto"/>
                <w:lang w:val="en-US"/>
              </w:rPr>
            </w:pPr>
            <w:r>
              <w:rPr>
                <w:rFonts w:hint="default" w:ascii="Times New Roman" w:hAnsi="Times New Roman" w:eastAsia="宋体" w:cs="Times New Roman"/>
                <w:bCs w:val="0"/>
                <w:color w:val="auto"/>
                <w:lang w:val="en-US"/>
              </w:rPr>
              <w:t>表4-</w:t>
            </w:r>
            <w:r>
              <w:rPr>
                <w:rFonts w:hint="eastAsia" w:cs="Times New Roman"/>
                <w:bCs w:val="0"/>
                <w:color w:val="auto"/>
                <w:lang w:val="en-US" w:eastAsia="zh-CN"/>
              </w:rPr>
              <w:t>15</w:t>
            </w:r>
            <w:r>
              <w:rPr>
                <w:rFonts w:hint="default" w:ascii="Times New Roman" w:hAnsi="Times New Roman" w:eastAsia="宋体" w:cs="Times New Roman"/>
                <w:bCs w:val="0"/>
                <w:color w:val="auto"/>
                <w:lang w:val="en-US"/>
              </w:rPr>
              <w:t xml:space="preserve">  项目</w:t>
            </w:r>
            <w:r>
              <w:rPr>
                <w:rFonts w:hint="eastAsia" w:ascii="Times New Roman" w:hAnsi="Times New Roman" w:eastAsia="宋体" w:cs="Times New Roman"/>
                <w:bCs w:val="0"/>
                <w:color w:val="auto"/>
                <w:lang w:val="en-US" w:eastAsia="zh-CN"/>
              </w:rPr>
              <w:t>厂界</w:t>
            </w:r>
            <w:r>
              <w:rPr>
                <w:rFonts w:hint="default" w:ascii="Times New Roman" w:hAnsi="Times New Roman" w:eastAsia="宋体" w:cs="Times New Roman"/>
                <w:bCs w:val="0"/>
                <w:color w:val="auto"/>
                <w:lang w:val="en-US"/>
              </w:rPr>
              <w:t>噪声预测结果</w:t>
            </w:r>
            <w:r>
              <w:rPr>
                <w:rFonts w:hint="eastAsia" w:ascii="Times New Roman" w:hAnsi="Times New Roman" w:eastAsia="宋体" w:cs="Times New Roman"/>
                <w:bCs w:val="0"/>
                <w:color w:val="auto"/>
                <w:lang w:val="en-US" w:eastAsia="zh-CN"/>
              </w:rPr>
              <w:t>与达标分析</w:t>
            </w:r>
            <w:r>
              <w:rPr>
                <w:rFonts w:hint="default" w:ascii="Times New Roman" w:hAnsi="Times New Roman" w:eastAsia="宋体" w:cs="Times New Roman"/>
                <w:bCs w:val="0"/>
                <w:color w:val="auto"/>
                <w:lang w:val="en-US"/>
              </w:rPr>
              <w:t>表</w:t>
            </w:r>
          </w:p>
          <w:tbl>
            <w:tblPr>
              <w:tblStyle w:val="4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1047"/>
              <w:gridCol w:w="796"/>
              <w:gridCol w:w="686"/>
              <w:gridCol w:w="615"/>
              <w:gridCol w:w="614"/>
              <w:gridCol w:w="651"/>
              <w:gridCol w:w="777"/>
              <w:gridCol w:w="705"/>
              <w:gridCol w:w="793"/>
            </w:tblGrid>
            <w:tr w14:paraId="16CA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vMerge w:val="restart"/>
                  <w:shd w:val="clear" w:color="auto" w:fill="auto"/>
                  <w:vAlign w:val="center"/>
                </w:tcPr>
                <w:p w14:paraId="359550A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rPr>
                    <w:t>声源名称</w:t>
                  </w:r>
                </w:p>
              </w:tc>
              <w:tc>
                <w:tcPr>
                  <w:tcW w:w="640" w:type="pct"/>
                  <w:vMerge w:val="restart"/>
                  <w:shd w:val="clear" w:color="auto" w:fill="auto"/>
                  <w:vAlign w:val="center"/>
                </w:tcPr>
                <w:p w14:paraId="45FF7BAA">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bidi="zh-CN"/>
                    </w:rPr>
                  </w:pPr>
                  <w:r>
                    <w:rPr>
                      <w:rFonts w:hint="default" w:ascii="Times New Roman" w:hAnsi="Times New Roman" w:eastAsia="宋体" w:cs="Times New Roman"/>
                      <w:b/>
                      <w:bCs/>
                      <w:color w:val="auto"/>
                      <w:kern w:val="0"/>
                      <w:sz w:val="21"/>
                      <w:szCs w:val="21"/>
                      <w:highlight w:val="none"/>
                      <w:lang w:val="en-US" w:eastAsia="zh-CN"/>
                    </w:rPr>
                    <w:t>建筑物外噪声声压级/dB</w:t>
                  </w:r>
                  <w:r>
                    <w:rPr>
                      <w:rFonts w:hint="eastAsia" w:ascii="Times New Roman" w:hAnsi="Times New Roman" w:eastAsia="宋体" w:cs="Times New Roman"/>
                      <w:b/>
                      <w:bCs/>
                      <w:color w:val="auto"/>
                      <w:kern w:val="0"/>
                      <w:sz w:val="21"/>
                      <w:szCs w:val="21"/>
                      <w:highlight w:val="none"/>
                      <w:lang w:val="en-US" w:eastAsia="zh-CN"/>
                    </w:rPr>
                    <w:t>（</w:t>
                  </w:r>
                  <w:r>
                    <w:rPr>
                      <w:rFonts w:hint="default" w:ascii="Times New Roman" w:hAnsi="Times New Roman" w:eastAsia="宋体" w:cs="Times New Roman"/>
                      <w:b/>
                      <w:bCs/>
                      <w:color w:val="auto"/>
                      <w:kern w:val="0"/>
                      <w:sz w:val="21"/>
                      <w:szCs w:val="21"/>
                      <w:highlight w:val="none"/>
                      <w:lang w:val="en-US" w:eastAsia="zh-CN"/>
                    </w:rPr>
                    <w:t>A</w:t>
                  </w:r>
                  <w:r>
                    <w:rPr>
                      <w:rFonts w:hint="eastAsia" w:ascii="Times New Roman" w:hAnsi="Times New Roman" w:eastAsia="宋体" w:cs="Times New Roman"/>
                      <w:b/>
                      <w:bCs/>
                      <w:color w:val="auto"/>
                      <w:kern w:val="0"/>
                      <w:sz w:val="21"/>
                      <w:szCs w:val="21"/>
                      <w:highlight w:val="none"/>
                      <w:lang w:val="en-US" w:eastAsia="zh-CN"/>
                    </w:rPr>
                    <w:t>）</w:t>
                  </w:r>
                </w:p>
              </w:tc>
              <w:tc>
                <w:tcPr>
                  <w:tcW w:w="1659" w:type="pct"/>
                  <w:gridSpan w:val="4"/>
                  <w:vAlign w:val="center"/>
                </w:tcPr>
                <w:p w14:paraId="332D22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kern w:val="0"/>
                      <w:sz w:val="21"/>
                      <w:szCs w:val="21"/>
                      <w:vertAlign w:val="baseline"/>
                      <w:lang w:val="en-US" w:eastAsia="zh-CN" w:bidi="ar-SA"/>
                    </w:rPr>
                  </w:pPr>
                  <w:r>
                    <w:rPr>
                      <w:rFonts w:hint="eastAsia" w:ascii="Times New Roman" w:hAnsi="Times New Roman" w:eastAsia="宋体" w:cs="Times New Roman"/>
                      <w:b/>
                      <w:bCs/>
                      <w:color w:val="auto"/>
                      <w:kern w:val="0"/>
                      <w:sz w:val="21"/>
                      <w:szCs w:val="21"/>
                      <w:vertAlign w:val="baseline"/>
                      <w:lang w:val="en-US" w:eastAsia="zh-CN" w:bidi="ar-SA"/>
                    </w:rPr>
                    <w:t>距边界距离（m）</w:t>
                  </w:r>
                </w:p>
              </w:tc>
              <w:tc>
                <w:tcPr>
                  <w:tcW w:w="1791" w:type="pct"/>
                  <w:gridSpan w:val="4"/>
                  <w:vAlign w:val="center"/>
                </w:tcPr>
                <w:p w14:paraId="3C2A615F">
                  <w:pPr>
                    <w:keepNext w:val="0"/>
                    <w:keepLines w:val="0"/>
                    <w:suppressLineNumbers w:val="0"/>
                    <w:spacing w:before="0" w:beforeAutospacing="0" w:after="0" w:afterAutospacing="0"/>
                    <w:ind w:left="0" w:right="0"/>
                    <w:jc w:val="center"/>
                    <w:textAlignment w:val="center"/>
                    <w:rPr>
                      <w:rFonts w:hint="eastAsia" w:ascii="Times New Roman" w:hAnsi="Times New Roman" w:eastAsia="宋体" w:cs="宋体"/>
                      <w:b/>
                      <w:bCs/>
                      <w:i w:val="0"/>
                      <w:iCs w:val="0"/>
                      <w:color w:val="auto"/>
                      <w:kern w:val="0"/>
                      <w:sz w:val="21"/>
                      <w:szCs w:val="21"/>
                      <w:u w:val="none"/>
                      <w:lang w:val="en-US" w:eastAsia="zh-CN" w:bidi="ar"/>
                    </w:rPr>
                  </w:pPr>
                  <w:r>
                    <w:rPr>
                      <w:rFonts w:hint="eastAsia" w:ascii="Times New Roman" w:hAnsi="Times New Roman" w:eastAsia="宋体" w:cs="Times New Roman"/>
                      <w:b/>
                      <w:bCs/>
                      <w:color w:val="auto"/>
                      <w:lang w:val="en-US" w:eastAsia="zh-CN"/>
                    </w:rPr>
                    <w:t>噪声贡献值</w:t>
                  </w:r>
                  <w:r>
                    <w:rPr>
                      <w:rFonts w:hint="default" w:ascii="Times New Roman" w:hAnsi="Times New Roman" w:eastAsia="宋体" w:cs="Times New Roman"/>
                      <w:b/>
                      <w:bCs/>
                      <w:color w:val="auto"/>
                    </w:rPr>
                    <w:t>dB</w:t>
                  </w:r>
                  <w:r>
                    <w:rPr>
                      <w:rFonts w:hint="eastAsia" w:cs="Times New Roman"/>
                      <w:b/>
                      <w:bCs/>
                      <w:color w:val="auto"/>
                      <w:lang w:eastAsia="zh-CN"/>
                    </w:rPr>
                    <w:t>(</w:t>
                  </w:r>
                  <w:r>
                    <w:rPr>
                      <w:rFonts w:hint="default" w:ascii="Times New Roman" w:hAnsi="Times New Roman" w:eastAsia="宋体" w:cs="Times New Roman"/>
                      <w:b/>
                      <w:bCs/>
                      <w:color w:val="auto"/>
                    </w:rPr>
                    <w:t>A</w:t>
                  </w:r>
                  <w:r>
                    <w:rPr>
                      <w:rFonts w:hint="eastAsia" w:cs="Times New Roman"/>
                      <w:b/>
                      <w:bCs/>
                      <w:color w:val="auto"/>
                      <w:lang w:eastAsia="zh-CN"/>
                    </w:rPr>
                    <w:t>)</w:t>
                  </w:r>
                </w:p>
              </w:tc>
            </w:tr>
            <w:tr w14:paraId="021B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vMerge w:val="continue"/>
                  <w:shd w:val="clear" w:color="auto" w:fill="auto"/>
                  <w:vAlign w:val="center"/>
                </w:tcPr>
                <w:p w14:paraId="3A00EB19">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bidi="ar-SA"/>
                    </w:rPr>
                  </w:pPr>
                </w:p>
              </w:tc>
              <w:tc>
                <w:tcPr>
                  <w:tcW w:w="640" w:type="pct"/>
                  <w:vMerge w:val="continue"/>
                  <w:shd w:val="clear" w:color="auto" w:fill="auto"/>
                  <w:vAlign w:val="center"/>
                </w:tcPr>
                <w:p w14:paraId="0FB5AEE2">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olor w:val="auto"/>
                      <w:kern w:val="0"/>
                      <w:sz w:val="21"/>
                      <w:szCs w:val="21"/>
                      <w:highlight w:val="none"/>
                      <w:lang w:val="en-US" w:eastAsia="zh-CN" w:bidi="zh-CN"/>
                    </w:rPr>
                  </w:pPr>
                </w:p>
              </w:tc>
              <w:tc>
                <w:tcPr>
                  <w:tcW w:w="487" w:type="pct"/>
                  <w:shd w:val="clear" w:color="auto" w:fill="auto"/>
                  <w:vAlign w:val="center"/>
                </w:tcPr>
                <w:p w14:paraId="471FA2E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auto"/>
                      <w:kern w:val="0"/>
                      <w:sz w:val="21"/>
                      <w:szCs w:val="21"/>
                      <w:vertAlign w:val="baseline"/>
                      <w:lang w:val="en-US" w:eastAsia="zh-CN" w:bidi="ar-SA"/>
                    </w:rPr>
                  </w:pPr>
                  <w:r>
                    <w:rPr>
                      <w:rFonts w:hint="eastAsia" w:ascii="Times New Roman" w:hAnsi="Times New Roman" w:eastAsia="宋体" w:cs="宋体"/>
                      <w:b/>
                      <w:bCs/>
                      <w:i w:val="0"/>
                      <w:iCs w:val="0"/>
                      <w:color w:val="auto"/>
                      <w:kern w:val="0"/>
                      <w:sz w:val="21"/>
                      <w:szCs w:val="21"/>
                      <w:u w:val="none"/>
                      <w:lang w:val="en-US" w:eastAsia="zh-CN" w:bidi="ar"/>
                    </w:rPr>
                    <w:t>东</w:t>
                  </w:r>
                </w:p>
              </w:tc>
              <w:tc>
                <w:tcPr>
                  <w:tcW w:w="419" w:type="pct"/>
                  <w:shd w:val="clear" w:color="auto" w:fill="auto"/>
                  <w:vAlign w:val="center"/>
                </w:tcPr>
                <w:p w14:paraId="3E379B5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auto"/>
                      <w:kern w:val="0"/>
                      <w:sz w:val="21"/>
                      <w:szCs w:val="21"/>
                      <w:vertAlign w:val="baseline"/>
                      <w:lang w:val="en-US" w:eastAsia="zh-CN" w:bidi="ar-SA"/>
                    </w:rPr>
                  </w:pPr>
                  <w:r>
                    <w:rPr>
                      <w:rFonts w:hint="eastAsia" w:ascii="Times New Roman" w:hAnsi="Times New Roman" w:eastAsia="宋体" w:cs="宋体"/>
                      <w:b/>
                      <w:bCs/>
                      <w:i w:val="0"/>
                      <w:iCs w:val="0"/>
                      <w:color w:val="auto"/>
                      <w:kern w:val="0"/>
                      <w:sz w:val="21"/>
                      <w:szCs w:val="21"/>
                      <w:u w:val="none"/>
                      <w:lang w:val="en-US" w:eastAsia="zh-CN" w:bidi="ar"/>
                    </w:rPr>
                    <w:t>南</w:t>
                  </w:r>
                </w:p>
              </w:tc>
              <w:tc>
                <w:tcPr>
                  <w:tcW w:w="376" w:type="pct"/>
                  <w:shd w:val="clear" w:color="auto" w:fill="auto"/>
                  <w:vAlign w:val="center"/>
                </w:tcPr>
                <w:p w14:paraId="2A8E596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auto"/>
                      <w:kern w:val="0"/>
                      <w:sz w:val="21"/>
                      <w:szCs w:val="21"/>
                      <w:vertAlign w:val="baseline"/>
                      <w:lang w:val="en-US" w:eastAsia="zh-CN" w:bidi="ar-SA"/>
                    </w:rPr>
                  </w:pPr>
                  <w:r>
                    <w:rPr>
                      <w:rFonts w:hint="eastAsia" w:ascii="Times New Roman" w:hAnsi="Times New Roman" w:eastAsia="宋体" w:cs="宋体"/>
                      <w:b/>
                      <w:bCs/>
                      <w:i w:val="0"/>
                      <w:iCs w:val="0"/>
                      <w:color w:val="auto"/>
                      <w:kern w:val="0"/>
                      <w:sz w:val="21"/>
                      <w:szCs w:val="21"/>
                      <w:u w:val="none"/>
                      <w:lang w:val="en-US" w:eastAsia="zh-CN" w:bidi="ar"/>
                    </w:rPr>
                    <w:t>西</w:t>
                  </w:r>
                </w:p>
              </w:tc>
              <w:tc>
                <w:tcPr>
                  <w:tcW w:w="375" w:type="pct"/>
                  <w:shd w:val="clear" w:color="auto" w:fill="auto"/>
                  <w:vAlign w:val="center"/>
                </w:tcPr>
                <w:p w14:paraId="4363DFF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auto"/>
                      <w:kern w:val="0"/>
                      <w:sz w:val="21"/>
                      <w:szCs w:val="21"/>
                      <w:vertAlign w:val="baseline"/>
                      <w:lang w:val="en-US" w:eastAsia="zh-CN" w:bidi="ar-SA"/>
                    </w:rPr>
                  </w:pPr>
                  <w:r>
                    <w:rPr>
                      <w:rFonts w:hint="eastAsia" w:ascii="Times New Roman" w:hAnsi="Times New Roman" w:eastAsia="宋体" w:cs="宋体"/>
                      <w:b/>
                      <w:bCs/>
                      <w:i w:val="0"/>
                      <w:iCs w:val="0"/>
                      <w:color w:val="auto"/>
                      <w:kern w:val="0"/>
                      <w:sz w:val="21"/>
                      <w:szCs w:val="21"/>
                      <w:u w:val="none"/>
                      <w:lang w:val="en-US" w:eastAsia="zh-CN" w:bidi="ar"/>
                    </w:rPr>
                    <w:t>北</w:t>
                  </w:r>
                </w:p>
              </w:tc>
              <w:tc>
                <w:tcPr>
                  <w:tcW w:w="398" w:type="pct"/>
                  <w:vAlign w:val="center"/>
                </w:tcPr>
                <w:p w14:paraId="6F26C23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b/>
                      <w:bCs/>
                      <w:i w:val="0"/>
                      <w:iCs w:val="0"/>
                      <w:color w:val="auto"/>
                      <w:kern w:val="0"/>
                      <w:sz w:val="21"/>
                      <w:szCs w:val="21"/>
                      <w:u w:val="none"/>
                      <w:lang w:val="en-US" w:eastAsia="zh-CN" w:bidi="ar"/>
                    </w:rPr>
                  </w:pPr>
                  <w:r>
                    <w:rPr>
                      <w:rFonts w:hint="eastAsia" w:ascii="Times New Roman" w:hAnsi="Times New Roman" w:eastAsia="宋体" w:cs="宋体"/>
                      <w:b/>
                      <w:bCs/>
                      <w:i w:val="0"/>
                      <w:iCs w:val="0"/>
                      <w:color w:val="auto"/>
                      <w:kern w:val="0"/>
                      <w:sz w:val="21"/>
                      <w:szCs w:val="21"/>
                      <w:u w:val="none"/>
                      <w:lang w:val="en-US" w:eastAsia="zh-CN" w:bidi="ar"/>
                    </w:rPr>
                    <w:t>东</w:t>
                  </w:r>
                </w:p>
              </w:tc>
              <w:tc>
                <w:tcPr>
                  <w:tcW w:w="475" w:type="pct"/>
                  <w:vAlign w:val="center"/>
                </w:tcPr>
                <w:p w14:paraId="03176CE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b/>
                      <w:bCs/>
                      <w:i w:val="0"/>
                      <w:iCs w:val="0"/>
                      <w:color w:val="auto"/>
                      <w:kern w:val="0"/>
                      <w:sz w:val="21"/>
                      <w:szCs w:val="21"/>
                      <w:u w:val="none"/>
                      <w:lang w:val="en-US" w:eastAsia="zh-CN" w:bidi="ar"/>
                    </w:rPr>
                  </w:pPr>
                  <w:r>
                    <w:rPr>
                      <w:rFonts w:hint="eastAsia" w:ascii="Times New Roman" w:hAnsi="Times New Roman" w:eastAsia="宋体" w:cs="宋体"/>
                      <w:b/>
                      <w:bCs/>
                      <w:i w:val="0"/>
                      <w:iCs w:val="0"/>
                      <w:color w:val="auto"/>
                      <w:kern w:val="0"/>
                      <w:sz w:val="21"/>
                      <w:szCs w:val="21"/>
                      <w:u w:val="none"/>
                      <w:lang w:val="en-US" w:eastAsia="zh-CN" w:bidi="ar"/>
                    </w:rPr>
                    <w:t>南</w:t>
                  </w:r>
                </w:p>
              </w:tc>
              <w:tc>
                <w:tcPr>
                  <w:tcW w:w="431" w:type="pct"/>
                  <w:vAlign w:val="center"/>
                </w:tcPr>
                <w:p w14:paraId="325250F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b/>
                      <w:bCs/>
                      <w:i w:val="0"/>
                      <w:iCs w:val="0"/>
                      <w:color w:val="auto"/>
                      <w:kern w:val="0"/>
                      <w:sz w:val="21"/>
                      <w:szCs w:val="21"/>
                      <w:u w:val="none"/>
                      <w:lang w:val="en-US" w:eastAsia="zh-CN" w:bidi="ar"/>
                    </w:rPr>
                  </w:pPr>
                  <w:r>
                    <w:rPr>
                      <w:rFonts w:hint="eastAsia" w:ascii="Times New Roman" w:hAnsi="Times New Roman" w:eastAsia="宋体" w:cs="宋体"/>
                      <w:b/>
                      <w:bCs/>
                      <w:i w:val="0"/>
                      <w:iCs w:val="0"/>
                      <w:color w:val="auto"/>
                      <w:kern w:val="0"/>
                      <w:sz w:val="21"/>
                      <w:szCs w:val="21"/>
                      <w:u w:val="none"/>
                      <w:lang w:val="en-US" w:eastAsia="zh-CN" w:bidi="ar"/>
                    </w:rPr>
                    <w:t>西</w:t>
                  </w:r>
                </w:p>
              </w:tc>
              <w:tc>
                <w:tcPr>
                  <w:tcW w:w="485" w:type="pct"/>
                  <w:vAlign w:val="center"/>
                </w:tcPr>
                <w:p w14:paraId="74B223E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b/>
                      <w:bCs/>
                      <w:i w:val="0"/>
                      <w:iCs w:val="0"/>
                      <w:color w:val="auto"/>
                      <w:kern w:val="0"/>
                      <w:sz w:val="21"/>
                      <w:szCs w:val="21"/>
                      <w:u w:val="none"/>
                      <w:lang w:val="en-US" w:eastAsia="zh-CN" w:bidi="ar"/>
                    </w:rPr>
                  </w:pPr>
                  <w:r>
                    <w:rPr>
                      <w:rFonts w:hint="eastAsia" w:ascii="Times New Roman" w:hAnsi="Times New Roman" w:eastAsia="宋体" w:cs="宋体"/>
                      <w:b/>
                      <w:bCs/>
                      <w:i w:val="0"/>
                      <w:iCs w:val="0"/>
                      <w:color w:val="auto"/>
                      <w:kern w:val="0"/>
                      <w:sz w:val="21"/>
                      <w:szCs w:val="21"/>
                      <w:u w:val="none"/>
                      <w:lang w:val="en-US" w:eastAsia="zh-CN" w:bidi="ar"/>
                    </w:rPr>
                    <w:t>北</w:t>
                  </w:r>
                </w:p>
              </w:tc>
            </w:tr>
            <w:tr w14:paraId="15D4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shd w:val="clear" w:color="auto" w:fill="auto"/>
                  <w:vAlign w:val="center"/>
                </w:tcPr>
                <w:p w14:paraId="2B69E811">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zh-CN"/>
                    </w:rPr>
                  </w:pPr>
                  <w:r>
                    <w:rPr>
                      <w:rFonts w:hint="default" w:ascii="Times New Roman" w:hAnsi="Times New Roman" w:eastAsia="宋体" w:cs="Times New Roman"/>
                      <w:b w:val="0"/>
                      <w:bCs/>
                      <w:color w:val="auto"/>
                      <w:sz w:val="21"/>
                      <w:szCs w:val="21"/>
                      <w:highlight w:val="none"/>
                    </w:rPr>
                    <w:t>筛分机</w:t>
                  </w:r>
                </w:p>
              </w:tc>
              <w:tc>
                <w:tcPr>
                  <w:tcW w:w="640" w:type="pct"/>
                  <w:shd w:val="clear" w:color="auto" w:fill="auto"/>
                  <w:vAlign w:val="center"/>
                </w:tcPr>
                <w:p w14:paraId="3CAA0B7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64</w:t>
                  </w:r>
                </w:p>
              </w:tc>
              <w:tc>
                <w:tcPr>
                  <w:tcW w:w="487" w:type="pct"/>
                  <w:vAlign w:val="center"/>
                </w:tcPr>
                <w:p w14:paraId="49D43F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128</w:t>
                  </w:r>
                </w:p>
              </w:tc>
              <w:tc>
                <w:tcPr>
                  <w:tcW w:w="419" w:type="pct"/>
                  <w:vAlign w:val="center"/>
                </w:tcPr>
                <w:p w14:paraId="5D2C47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88</w:t>
                  </w:r>
                </w:p>
              </w:tc>
              <w:tc>
                <w:tcPr>
                  <w:tcW w:w="376" w:type="pct"/>
                  <w:vAlign w:val="center"/>
                </w:tcPr>
                <w:p w14:paraId="5BE89A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52</w:t>
                  </w:r>
                </w:p>
              </w:tc>
              <w:tc>
                <w:tcPr>
                  <w:tcW w:w="375" w:type="pct"/>
                  <w:vAlign w:val="center"/>
                </w:tcPr>
                <w:p w14:paraId="2E94CC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52</w:t>
                  </w:r>
                </w:p>
              </w:tc>
              <w:tc>
                <w:tcPr>
                  <w:tcW w:w="398" w:type="pct"/>
                  <w:vAlign w:val="center"/>
                </w:tcPr>
                <w:p w14:paraId="3F3E2A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21.9</w:t>
                  </w:r>
                </w:p>
              </w:tc>
              <w:tc>
                <w:tcPr>
                  <w:tcW w:w="475" w:type="pct"/>
                  <w:vAlign w:val="center"/>
                </w:tcPr>
                <w:p w14:paraId="23F109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25.1</w:t>
                  </w:r>
                </w:p>
              </w:tc>
              <w:tc>
                <w:tcPr>
                  <w:tcW w:w="431" w:type="pct"/>
                  <w:vAlign w:val="center"/>
                </w:tcPr>
                <w:p w14:paraId="4D8F29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29.7</w:t>
                  </w:r>
                </w:p>
              </w:tc>
              <w:tc>
                <w:tcPr>
                  <w:tcW w:w="485" w:type="pct"/>
                  <w:vAlign w:val="center"/>
                </w:tcPr>
                <w:p w14:paraId="51AAF2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29.7</w:t>
                  </w:r>
                </w:p>
              </w:tc>
            </w:tr>
            <w:tr w14:paraId="380C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shd w:val="clear" w:color="auto" w:fill="auto"/>
                  <w:vAlign w:val="center"/>
                </w:tcPr>
                <w:p w14:paraId="43081056">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仓前提升机</w:t>
                  </w:r>
                </w:p>
              </w:tc>
              <w:tc>
                <w:tcPr>
                  <w:tcW w:w="640" w:type="pct"/>
                  <w:shd w:val="clear" w:color="auto" w:fill="auto"/>
                  <w:vAlign w:val="center"/>
                </w:tcPr>
                <w:p w14:paraId="5C47E2F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59</w:t>
                  </w:r>
                </w:p>
              </w:tc>
              <w:tc>
                <w:tcPr>
                  <w:tcW w:w="487" w:type="pct"/>
                  <w:vAlign w:val="center"/>
                </w:tcPr>
                <w:p w14:paraId="10ED98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138</w:t>
                  </w:r>
                </w:p>
              </w:tc>
              <w:tc>
                <w:tcPr>
                  <w:tcW w:w="419" w:type="pct"/>
                  <w:vAlign w:val="center"/>
                </w:tcPr>
                <w:p w14:paraId="2EA063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86</w:t>
                  </w:r>
                </w:p>
              </w:tc>
              <w:tc>
                <w:tcPr>
                  <w:tcW w:w="376" w:type="pct"/>
                  <w:vAlign w:val="center"/>
                </w:tcPr>
                <w:p w14:paraId="1A7C67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42</w:t>
                  </w:r>
                </w:p>
              </w:tc>
              <w:tc>
                <w:tcPr>
                  <w:tcW w:w="375" w:type="pct"/>
                  <w:vAlign w:val="center"/>
                </w:tcPr>
                <w:p w14:paraId="7E9D14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54</w:t>
                  </w:r>
                </w:p>
              </w:tc>
              <w:tc>
                <w:tcPr>
                  <w:tcW w:w="398" w:type="pct"/>
                  <w:vAlign w:val="center"/>
                </w:tcPr>
                <w:p w14:paraId="5A21A8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16.2</w:t>
                  </w:r>
                </w:p>
              </w:tc>
              <w:tc>
                <w:tcPr>
                  <w:tcW w:w="475" w:type="pct"/>
                  <w:vAlign w:val="center"/>
                </w:tcPr>
                <w:p w14:paraId="0D2D96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20.3</w:t>
                  </w:r>
                </w:p>
              </w:tc>
              <w:tc>
                <w:tcPr>
                  <w:tcW w:w="431" w:type="pct"/>
                  <w:vAlign w:val="center"/>
                </w:tcPr>
                <w:p w14:paraId="6A0E0C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26.5</w:t>
                  </w:r>
                </w:p>
              </w:tc>
              <w:tc>
                <w:tcPr>
                  <w:tcW w:w="485" w:type="pct"/>
                  <w:vAlign w:val="center"/>
                </w:tcPr>
                <w:p w14:paraId="7624C9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24.4</w:t>
                  </w:r>
                </w:p>
              </w:tc>
            </w:tr>
            <w:tr w14:paraId="7BB3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shd w:val="clear" w:color="auto" w:fill="auto"/>
                  <w:vAlign w:val="center"/>
                </w:tcPr>
                <w:p w14:paraId="7998B726">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塔前提升机</w:t>
                  </w:r>
                </w:p>
              </w:tc>
              <w:tc>
                <w:tcPr>
                  <w:tcW w:w="640" w:type="pct"/>
                  <w:shd w:val="clear" w:color="auto" w:fill="auto"/>
                  <w:vAlign w:val="center"/>
                </w:tcPr>
                <w:p w14:paraId="057BA55E">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59</w:t>
                  </w:r>
                </w:p>
              </w:tc>
              <w:tc>
                <w:tcPr>
                  <w:tcW w:w="487" w:type="pct"/>
                  <w:vAlign w:val="center"/>
                </w:tcPr>
                <w:p w14:paraId="65AFBB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142</w:t>
                  </w:r>
                </w:p>
              </w:tc>
              <w:tc>
                <w:tcPr>
                  <w:tcW w:w="419" w:type="pct"/>
                  <w:vAlign w:val="center"/>
                </w:tcPr>
                <w:p w14:paraId="347693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49</w:t>
                  </w:r>
                </w:p>
              </w:tc>
              <w:tc>
                <w:tcPr>
                  <w:tcW w:w="376" w:type="pct"/>
                  <w:vAlign w:val="center"/>
                </w:tcPr>
                <w:p w14:paraId="24B6E4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38</w:t>
                  </w:r>
                </w:p>
              </w:tc>
              <w:tc>
                <w:tcPr>
                  <w:tcW w:w="375" w:type="pct"/>
                  <w:vAlign w:val="center"/>
                </w:tcPr>
                <w:p w14:paraId="71E4E9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91</w:t>
                  </w:r>
                </w:p>
              </w:tc>
              <w:tc>
                <w:tcPr>
                  <w:tcW w:w="398" w:type="pct"/>
                  <w:vAlign w:val="center"/>
                </w:tcPr>
                <w:p w14:paraId="6F1EF0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16.0</w:t>
                  </w:r>
                </w:p>
              </w:tc>
              <w:tc>
                <w:tcPr>
                  <w:tcW w:w="475" w:type="pct"/>
                  <w:vAlign w:val="center"/>
                </w:tcPr>
                <w:p w14:paraId="05F496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25.2</w:t>
                  </w:r>
                </w:p>
              </w:tc>
              <w:tc>
                <w:tcPr>
                  <w:tcW w:w="431" w:type="pct"/>
                  <w:vAlign w:val="center"/>
                </w:tcPr>
                <w:p w14:paraId="610566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27.4</w:t>
                  </w:r>
                </w:p>
              </w:tc>
              <w:tc>
                <w:tcPr>
                  <w:tcW w:w="485" w:type="pct"/>
                  <w:vAlign w:val="center"/>
                </w:tcPr>
                <w:p w14:paraId="11B075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19.8</w:t>
                  </w:r>
                </w:p>
              </w:tc>
            </w:tr>
            <w:tr w14:paraId="0EB1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shd w:val="clear" w:color="auto" w:fill="auto"/>
                  <w:vAlign w:val="center"/>
                </w:tcPr>
                <w:p w14:paraId="0353079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谷物干燥机</w:t>
                  </w:r>
                </w:p>
              </w:tc>
              <w:tc>
                <w:tcPr>
                  <w:tcW w:w="640" w:type="pct"/>
                  <w:shd w:val="clear" w:color="auto" w:fill="auto"/>
                  <w:vAlign w:val="center"/>
                </w:tcPr>
                <w:p w14:paraId="5861DE65">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75</w:t>
                  </w:r>
                </w:p>
              </w:tc>
              <w:tc>
                <w:tcPr>
                  <w:tcW w:w="487" w:type="pct"/>
                  <w:vAlign w:val="center"/>
                </w:tcPr>
                <w:p w14:paraId="4A826E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142</w:t>
                  </w:r>
                </w:p>
              </w:tc>
              <w:tc>
                <w:tcPr>
                  <w:tcW w:w="419" w:type="pct"/>
                  <w:vAlign w:val="center"/>
                </w:tcPr>
                <w:p w14:paraId="2A00DA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83</w:t>
                  </w:r>
                </w:p>
              </w:tc>
              <w:tc>
                <w:tcPr>
                  <w:tcW w:w="376" w:type="pct"/>
                  <w:vAlign w:val="center"/>
                </w:tcPr>
                <w:p w14:paraId="1CD997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38</w:t>
                  </w:r>
                </w:p>
              </w:tc>
              <w:tc>
                <w:tcPr>
                  <w:tcW w:w="375" w:type="pct"/>
                  <w:vAlign w:val="center"/>
                </w:tcPr>
                <w:p w14:paraId="3F92F3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57</w:t>
                  </w:r>
                </w:p>
              </w:tc>
              <w:tc>
                <w:tcPr>
                  <w:tcW w:w="398" w:type="pct"/>
                  <w:vAlign w:val="center"/>
                </w:tcPr>
                <w:p w14:paraId="677CBB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32.0</w:t>
                  </w:r>
                </w:p>
              </w:tc>
              <w:tc>
                <w:tcPr>
                  <w:tcW w:w="475" w:type="pct"/>
                  <w:vAlign w:val="center"/>
                </w:tcPr>
                <w:p w14:paraId="2517C8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36.6</w:t>
                  </w:r>
                </w:p>
              </w:tc>
              <w:tc>
                <w:tcPr>
                  <w:tcW w:w="431" w:type="pct"/>
                  <w:vAlign w:val="center"/>
                </w:tcPr>
                <w:p w14:paraId="6D4870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43.4</w:t>
                  </w:r>
                </w:p>
              </w:tc>
              <w:tc>
                <w:tcPr>
                  <w:tcW w:w="485" w:type="pct"/>
                  <w:vAlign w:val="center"/>
                </w:tcPr>
                <w:p w14:paraId="042AAC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39.9</w:t>
                  </w:r>
                </w:p>
              </w:tc>
            </w:tr>
            <w:tr w14:paraId="040A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shd w:val="clear" w:color="auto" w:fill="auto"/>
                  <w:vAlign w:val="center"/>
                </w:tcPr>
                <w:p w14:paraId="46E5FCD3">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生物质热风炉</w:t>
                  </w:r>
                </w:p>
              </w:tc>
              <w:tc>
                <w:tcPr>
                  <w:tcW w:w="640" w:type="pct"/>
                  <w:shd w:val="clear" w:color="auto" w:fill="auto"/>
                  <w:vAlign w:val="center"/>
                </w:tcPr>
                <w:p w14:paraId="3E5C9618">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70</w:t>
                  </w:r>
                </w:p>
              </w:tc>
              <w:tc>
                <w:tcPr>
                  <w:tcW w:w="487" w:type="pct"/>
                  <w:vAlign w:val="center"/>
                </w:tcPr>
                <w:p w14:paraId="334ED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136</w:t>
                  </w:r>
                </w:p>
              </w:tc>
              <w:tc>
                <w:tcPr>
                  <w:tcW w:w="419" w:type="pct"/>
                  <w:vAlign w:val="center"/>
                </w:tcPr>
                <w:p w14:paraId="051ECF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118</w:t>
                  </w:r>
                </w:p>
              </w:tc>
              <w:tc>
                <w:tcPr>
                  <w:tcW w:w="376" w:type="pct"/>
                  <w:vAlign w:val="center"/>
                </w:tcPr>
                <w:p w14:paraId="34798D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44</w:t>
                  </w:r>
                </w:p>
              </w:tc>
              <w:tc>
                <w:tcPr>
                  <w:tcW w:w="375" w:type="pct"/>
                  <w:vAlign w:val="center"/>
                </w:tcPr>
                <w:p w14:paraId="582046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w:t>
                  </w:r>
                </w:p>
              </w:tc>
              <w:tc>
                <w:tcPr>
                  <w:tcW w:w="398" w:type="pct"/>
                  <w:vAlign w:val="center"/>
                </w:tcPr>
                <w:p w14:paraId="5F4FBB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27.3</w:t>
                  </w:r>
                </w:p>
              </w:tc>
              <w:tc>
                <w:tcPr>
                  <w:tcW w:w="475" w:type="pct"/>
                  <w:vAlign w:val="center"/>
                </w:tcPr>
                <w:p w14:paraId="652531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28.6</w:t>
                  </w:r>
                </w:p>
              </w:tc>
              <w:tc>
                <w:tcPr>
                  <w:tcW w:w="431" w:type="pct"/>
                  <w:vAlign w:val="center"/>
                </w:tcPr>
                <w:p w14:paraId="38ABEF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37.1</w:t>
                  </w:r>
                </w:p>
              </w:tc>
              <w:tc>
                <w:tcPr>
                  <w:tcW w:w="485" w:type="pct"/>
                  <w:vAlign w:val="center"/>
                </w:tcPr>
                <w:p w14:paraId="46AAEA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43.2</w:t>
                  </w:r>
                </w:p>
              </w:tc>
            </w:tr>
            <w:tr w14:paraId="31D1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shd w:val="clear" w:color="auto" w:fill="auto"/>
                  <w:vAlign w:val="center"/>
                </w:tcPr>
                <w:p w14:paraId="789E8F2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布袋除尘器</w:t>
                  </w:r>
                </w:p>
              </w:tc>
              <w:tc>
                <w:tcPr>
                  <w:tcW w:w="640" w:type="pct"/>
                  <w:shd w:val="clear" w:color="auto" w:fill="auto"/>
                  <w:vAlign w:val="center"/>
                </w:tcPr>
                <w:p w14:paraId="1BB0040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64</w:t>
                  </w:r>
                </w:p>
              </w:tc>
              <w:tc>
                <w:tcPr>
                  <w:tcW w:w="487" w:type="pct"/>
                  <w:vAlign w:val="center"/>
                </w:tcPr>
                <w:p w14:paraId="59F0B1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124</w:t>
                  </w:r>
                </w:p>
              </w:tc>
              <w:tc>
                <w:tcPr>
                  <w:tcW w:w="419" w:type="pct"/>
                  <w:vAlign w:val="center"/>
                </w:tcPr>
                <w:p w14:paraId="3BCA2C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124</w:t>
                  </w:r>
                </w:p>
              </w:tc>
              <w:tc>
                <w:tcPr>
                  <w:tcW w:w="376" w:type="pct"/>
                  <w:vAlign w:val="center"/>
                </w:tcPr>
                <w:p w14:paraId="5D285C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56</w:t>
                  </w:r>
                </w:p>
              </w:tc>
              <w:tc>
                <w:tcPr>
                  <w:tcW w:w="375" w:type="pct"/>
                  <w:vAlign w:val="center"/>
                </w:tcPr>
                <w:p w14:paraId="70C2EC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16</w:t>
                  </w:r>
                </w:p>
              </w:tc>
              <w:tc>
                <w:tcPr>
                  <w:tcW w:w="398" w:type="pct"/>
                  <w:vAlign w:val="center"/>
                </w:tcPr>
                <w:p w14:paraId="1C2D4F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22.1</w:t>
                  </w:r>
                </w:p>
              </w:tc>
              <w:tc>
                <w:tcPr>
                  <w:tcW w:w="475" w:type="pct"/>
                  <w:vAlign w:val="center"/>
                </w:tcPr>
                <w:p w14:paraId="242EE5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22.1</w:t>
                  </w:r>
                </w:p>
              </w:tc>
              <w:tc>
                <w:tcPr>
                  <w:tcW w:w="431" w:type="pct"/>
                  <w:vAlign w:val="center"/>
                </w:tcPr>
                <w:p w14:paraId="767E77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29.0</w:t>
                  </w:r>
                </w:p>
              </w:tc>
              <w:tc>
                <w:tcPr>
                  <w:tcW w:w="485" w:type="pct"/>
                  <w:vAlign w:val="center"/>
                </w:tcPr>
                <w:p w14:paraId="37A679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39.9</w:t>
                  </w:r>
                </w:p>
              </w:tc>
            </w:tr>
            <w:tr w14:paraId="1D05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9" w:type="pct"/>
                  <w:gridSpan w:val="2"/>
                  <w:shd w:val="clear" w:color="auto" w:fill="auto"/>
                  <w:vAlign w:val="center"/>
                </w:tcPr>
                <w:p w14:paraId="62A34D9F">
                  <w:pPr>
                    <w:keepNext w:val="0"/>
                    <w:keepLines w:val="0"/>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b/>
                      <w:bCs/>
                      <w:color w:val="auto"/>
                      <w:lang w:val="en-US" w:eastAsia="zh-CN"/>
                    </w:rPr>
                    <w:t>噪声贡献值</w:t>
                  </w:r>
                  <w:r>
                    <w:rPr>
                      <w:rFonts w:hint="default" w:ascii="Times New Roman" w:hAnsi="Times New Roman" w:eastAsia="宋体" w:cs="Times New Roman"/>
                      <w:b/>
                      <w:bCs/>
                      <w:color w:val="auto"/>
                    </w:rPr>
                    <w:t>dB</w:t>
                  </w:r>
                  <w:r>
                    <w:rPr>
                      <w:rFonts w:hint="eastAsia" w:cs="Times New Roman"/>
                      <w:b/>
                      <w:bCs/>
                      <w:color w:val="auto"/>
                      <w:lang w:eastAsia="zh-CN"/>
                    </w:rPr>
                    <w:t>（</w:t>
                  </w:r>
                  <w:r>
                    <w:rPr>
                      <w:rFonts w:hint="default" w:ascii="Times New Roman" w:hAnsi="Times New Roman" w:eastAsia="宋体" w:cs="Times New Roman"/>
                      <w:b/>
                      <w:bCs/>
                      <w:color w:val="auto"/>
                    </w:rPr>
                    <w:t>A</w:t>
                  </w:r>
                  <w:r>
                    <w:rPr>
                      <w:rFonts w:hint="eastAsia" w:cs="Times New Roman"/>
                      <w:b/>
                      <w:bCs/>
                      <w:color w:val="auto"/>
                      <w:lang w:eastAsia="zh-CN"/>
                    </w:rPr>
                    <w:t>）</w:t>
                  </w:r>
                </w:p>
              </w:tc>
              <w:tc>
                <w:tcPr>
                  <w:tcW w:w="487" w:type="pct"/>
                  <w:vAlign w:val="center"/>
                </w:tcPr>
                <w:p w14:paraId="1F115EC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419" w:type="pct"/>
                  <w:vAlign w:val="center"/>
                </w:tcPr>
                <w:p w14:paraId="6AC2A73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376" w:type="pct"/>
                  <w:vAlign w:val="center"/>
                </w:tcPr>
                <w:p w14:paraId="6F9DFBC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375" w:type="pct"/>
                  <w:vAlign w:val="center"/>
                </w:tcPr>
                <w:p w14:paraId="49B8DBB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398" w:type="pct"/>
                  <w:vAlign w:val="center"/>
                </w:tcPr>
                <w:p w14:paraId="286196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34.0</w:t>
                  </w:r>
                </w:p>
              </w:tc>
              <w:tc>
                <w:tcPr>
                  <w:tcW w:w="475" w:type="pct"/>
                  <w:vAlign w:val="center"/>
                </w:tcPr>
                <w:p w14:paraId="358CAD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37.9</w:t>
                  </w:r>
                </w:p>
              </w:tc>
              <w:tc>
                <w:tcPr>
                  <w:tcW w:w="431" w:type="pct"/>
                  <w:vAlign w:val="center"/>
                </w:tcPr>
                <w:p w14:paraId="741BE7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44.7</w:t>
                  </w:r>
                </w:p>
              </w:tc>
              <w:tc>
                <w:tcPr>
                  <w:tcW w:w="485" w:type="pct"/>
                  <w:vAlign w:val="center"/>
                </w:tcPr>
                <w:p w14:paraId="32559D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46.2</w:t>
                  </w:r>
                </w:p>
              </w:tc>
            </w:tr>
            <w:tr w14:paraId="40C4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08" w:type="pct"/>
                  <w:vMerge w:val="restart"/>
                  <w:shd w:val="clear" w:color="auto" w:fill="auto"/>
                  <w:vAlign w:val="center"/>
                </w:tcPr>
                <w:p w14:paraId="55490402">
                  <w:pPr>
                    <w:keepNext w:val="0"/>
                    <w:keepLines w:val="0"/>
                    <w:suppressLineNumbers w:val="0"/>
                    <w:spacing w:before="0" w:beforeAutospacing="0" w:after="0" w:afterAutospacing="0"/>
                    <w:ind w:left="0" w:right="0"/>
                    <w:jc w:val="center"/>
                    <w:textAlignment w:val="center"/>
                    <w:rPr>
                      <w:rFonts w:hint="eastAsia" w:ascii="Times New Roman" w:hAnsi="Times New Roman" w:eastAsia="宋体" w:cs="Times New Roman"/>
                      <w:b w:val="0"/>
                      <w:bCs/>
                      <w:color w:val="auto"/>
                      <w:sz w:val="21"/>
                      <w:szCs w:val="21"/>
                      <w:highlight w:val="none"/>
                      <w:lang w:val="en-US" w:eastAsia="zh-CN"/>
                    </w:rPr>
                  </w:pPr>
                  <w:r>
                    <w:rPr>
                      <w:rFonts w:hint="eastAsia" w:cs="Times New Roman"/>
                      <w:b/>
                      <w:bCs/>
                      <w:color w:val="auto"/>
                      <w:lang w:val="en-US" w:eastAsia="zh-CN"/>
                    </w:rPr>
                    <w:t>标准</w:t>
                  </w:r>
                  <w:r>
                    <w:rPr>
                      <w:rFonts w:hint="default" w:ascii="Times New Roman" w:hAnsi="Times New Roman" w:eastAsia="宋体" w:cs="Times New Roman"/>
                      <w:b/>
                      <w:bCs/>
                      <w:color w:val="auto"/>
                    </w:rPr>
                    <w:t>dB</w:t>
                  </w:r>
                  <w:r>
                    <w:rPr>
                      <w:rFonts w:hint="eastAsia" w:cs="Times New Roman"/>
                      <w:b/>
                      <w:bCs/>
                      <w:color w:val="auto"/>
                      <w:lang w:eastAsia="zh-CN"/>
                    </w:rPr>
                    <w:t>（</w:t>
                  </w:r>
                  <w:r>
                    <w:rPr>
                      <w:rFonts w:hint="default" w:ascii="Times New Roman" w:hAnsi="Times New Roman" w:eastAsia="宋体" w:cs="Times New Roman"/>
                      <w:b/>
                      <w:bCs/>
                      <w:color w:val="auto"/>
                    </w:rPr>
                    <w:t>A</w:t>
                  </w:r>
                  <w:r>
                    <w:rPr>
                      <w:rFonts w:hint="eastAsia" w:cs="Times New Roman"/>
                      <w:b/>
                      <w:bCs/>
                      <w:color w:val="auto"/>
                      <w:lang w:eastAsia="zh-CN"/>
                    </w:rPr>
                    <w:t>）</w:t>
                  </w:r>
                </w:p>
              </w:tc>
              <w:tc>
                <w:tcPr>
                  <w:tcW w:w="640" w:type="pct"/>
                  <w:shd w:val="clear" w:color="auto" w:fill="auto"/>
                  <w:vAlign w:val="center"/>
                </w:tcPr>
                <w:p w14:paraId="6D50EC82">
                  <w:pPr>
                    <w:keepNext w:val="0"/>
                    <w:keepLines w:val="0"/>
                    <w:suppressLineNumbers w:val="0"/>
                    <w:spacing w:before="0" w:beforeAutospacing="0" w:after="0" w:afterAutospacing="0"/>
                    <w:ind w:left="0" w:right="0"/>
                    <w:jc w:val="center"/>
                    <w:textAlignment w:val="center"/>
                    <w:rPr>
                      <w:rFonts w:hint="eastAsia" w:ascii="Times New Roman" w:hAnsi="Times New Roman" w:eastAsia="宋体" w:cs="Times New Roman"/>
                      <w:b/>
                      <w:bCs/>
                      <w:color w:val="auto"/>
                      <w:kern w:val="0"/>
                      <w:sz w:val="21"/>
                      <w:szCs w:val="21"/>
                      <w:highlight w:val="none"/>
                      <w:lang w:val="en-US" w:eastAsia="zh-CN"/>
                    </w:rPr>
                  </w:pPr>
                  <w:r>
                    <w:rPr>
                      <w:rFonts w:hint="eastAsia" w:ascii="Times New Roman" w:hAnsi="Times New Roman" w:cs="Times New Roman"/>
                      <w:b/>
                      <w:bCs/>
                      <w:color w:val="auto"/>
                      <w:sz w:val="21"/>
                      <w:lang w:val="en-US" w:eastAsia="zh-CN"/>
                    </w:rPr>
                    <w:t>昼间6</w:t>
                  </w:r>
                  <w:r>
                    <w:rPr>
                      <w:rFonts w:hint="eastAsia" w:cs="Times New Roman"/>
                      <w:b/>
                      <w:bCs/>
                      <w:color w:val="auto"/>
                      <w:sz w:val="21"/>
                      <w:lang w:val="en-US" w:eastAsia="zh-CN"/>
                    </w:rPr>
                    <w:t>0</w:t>
                  </w:r>
                </w:p>
              </w:tc>
              <w:tc>
                <w:tcPr>
                  <w:tcW w:w="487" w:type="pct"/>
                  <w:vAlign w:val="center"/>
                </w:tcPr>
                <w:p w14:paraId="3AB7177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419" w:type="pct"/>
                  <w:vAlign w:val="center"/>
                </w:tcPr>
                <w:p w14:paraId="20FCF7A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376" w:type="pct"/>
                  <w:vAlign w:val="center"/>
                </w:tcPr>
                <w:p w14:paraId="46EDEB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375" w:type="pct"/>
                  <w:vAlign w:val="center"/>
                </w:tcPr>
                <w:p w14:paraId="00FAE8B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398" w:type="pct"/>
                  <w:vAlign w:val="center"/>
                </w:tcPr>
                <w:p w14:paraId="5FEEA6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达标</w:t>
                  </w:r>
                </w:p>
              </w:tc>
              <w:tc>
                <w:tcPr>
                  <w:tcW w:w="475" w:type="pct"/>
                  <w:vAlign w:val="center"/>
                </w:tcPr>
                <w:p w14:paraId="793FF1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达标</w:t>
                  </w:r>
                </w:p>
              </w:tc>
              <w:tc>
                <w:tcPr>
                  <w:tcW w:w="431" w:type="pct"/>
                  <w:vAlign w:val="center"/>
                </w:tcPr>
                <w:p w14:paraId="157E05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达标</w:t>
                  </w:r>
                </w:p>
              </w:tc>
              <w:tc>
                <w:tcPr>
                  <w:tcW w:w="485" w:type="pct"/>
                  <w:vAlign w:val="center"/>
                </w:tcPr>
                <w:p w14:paraId="112F1A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达标</w:t>
                  </w:r>
                </w:p>
              </w:tc>
            </w:tr>
            <w:tr w14:paraId="0187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pct"/>
                  <w:vMerge w:val="continue"/>
                  <w:shd w:val="clear" w:color="auto" w:fill="auto"/>
                  <w:vAlign w:val="center"/>
                </w:tcPr>
                <w:p w14:paraId="5BB7F8DF">
                  <w:pPr>
                    <w:keepNext w:val="0"/>
                    <w:keepLines w:val="0"/>
                    <w:suppressLineNumbers w:val="0"/>
                    <w:spacing w:before="0" w:beforeAutospacing="0" w:after="0" w:afterAutospacing="0"/>
                    <w:ind w:left="0" w:right="0"/>
                    <w:jc w:val="center"/>
                    <w:textAlignment w:val="center"/>
                    <w:rPr>
                      <w:rFonts w:hint="eastAsia" w:cs="Times New Roman"/>
                      <w:b/>
                      <w:bCs/>
                      <w:color w:val="auto"/>
                      <w:lang w:val="en-US" w:eastAsia="zh-CN"/>
                    </w:rPr>
                  </w:pPr>
                </w:p>
              </w:tc>
              <w:tc>
                <w:tcPr>
                  <w:tcW w:w="640" w:type="pct"/>
                  <w:shd w:val="clear" w:color="auto" w:fill="auto"/>
                  <w:vAlign w:val="center"/>
                </w:tcPr>
                <w:p w14:paraId="1924059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color w:val="auto"/>
                      <w:sz w:val="21"/>
                      <w:lang w:val="en-US" w:eastAsia="zh-CN"/>
                    </w:rPr>
                  </w:pPr>
                  <w:r>
                    <w:rPr>
                      <w:rFonts w:hint="eastAsia" w:ascii="Times New Roman" w:hAnsi="Times New Roman" w:cs="Times New Roman"/>
                      <w:b/>
                      <w:bCs/>
                      <w:color w:val="auto"/>
                      <w:sz w:val="21"/>
                      <w:lang w:val="en-US" w:eastAsia="zh-CN"/>
                    </w:rPr>
                    <w:t>夜间</w:t>
                  </w:r>
                  <w:r>
                    <w:rPr>
                      <w:rFonts w:hint="eastAsia" w:cs="Times New Roman"/>
                      <w:b/>
                      <w:bCs/>
                      <w:color w:val="auto"/>
                      <w:sz w:val="21"/>
                      <w:lang w:val="en-US" w:eastAsia="zh-CN"/>
                    </w:rPr>
                    <w:t>50</w:t>
                  </w:r>
                </w:p>
              </w:tc>
              <w:tc>
                <w:tcPr>
                  <w:tcW w:w="487" w:type="pct"/>
                  <w:vAlign w:val="center"/>
                </w:tcPr>
                <w:p w14:paraId="11C5052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419" w:type="pct"/>
                  <w:vAlign w:val="center"/>
                </w:tcPr>
                <w:p w14:paraId="0E0A86D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376" w:type="pct"/>
                  <w:vAlign w:val="center"/>
                </w:tcPr>
                <w:p w14:paraId="704DC93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375" w:type="pct"/>
                  <w:vAlign w:val="center"/>
                </w:tcPr>
                <w:p w14:paraId="0796E6B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宋体"/>
                      <w:i w:val="0"/>
                      <w:iCs w:val="0"/>
                      <w:color w:val="auto"/>
                      <w:kern w:val="0"/>
                      <w:sz w:val="21"/>
                      <w:szCs w:val="21"/>
                      <w:u w:val="none"/>
                      <w:lang w:val="en-US" w:eastAsia="zh-CN" w:bidi="ar"/>
                    </w:rPr>
                  </w:pPr>
                </w:p>
              </w:tc>
              <w:tc>
                <w:tcPr>
                  <w:tcW w:w="651" w:type="dxa"/>
                  <w:vAlign w:val="center"/>
                </w:tcPr>
                <w:p w14:paraId="33C14E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达标</w:t>
                  </w:r>
                </w:p>
              </w:tc>
              <w:tc>
                <w:tcPr>
                  <w:tcW w:w="777" w:type="dxa"/>
                  <w:vAlign w:val="center"/>
                </w:tcPr>
                <w:p w14:paraId="24BCDB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达标</w:t>
                  </w:r>
                </w:p>
              </w:tc>
              <w:tc>
                <w:tcPr>
                  <w:tcW w:w="705" w:type="dxa"/>
                  <w:vAlign w:val="center"/>
                </w:tcPr>
                <w:p w14:paraId="2C7819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达标</w:t>
                  </w:r>
                </w:p>
              </w:tc>
              <w:tc>
                <w:tcPr>
                  <w:tcW w:w="793" w:type="dxa"/>
                  <w:vAlign w:val="center"/>
                </w:tcPr>
                <w:p w14:paraId="5B30BD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宋体"/>
                      <w:i w:val="0"/>
                      <w:iCs w:val="0"/>
                      <w:color w:val="auto"/>
                      <w:kern w:val="0"/>
                      <w:sz w:val="21"/>
                      <w:szCs w:val="21"/>
                      <w:u w:val="none"/>
                      <w:lang w:val="en-US" w:eastAsia="zh-CN" w:bidi="ar"/>
                    </w:rPr>
                  </w:pPr>
                  <w:r>
                    <w:rPr>
                      <w:rFonts w:hint="eastAsia" w:ascii="Times New Roman" w:hAnsi="Times New Roman" w:eastAsia="宋体" w:cs="宋体"/>
                      <w:i w:val="0"/>
                      <w:iCs w:val="0"/>
                      <w:color w:val="auto"/>
                      <w:kern w:val="0"/>
                      <w:sz w:val="21"/>
                      <w:szCs w:val="21"/>
                      <w:u w:val="none"/>
                      <w:lang w:val="en-US" w:eastAsia="zh-CN" w:bidi="ar"/>
                    </w:rPr>
                    <w:t>达标</w:t>
                  </w:r>
                </w:p>
              </w:tc>
            </w:tr>
          </w:tbl>
          <w:p w14:paraId="7DCE025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由上表可知，设备噪声经阻隔和距离衰减后，各噪声设备对厂界的噪声贡献值均能够满足《工业企业厂界环境噪声排放标准》</w:t>
            </w:r>
            <w:r>
              <w:rPr>
                <w:rFonts w:hint="eastAsia"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en-US" w:eastAsia="zh-CN" w:bidi="ar-SA"/>
              </w:rPr>
              <w:t>GB</w:t>
            </w:r>
            <w:r>
              <w:rPr>
                <w:rFonts w:hint="eastAsia" w:cs="Times New Roman"/>
                <w:color w:val="auto"/>
                <w:kern w:val="0"/>
                <w:sz w:val="24"/>
                <w:szCs w:val="20"/>
                <w:lang w:val="en-US" w:eastAsia="zh-CN" w:bidi="ar-SA"/>
              </w:rPr>
              <w:t xml:space="preserve"> </w:t>
            </w:r>
            <w:r>
              <w:rPr>
                <w:rFonts w:hint="default" w:ascii="Times New Roman" w:hAnsi="Times New Roman" w:eastAsia="宋体" w:cs="Times New Roman"/>
                <w:color w:val="auto"/>
                <w:kern w:val="0"/>
                <w:sz w:val="24"/>
                <w:szCs w:val="20"/>
                <w:lang w:val="en-US" w:eastAsia="zh-CN" w:bidi="ar-SA"/>
              </w:rPr>
              <w:t>12348-2008</w:t>
            </w:r>
            <w:r>
              <w:rPr>
                <w:rFonts w:hint="eastAsia" w:cs="Times New Roman"/>
                <w:color w:val="auto"/>
                <w:kern w:val="0"/>
                <w:sz w:val="24"/>
                <w:szCs w:val="20"/>
                <w:lang w:val="en-US" w:eastAsia="zh-CN" w:bidi="ar-SA"/>
              </w:rPr>
              <w:t>）2</w:t>
            </w:r>
            <w:r>
              <w:rPr>
                <w:rFonts w:hint="default" w:ascii="Times New Roman" w:hAnsi="Times New Roman" w:eastAsia="宋体" w:cs="Times New Roman"/>
                <w:color w:val="auto"/>
                <w:kern w:val="0"/>
                <w:sz w:val="24"/>
                <w:szCs w:val="20"/>
                <w:lang w:val="en-US" w:eastAsia="zh-CN" w:bidi="ar-SA"/>
              </w:rPr>
              <w:t>类标准，总体来说项目运营后噪声对周围环境影响较轻，噪声对周围环境影响较小，其措施可行。</w:t>
            </w:r>
          </w:p>
          <w:p w14:paraId="23764CDF">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auto"/>
                <w:kern w:val="0"/>
                <w:sz w:val="24"/>
                <w:szCs w:val="20"/>
                <w:lang w:bidi="ar"/>
              </w:rPr>
            </w:pPr>
            <w:r>
              <w:rPr>
                <w:rFonts w:hint="default" w:ascii="Times New Roman" w:hAnsi="Times New Roman" w:eastAsia="宋体" w:cs="Times New Roman"/>
                <w:b/>
                <w:color w:val="auto"/>
                <w:kern w:val="0"/>
                <w:sz w:val="24"/>
                <w:szCs w:val="20"/>
                <w:lang w:bidi="ar"/>
              </w:rPr>
              <w:t>3.</w:t>
            </w:r>
            <w:r>
              <w:rPr>
                <w:rFonts w:hint="eastAsia" w:cs="Times New Roman"/>
                <w:b/>
                <w:color w:val="auto"/>
                <w:kern w:val="0"/>
                <w:sz w:val="24"/>
                <w:szCs w:val="20"/>
                <w:lang w:val="en-US" w:eastAsia="zh-CN" w:bidi="ar"/>
              </w:rPr>
              <w:t xml:space="preserve">4 </w:t>
            </w:r>
            <w:r>
              <w:rPr>
                <w:rFonts w:hint="default" w:ascii="Times New Roman" w:hAnsi="Times New Roman" w:eastAsia="宋体" w:cs="Times New Roman"/>
                <w:b/>
                <w:color w:val="auto"/>
                <w:kern w:val="0"/>
                <w:sz w:val="24"/>
                <w:szCs w:val="20"/>
                <w:lang w:bidi="ar"/>
              </w:rPr>
              <w:t>噪声防治措施分析</w:t>
            </w:r>
          </w:p>
          <w:p w14:paraId="316BEFE4">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总平</w:t>
            </w:r>
            <w:r>
              <w:rPr>
                <w:rFonts w:hint="default" w:ascii="Times New Roman" w:hAnsi="Times New Roman" w:eastAsia="宋体" w:cs="Times New Roman"/>
                <w:color w:val="auto"/>
                <w:sz w:val="24"/>
                <w:szCs w:val="24"/>
                <w:lang w:val="en-US" w:eastAsia="zh-CN"/>
              </w:rPr>
              <w:t>面</w:t>
            </w:r>
            <w:r>
              <w:rPr>
                <w:rFonts w:hint="default" w:ascii="Times New Roman" w:hAnsi="Times New Roman" w:eastAsia="宋体" w:cs="Times New Roman"/>
                <w:color w:val="auto"/>
                <w:sz w:val="24"/>
                <w:szCs w:val="24"/>
              </w:rPr>
              <w:t>布置</w:t>
            </w:r>
          </w:p>
          <w:p w14:paraId="5C6E5414">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根据总平面布置的实际情况，通过距离衰减达到降噪目的</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在总体布置上利用建筑物、构筑物来阻隔声波的传播。</w:t>
            </w:r>
          </w:p>
          <w:p w14:paraId="2F217176">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加强治理</w:t>
            </w:r>
          </w:p>
          <w:p w14:paraId="26ACF7AB">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对于空气动力性噪声的机械设备，如风机等进出风口加装消声器。具体到主要生产设施的防治措施具体如下：</w:t>
            </w:r>
          </w:p>
          <w:p w14:paraId="04C02523">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①在设备选型上，首先选用装备先进的低噪音设备，并采取适当的降噪措施，如机组基础设置衬垫，使之与建筑结构隔开。</w:t>
            </w:r>
          </w:p>
          <w:p w14:paraId="374ED44D">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②引风机加单腔式隔音层型隔音罩及减振，风机进出口安装消声器、风机和管道连接采用软连接以及在基础配备减</w:t>
            </w:r>
            <w:r>
              <w:rPr>
                <w:rFonts w:hint="eastAsia" w:ascii="Times New Roman" w:hAnsi="Times New Roman" w:cs="Times New Roman"/>
                <w:color w:val="auto"/>
                <w:sz w:val="24"/>
                <w:szCs w:val="24"/>
                <w:lang w:val="en-US" w:eastAsia="zh-CN"/>
              </w:rPr>
              <w:t>振</w:t>
            </w:r>
            <w:r>
              <w:rPr>
                <w:rFonts w:hint="default" w:ascii="Times New Roman" w:hAnsi="Times New Roman" w:eastAsia="宋体" w:cs="Times New Roman"/>
                <w:color w:val="auto"/>
                <w:sz w:val="24"/>
                <w:szCs w:val="24"/>
              </w:rPr>
              <w:t>基座。</w:t>
            </w:r>
          </w:p>
          <w:p w14:paraId="49661B60">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③在设备设计中，注意防</w:t>
            </w:r>
            <w:r>
              <w:rPr>
                <w:rFonts w:hint="eastAsia" w:ascii="Times New Roman" w:hAnsi="Times New Roman" w:cs="Times New Roman"/>
                <w:color w:val="auto"/>
                <w:sz w:val="24"/>
                <w:szCs w:val="24"/>
                <w:lang w:val="en-US" w:eastAsia="zh-CN"/>
              </w:rPr>
              <w:t>震</w:t>
            </w:r>
            <w:r>
              <w:rPr>
                <w:rFonts w:hint="default" w:ascii="Times New Roman" w:hAnsi="Times New Roman" w:eastAsia="宋体" w:cs="Times New Roman"/>
                <w:color w:val="auto"/>
                <w:sz w:val="24"/>
                <w:szCs w:val="24"/>
              </w:rPr>
              <w:t>、防冲击，以减轻振动噪声，并应注意改善气体输送时流场状况，以减少空气动力噪声，同时在管道外隔声包扎。</w:t>
            </w:r>
          </w:p>
          <w:p w14:paraId="53C97FA0">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④进出厂区的运输车辆满足汽车环保标准。</w:t>
            </w:r>
          </w:p>
          <w:p w14:paraId="3A018348">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加强管理</w:t>
            </w:r>
          </w:p>
          <w:p w14:paraId="4313587A">
            <w:pPr>
              <w:pStyle w:val="2"/>
              <w:keepNext w:val="0"/>
              <w:keepLines w:val="0"/>
              <w:suppressLineNumbers w:val="0"/>
              <w:adjustRightInd/>
              <w:spacing w:before="0" w:beforeAutospacing="0" w:after="0" w:afterAutospacing="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rPr>
              <w:t>建立设备定期维护，保养的管理制度，以防止设备故障形成的非正常生产噪声，同时确保环保措施发挥最有效的功能；加强职工环保意识教育，提倡文明生产，防止人为噪声；强化行车管理制度，设置降噪标准，严禁鸣笛，进入厂区低速行驶，最大限度减少流动噪声源。</w:t>
            </w:r>
          </w:p>
          <w:p w14:paraId="0270F35D">
            <w:pPr>
              <w:pStyle w:val="69"/>
              <w:keepNext w:val="0"/>
              <w:keepLines w:val="0"/>
              <w:suppressLineNumbers w:val="0"/>
              <w:adjustRightInd/>
              <w:snapToGrid/>
              <w:spacing w:before="0" w:beforeAutospacing="0" w:after="0" w:afterAutospacing="0" w:line="360" w:lineRule="auto"/>
              <w:ind w:left="0" w:right="0" w:firstLine="482" w:firstLineChars="200"/>
              <w:rPr>
                <w:rFonts w:hint="eastAsia" w:eastAsia="宋体" w:cs="Times New Roman"/>
                <w:b/>
                <w:bCs/>
                <w:color w:val="auto"/>
                <w:sz w:val="24"/>
                <w:szCs w:val="24"/>
                <w:lang w:val="en-US" w:eastAsia="zh-CN"/>
              </w:rPr>
            </w:pPr>
            <w:r>
              <w:rPr>
                <w:rFonts w:hint="eastAsia" w:eastAsia="宋体" w:cs="Times New Roman"/>
                <w:b/>
                <w:bCs/>
                <w:color w:val="auto"/>
                <w:sz w:val="24"/>
                <w:szCs w:val="24"/>
                <w:lang w:val="en-US" w:eastAsia="zh-CN"/>
              </w:rPr>
              <w:t>3.5 监测要求</w:t>
            </w:r>
          </w:p>
          <w:p w14:paraId="01117B3D">
            <w:pPr>
              <w:pStyle w:val="69"/>
              <w:keepNext w:val="0"/>
              <w:keepLines w:val="0"/>
              <w:suppressLineNumbers w:val="0"/>
              <w:adjustRightInd/>
              <w:snapToGrid/>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kern w:val="2"/>
                <w:sz w:val="24"/>
                <w:szCs w:val="24"/>
                <w:lang w:val="en-US" w:eastAsia="zh-CN" w:bidi="ar-SA"/>
              </w:rPr>
              <w:t>根据《</w:t>
            </w:r>
            <w:r>
              <w:rPr>
                <w:rFonts w:hint="default" w:ascii="Times New Roman" w:hAnsi="Times New Roman" w:eastAsia="宋体" w:cs="Times New Roman"/>
                <w:color w:val="auto"/>
                <w:kern w:val="2"/>
                <w:sz w:val="24"/>
                <w:szCs w:val="24"/>
                <w:lang w:val="en-US" w:eastAsia="zh-CN" w:bidi="ar-SA"/>
              </w:rPr>
              <w:t>排污单位自行监测技术指南火力发电及锅炉》</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HJ820-2017</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《排污单位自行监测技术指南 总则》（HJ819-2017）</w:t>
            </w:r>
            <w:r>
              <w:rPr>
                <w:rFonts w:hint="eastAsia" w:ascii="Times New Roman" w:hAnsi="Times New Roman" w:eastAsia="宋体" w:cs="Times New Roman"/>
                <w:color w:val="auto"/>
                <w:kern w:val="2"/>
                <w:sz w:val="24"/>
                <w:szCs w:val="24"/>
                <w:lang w:val="en-US" w:eastAsia="zh-CN" w:bidi="ar-SA"/>
              </w:rPr>
              <w:t>，</w:t>
            </w:r>
            <w:r>
              <w:rPr>
                <w:rFonts w:hint="eastAsia" w:eastAsia="宋体" w:cs="Times New Roman"/>
                <w:color w:val="auto"/>
                <w:kern w:val="2"/>
                <w:sz w:val="24"/>
                <w:szCs w:val="24"/>
                <w:lang w:val="en-US" w:eastAsia="zh-CN" w:bidi="ar-SA"/>
              </w:rPr>
              <w:t>厂界环境噪声每季度至少开展一次昼夜监测，周边有敏感点的应提高监测频次。</w:t>
            </w:r>
            <w:r>
              <w:rPr>
                <w:rFonts w:hint="default" w:ascii="Times New Roman" w:hAnsi="Times New Roman" w:eastAsia="宋体" w:cs="Times New Roman"/>
                <w:color w:val="auto"/>
                <w:kern w:val="2"/>
                <w:sz w:val="24"/>
                <w:szCs w:val="24"/>
                <w:lang w:val="en-US" w:eastAsia="zh-CN" w:bidi="ar-SA"/>
              </w:rPr>
              <w:t>本项</w:t>
            </w:r>
            <w:r>
              <w:rPr>
                <w:rFonts w:hint="default" w:ascii="Times New Roman" w:hAnsi="Times New Roman" w:eastAsia="宋体" w:cs="Times New Roman"/>
                <w:color w:val="auto"/>
                <w:sz w:val="24"/>
                <w:szCs w:val="24"/>
                <w:lang w:val="en-US"/>
              </w:rPr>
              <w:t>目</w:t>
            </w:r>
            <w:r>
              <w:rPr>
                <w:rFonts w:hint="eastAsia" w:eastAsia="宋体" w:cs="Times New Roman"/>
                <w:color w:val="auto"/>
                <w:sz w:val="24"/>
                <w:szCs w:val="24"/>
                <w:lang w:val="en-US" w:eastAsia="zh-CN"/>
              </w:rPr>
              <w:t>周边无环境敏感点，</w:t>
            </w:r>
            <w:r>
              <w:rPr>
                <w:rFonts w:hint="default" w:ascii="Times New Roman" w:hAnsi="Times New Roman" w:eastAsia="宋体" w:cs="Times New Roman"/>
                <w:color w:val="auto"/>
                <w:sz w:val="24"/>
                <w:szCs w:val="24"/>
                <w:lang w:val="en-US"/>
              </w:rPr>
              <w:t>噪声监测计划详见表</w:t>
            </w:r>
            <w:r>
              <w:rPr>
                <w:rFonts w:hint="eastAsia" w:ascii="Times New Roman" w:hAnsi="Times New Roman" w:eastAsia="宋体" w:cs="Times New Roman"/>
                <w:color w:val="auto"/>
                <w:sz w:val="24"/>
                <w:szCs w:val="24"/>
                <w:lang w:val="en-US" w:eastAsia="zh-CN"/>
              </w:rPr>
              <w:t>4-</w:t>
            </w:r>
            <w:r>
              <w:rPr>
                <w:rFonts w:hint="eastAsia" w:eastAsia="宋体" w:cs="Times New Roman"/>
                <w:color w:val="auto"/>
                <w:sz w:val="24"/>
                <w:szCs w:val="24"/>
                <w:lang w:val="en-US" w:eastAsia="zh-CN"/>
              </w:rPr>
              <w:t>16</w:t>
            </w:r>
            <w:r>
              <w:rPr>
                <w:rFonts w:hint="default" w:ascii="Times New Roman" w:hAnsi="Times New Roman" w:eastAsia="宋体" w:cs="Times New Roman"/>
                <w:color w:val="auto"/>
                <w:sz w:val="24"/>
                <w:szCs w:val="24"/>
                <w:lang w:val="en-US"/>
              </w:rPr>
              <w:t>。</w:t>
            </w:r>
          </w:p>
          <w:p w14:paraId="428BDB42">
            <w:pPr>
              <w:pStyle w:val="117"/>
              <w:keepNext w:val="0"/>
              <w:keepLines w:val="0"/>
              <w:suppressLineNumbers w:val="0"/>
              <w:spacing w:before="0" w:beforeAutospacing="0" w:after="0" w:afterAutospacing="0" w:line="240" w:lineRule="auto"/>
              <w:ind w:left="0" w:right="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lang w:val="zh-CN"/>
              </w:rPr>
              <w:t>表</w:t>
            </w:r>
            <w:r>
              <w:rPr>
                <w:rFonts w:hint="eastAsia" w:ascii="Times New Roman" w:hAnsi="Times New Roman" w:eastAsia="宋体" w:cs="Times New Roman"/>
                <w:bCs w:val="0"/>
                <w:color w:val="auto"/>
                <w:lang w:val="en-US" w:eastAsia="zh-CN"/>
              </w:rPr>
              <w:t>4-</w:t>
            </w:r>
            <w:r>
              <w:rPr>
                <w:rFonts w:hint="eastAsia" w:ascii="Times New Roman" w:eastAsia="宋体" w:cs="Times New Roman"/>
                <w:bCs w:val="0"/>
                <w:color w:val="auto"/>
                <w:lang w:val="en-US" w:eastAsia="zh-CN"/>
              </w:rPr>
              <w:t>16</w:t>
            </w:r>
            <w:r>
              <w:rPr>
                <w:rFonts w:hint="default" w:ascii="Times New Roman" w:hAnsi="Times New Roman" w:eastAsia="宋体" w:cs="Times New Roman"/>
                <w:bCs w:val="0"/>
                <w:color w:val="auto"/>
              </w:rPr>
              <w:t xml:space="preserve">  项目噪声</w:t>
            </w:r>
            <w:r>
              <w:rPr>
                <w:rFonts w:hint="default" w:ascii="Times New Roman" w:hAnsi="Times New Roman" w:eastAsia="宋体" w:cs="Times New Roman"/>
                <w:bCs w:val="0"/>
                <w:color w:val="auto"/>
                <w:lang w:val="zh-CN"/>
              </w:rPr>
              <w:t>监测计划</w:t>
            </w:r>
            <w:r>
              <w:rPr>
                <w:rFonts w:hint="default" w:ascii="Times New Roman" w:hAnsi="Times New Roman" w:eastAsia="宋体" w:cs="Times New Roman"/>
                <w:bCs w:val="0"/>
                <w:color w:val="auto"/>
              </w:rPr>
              <w:t>一览表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856"/>
              <w:gridCol w:w="1317"/>
              <w:gridCol w:w="1172"/>
              <w:gridCol w:w="3104"/>
            </w:tblGrid>
            <w:tr w14:paraId="0948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6" w:type="dxa"/>
                  <w:noWrap w:val="0"/>
                  <w:vAlign w:val="center"/>
                </w:tcPr>
                <w:p w14:paraId="0025C39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类别</w:t>
                  </w:r>
                </w:p>
              </w:tc>
              <w:tc>
                <w:tcPr>
                  <w:tcW w:w="1802" w:type="dxa"/>
                  <w:noWrap w:val="0"/>
                  <w:vAlign w:val="center"/>
                </w:tcPr>
                <w:p w14:paraId="1C83F7E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监测因子</w:t>
                  </w:r>
                </w:p>
              </w:tc>
              <w:tc>
                <w:tcPr>
                  <w:tcW w:w="1278" w:type="dxa"/>
                  <w:noWrap w:val="0"/>
                  <w:vAlign w:val="center"/>
                </w:tcPr>
                <w:p w14:paraId="3F7095A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监测点位</w:t>
                  </w:r>
                </w:p>
              </w:tc>
              <w:tc>
                <w:tcPr>
                  <w:tcW w:w="1138" w:type="dxa"/>
                  <w:noWrap w:val="0"/>
                  <w:vAlign w:val="center"/>
                </w:tcPr>
                <w:p w14:paraId="00F58A4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监测频次</w:t>
                  </w:r>
                </w:p>
              </w:tc>
              <w:tc>
                <w:tcPr>
                  <w:tcW w:w="3012" w:type="dxa"/>
                  <w:noWrap w:val="0"/>
                  <w:vAlign w:val="center"/>
                </w:tcPr>
                <w:p w14:paraId="20DAB60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监测数据采集与处理</w:t>
                  </w:r>
                </w:p>
              </w:tc>
            </w:tr>
            <w:tr w14:paraId="1D10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6" w:type="dxa"/>
                  <w:noWrap w:val="0"/>
                  <w:vAlign w:val="center"/>
                </w:tcPr>
                <w:p w14:paraId="5A57BBB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噪声</w:t>
                  </w:r>
                </w:p>
              </w:tc>
              <w:tc>
                <w:tcPr>
                  <w:tcW w:w="1802" w:type="dxa"/>
                  <w:noWrap w:val="0"/>
                  <w:vAlign w:val="center"/>
                </w:tcPr>
                <w:p w14:paraId="736F93B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Leq（A</w:t>
                  </w:r>
                  <w:r>
                    <w:rPr>
                      <w:rFonts w:hint="eastAsia" w:cs="Times New Roman"/>
                      <w:color w:val="auto"/>
                      <w:szCs w:val="21"/>
                      <w:lang w:eastAsia="zh-CN"/>
                    </w:rPr>
                    <w:t>）</w:t>
                  </w:r>
                  <w:r>
                    <w:rPr>
                      <w:rFonts w:hint="default" w:ascii="Times New Roman" w:hAnsi="Times New Roman" w:eastAsia="宋体" w:cs="Times New Roman"/>
                      <w:color w:val="auto"/>
                      <w:szCs w:val="21"/>
                    </w:rPr>
                    <w:t>昼、夜</w:t>
                  </w:r>
                </w:p>
              </w:tc>
              <w:tc>
                <w:tcPr>
                  <w:tcW w:w="1278" w:type="dxa"/>
                  <w:noWrap w:val="0"/>
                  <w:vAlign w:val="center"/>
                </w:tcPr>
                <w:p w14:paraId="27E9C77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厂界四周</w:t>
                  </w:r>
                </w:p>
              </w:tc>
              <w:tc>
                <w:tcPr>
                  <w:tcW w:w="1138" w:type="dxa"/>
                  <w:noWrap w:val="0"/>
                  <w:vAlign w:val="center"/>
                </w:tcPr>
                <w:p w14:paraId="44CD3DD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1次/季度</w:t>
                  </w:r>
                </w:p>
              </w:tc>
              <w:tc>
                <w:tcPr>
                  <w:tcW w:w="3012" w:type="dxa"/>
                  <w:noWrap w:val="0"/>
                  <w:vAlign w:val="center"/>
                </w:tcPr>
                <w:p w14:paraId="623132D0">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rPr>
                    <w:t>《工业企业厂界环境噪声排放标准》（GB</w:t>
                  </w:r>
                  <w:r>
                    <w:rPr>
                      <w:rFonts w:hint="eastAsia" w:cs="Times New Roman"/>
                      <w:color w:val="auto"/>
                      <w:lang w:val="en-US" w:eastAsia="zh-CN"/>
                    </w:rPr>
                    <w:t xml:space="preserve"> </w:t>
                  </w:r>
                  <w:r>
                    <w:rPr>
                      <w:rFonts w:hint="default" w:ascii="Times New Roman" w:hAnsi="Times New Roman" w:eastAsia="宋体" w:cs="Times New Roman"/>
                      <w:color w:val="auto"/>
                    </w:rPr>
                    <w:t>12348-2008</w:t>
                  </w:r>
                  <w:r>
                    <w:rPr>
                      <w:rFonts w:hint="eastAsia" w:cs="Times New Roman"/>
                      <w:color w:val="auto"/>
                      <w:lang w:eastAsia="zh-CN"/>
                    </w:rPr>
                    <w:t>）</w:t>
                  </w:r>
                </w:p>
              </w:tc>
            </w:tr>
          </w:tbl>
          <w:p w14:paraId="1E0FDD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4、固体废物</w:t>
            </w:r>
          </w:p>
          <w:p w14:paraId="401573DA">
            <w:pPr>
              <w:pStyle w:val="90"/>
              <w:keepNext w:val="0"/>
              <w:keepLines w:val="0"/>
              <w:suppressLineNumbers w:val="0"/>
              <w:tabs>
                <w:tab w:val="left" w:pos="0"/>
              </w:tabs>
              <w:spacing w:beforeAutospacing="0" w:afterAutospacing="0"/>
              <w:ind w:left="0" w:firstLine="482"/>
              <w:rPr>
                <w:rFonts w:hint="default" w:ascii="Times New Roman" w:hAnsi="Times New Roman" w:eastAsia="宋体" w:cs="Times New Roman"/>
                <w:b/>
                <w:color w:val="auto"/>
              </w:rPr>
            </w:pPr>
            <w:r>
              <w:rPr>
                <w:rFonts w:hint="default" w:ascii="Times New Roman" w:hAnsi="Times New Roman" w:eastAsia="宋体" w:cs="Times New Roman"/>
                <w:b/>
                <w:color w:val="auto"/>
              </w:rPr>
              <w:t>4.1</w:t>
            </w:r>
            <w:r>
              <w:rPr>
                <w:rFonts w:hint="eastAsia" w:ascii="Times New Roman" w:hAnsi="Times New Roman" w:cs="Times New Roman"/>
                <w:b/>
                <w:color w:val="auto"/>
                <w:lang w:val="en-US" w:eastAsia="zh-CN"/>
              </w:rPr>
              <w:t xml:space="preserve"> </w:t>
            </w:r>
            <w:r>
              <w:rPr>
                <w:rFonts w:hint="default" w:ascii="Times New Roman" w:hAnsi="Times New Roman" w:eastAsia="宋体" w:cs="Times New Roman"/>
                <w:b/>
                <w:color w:val="auto"/>
              </w:rPr>
              <w:t>固体废物源强核算</w:t>
            </w:r>
          </w:p>
          <w:p w14:paraId="7AB672E6">
            <w:pPr>
              <w:pStyle w:val="118"/>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本项目的固体废物主要为</w:t>
            </w:r>
            <w:r>
              <w:rPr>
                <w:rFonts w:hint="eastAsia" w:ascii="Times New Roman" w:hAnsi="Times New Roman" w:cs="Times New Roman"/>
                <w:b w:val="0"/>
                <w:bCs w:val="0"/>
                <w:color w:val="auto"/>
                <w:sz w:val="24"/>
                <w:szCs w:val="24"/>
                <w:lang w:val="en-US" w:eastAsia="zh-CN"/>
              </w:rPr>
              <w:t>检修过程中产生的废机油、废机油桶、含油废手套、</w:t>
            </w:r>
            <w:r>
              <w:rPr>
                <w:rFonts w:hint="eastAsia" w:ascii="Times New Roman" w:hAnsi="Times New Roman" w:eastAsia="宋体" w:cs="Times New Roman"/>
                <w:b w:val="0"/>
                <w:bCs w:val="0"/>
                <w:color w:val="auto"/>
                <w:sz w:val="24"/>
                <w:szCs w:val="24"/>
                <w:lang w:val="en-US" w:eastAsia="zh-CN"/>
              </w:rPr>
              <w:t>锅炉灰渣</w:t>
            </w:r>
            <w:r>
              <w:rPr>
                <w:rFonts w:hint="eastAsia" w:ascii="Times New Roman" w:hAnsi="Times New Roman" w:cs="Times New Roman"/>
                <w:b w:val="0"/>
                <w:bCs w:val="0"/>
                <w:color w:val="auto"/>
                <w:sz w:val="24"/>
                <w:szCs w:val="24"/>
                <w:lang w:val="en-US" w:eastAsia="zh-CN"/>
              </w:rPr>
              <w:t>、除尘器废布袋、</w:t>
            </w:r>
            <w:r>
              <w:rPr>
                <w:rFonts w:hint="eastAsia" w:ascii="Times New Roman" w:hAnsi="Times New Roman" w:eastAsia="宋体" w:cs="Times New Roman"/>
                <w:b w:val="0"/>
                <w:bCs w:val="0"/>
                <w:color w:val="auto"/>
                <w:sz w:val="24"/>
                <w:szCs w:val="24"/>
                <w:lang w:val="en-US" w:eastAsia="zh-CN"/>
              </w:rPr>
              <w:t>除尘器粉尘</w:t>
            </w:r>
            <w:r>
              <w:rPr>
                <w:rFonts w:hint="eastAsia" w:ascii="Times New Roman" w:hAnsi="Times New Roman" w:cs="Times New Roman"/>
                <w:b w:val="0"/>
                <w:bCs w:val="0"/>
                <w:color w:val="auto"/>
                <w:sz w:val="24"/>
                <w:szCs w:val="24"/>
                <w:lang w:val="en-US" w:eastAsia="zh-CN"/>
              </w:rPr>
              <w:t>、</w:t>
            </w:r>
            <w:r>
              <w:rPr>
                <w:rFonts w:hint="default" w:ascii="Times New Roman" w:hAnsi="Times New Roman" w:cs="Times New Roman"/>
                <w:color w:val="auto"/>
                <w:sz w:val="24"/>
                <w:highlight w:val="none"/>
              </w:rPr>
              <w:t>筛分杂质及霉变玉米</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生活垃圾</w:t>
            </w:r>
            <w:r>
              <w:rPr>
                <w:rFonts w:hint="eastAsia" w:ascii="Times New Roman" w:hAnsi="Times New Roman" w:eastAsia="宋体" w:cs="Times New Roman"/>
                <w:b w:val="0"/>
                <w:bCs w:val="0"/>
                <w:color w:val="auto"/>
                <w:sz w:val="24"/>
                <w:szCs w:val="24"/>
                <w:lang w:val="en-US" w:eastAsia="zh-CN"/>
              </w:rPr>
              <w:t>。</w:t>
            </w:r>
          </w:p>
          <w:p w14:paraId="249B8F99">
            <w:pPr>
              <w:pStyle w:val="118"/>
              <w:keepNext w:val="0"/>
              <w:keepLines w:val="0"/>
              <w:numPr>
                <w:ilvl w:val="0"/>
                <w:numId w:val="0"/>
              </w:numPr>
              <w:suppressLineNumbers w:val="0"/>
              <w:spacing w:before="0" w:beforeAutospacing="0" w:after="0" w:afterAutospacing="0" w:line="360" w:lineRule="auto"/>
              <w:ind w:left="0" w:leftChars="0" w:right="0" w:rightChars="0" w:firstLine="482" w:firstLineChars="200"/>
              <w:rPr>
                <w:rFonts w:hint="eastAsia" w:ascii="Times New Roman" w:hAnsi="Times New Roman"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4.1.1 一般固体废物</w:t>
            </w:r>
          </w:p>
          <w:p w14:paraId="7C3CB870">
            <w:pPr>
              <w:pStyle w:val="118"/>
              <w:keepNext w:val="0"/>
              <w:keepLines w:val="0"/>
              <w:numPr>
                <w:ilvl w:val="0"/>
                <w:numId w:val="0"/>
              </w:numPr>
              <w:suppressLineNumbers w:val="0"/>
              <w:spacing w:before="0" w:beforeAutospacing="0" w:after="0" w:afterAutospacing="0" w:line="360" w:lineRule="auto"/>
              <w:ind w:left="0" w:leftChars="0" w:right="0" w:rightChars="0" w:firstLine="480" w:firstLineChars="200"/>
              <w:rPr>
                <w:rFonts w:hint="eastAsia" w:ascii="Times New Roman" w:hAnsi="Times New Roman" w:cs="Times New Roman"/>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（1</w:t>
            </w:r>
            <w:r>
              <w:rPr>
                <w:rFonts w:hint="eastAsia" w:ascii="Times New Roman" w:hAnsi="Times New Roman" w:cs="Times New Roman"/>
                <w:b w:val="0"/>
                <w:bCs w:val="0"/>
                <w:color w:val="auto"/>
                <w:kern w:val="2"/>
                <w:sz w:val="24"/>
                <w:szCs w:val="24"/>
                <w:lang w:val="en-US" w:eastAsia="zh-CN" w:bidi="ar-SA"/>
              </w:rPr>
              <w:t>）</w:t>
            </w:r>
            <w:r>
              <w:rPr>
                <w:rFonts w:hint="eastAsia" w:ascii="Times New Roman" w:hAnsi="Times New Roman" w:cs="Times New Roman"/>
                <w:color w:val="auto"/>
                <w:sz w:val="24"/>
                <w:szCs w:val="24"/>
                <w:lang w:val="en-US" w:eastAsia="zh-CN"/>
              </w:rPr>
              <w:t>锅炉灰渣</w:t>
            </w:r>
          </w:p>
          <w:p w14:paraId="50B24D78">
            <w:pPr>
              <w:pStyle w:val="118"/>
              <w:keepNext w:val="0"/>
              <w:keepLines w:val="0"/>
              <w:numPr>
                <w:ilvl w:val="0"/>
                <w:numId w:val="0"/>
              </w:numPr>
              <w:suppressLineNumbers w:val="0"/>
              <w:spacing w:before="0" w:beforeAutospacing="0" w:after="0" w:afterAutospacing="0" w:line="360" w:lineRule="auto"/>
              <w:ind w:left="0" w:leftChars="0" w:right="0" w:rightChars="0"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根据《污染源源强核算技术指南</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锅炉》</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HJ991-2018</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燃</w:t>
            </w:r>
            <w:r>
              <w:rPr>
                <w:rFonts w:hint="eastAsia" w:ascii="Times New Roman" w:hAnsi="Times New Roman" w:cs="Times New Roman"/>
                <w:color w:val="auto"/>
                <w:sz w:val="24"/>
                <w:szCs w:val="24"/>
                <w:lang w:val="en-US" w:eastAsia="zh-CN"/>
              </w:rPr>
              <w:t>生物质热风炉</w:t>
            </w:r>
            <w:r>
              <w:rPr>
                <w:rFonts w:hint="default" w:ascii="Times New Roman" w:hAnsi="Times New Roman" w:cs="Times New Roman"/>
                <w:color w:val="auto"/>
                <w:sz w:val="24"/>
                <w:szCs w:val="24"/>
                <w:lang w:val="en-US" w:eastAsia="zh-CN"/>
              </w:rPr>
              <w:t>灰渣产生量可根据灰渣平衡按下式计算。</w:t>
            </w:r>
          </w:p>
          <w:p w14:paraId="12270E1D">
            <w:pPr>
              <w:pStyle w:val="118"/>
              <w:keepNext w:val="0"/>
              <w:keepLines w:val="0"/>
              <w:numPr>
                <w:ilvl w:val="0"/>
                <w:numId w:val="0"/>
              </w:numPr>
              <w:suppressLineNumbers w:val="0"/>
              <w:spacing w:before="0" w:beforeAutospacing="0" w:after="0" w:afterAutospacing="0" w:line="360" w:lineRule="auto"/>
              <w:ind w:left="420" w:leftChars="200" w:right="0" w:rightChars="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position w:val="-24"/>
                <w:sz w:val="24"/>
                <w:szCs w:val="24"/>
                <w:lang w:val="en-US" w:eastAsia="zh-CN"/>
              </w:rPr>
              <w:object>
                <v:shape id="_x0000_i1033" o:spt="75" type="#_x0000_t75" style="height:31pt;width:147pt;" o:ole="t" filled="f" o:preferrelative="t" stroked="f" coordsize="21600,21600">
                  <v:path/>
                  <v:fill on="f" focussize="0,0"/>
                  <v:stroke on="f"/>
                  <v:imagedata r:id="rId46" o:title=""/>
                  <o:lock v:ext="edit" aspectratio="t"/>
                  <w10:wrap type="none"/>
                  <w10:anchorlock/>
                </v:shape>
                <o:OLEObject Type="Embed" ProgID="Equation.KSEE3" ShapeID="_x0000_i1033" DrawAspect="Content" ObjectID="_1468075733" r:id="rId45">
                  <o:LockedField>false</o:LockedField>
                </o:OLEObject>
              </w:object>
            </w:r>
          </w:p>
          <w:p w14:paraId="611DC563">
            <w:pPr>
              <w:pStyle w:val="118"/>
              <w:keepNext w:val="0"/>
              <w:keepLines w:val="0"/>
              <w:numPr>
                <w:ilvl w:val="0"/>
                <w:numId w:val="0"/>
              </w:numPr>
              <w:suppressLineNumbers w:val="0"/>
              <w:spacing w:before="0" w:beforeAutospacing="0" w:after="0" w:afterAutospacing="0" w:line="360" w:lineRule="auto"/>
              <w:ind w:left="420" w:leftChars="200" w:right="0" w:rightChars="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E</w:t>
            </w:r>
            <w:r>
              <w:rPr>
                <w:rFonts w:hint="eastAsia" w:ascii="Times New Roman" w:hAnsi="Times New Roman" w:cs="Times New Roman"/>
                <w:color w:val="auto"/>
                <w:sz w:val="24"/>
                <w:szCs w:val="24"/>
                <w:vertAlign w:val="subscript"/>
                <w:lang w:val="en-US" w:eastAsia="zh-CN"/>
              </w:rPr>
              <w:t>hz</w:t>
            </w:r>
            <w:r>
              <w:rPr>
                <w:rFonts w:hint="eastAsia" w:ascii="Times New Roman" w:hAnsi="Times New Roman" w:cs="Times New Roman"/>
                <w:color w:val="auto"/>
                <w:sz w:val="24"/>
                <w:szCs w:val="24"/>
                <w:lang w:val="en-US" w:eastAsia="zh-CN"/>
              </w:rPr>
              <w:t>——核算时段内灰渣产生量，t；</w:t>
            </w:r>
          </w:p>
          <w:p w14:paraId="61C7A8C3">
            <w:pPr>
              <w:pStyle w:val="118"/>
              <w:keepNext w:val="0"/>
              <w:keepLines w:val="0"/>
              <w:numPr>
                <w:ilvl w:val="0"/>
                <w:numId w:val="0"/>
              </w:numPr>
              <w:suppressLineNumbers w:val="0"/>
              <w:spacing w:before="0" w:beforeAutospacing="0" w:after="0" w:afterAutospacing="0" w:line="360" w:lineRule="auto"/>
              <w:ind w:left="420" w:leftChars="200" w:right="0" w:rightChars="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R——核算时段内锅炉燃料耗量，t，本项目</w:t>
            </w:r>
            <w:r>
              <w:rPr>
                <w:rFonts w:hint="eastAsia" w:ascii="Times New Roman" w:hAnsi="Times New Roman" w:cs="Times New Roman"/>
                <w:color w:val="auto"/>
                <w:sz w:val="24"/>
                <w:szCs w:val="24"/>
                <w:highlight w:val="none"/>
                <w:lang w:val="en-US" w:eastAsia="zh-CN"/>
              </w:rPr>
              <w:t>为3000t；</w:t>
            </w:r>
          </w:p>
          <w:p w14:paraId="28BCB3E3">
            <w:pPr>
              <w:pStyle w:val="118"/>
              <w:keepNext w:val="0"/>
              <w:keepLines w:val="0"/>
              <w:numPr>
                <w:ilvl w:val="0"/>
                <w:numId w:val="0"/>
              </w:numPr>
              <w:suppressLineNumbers w:val="0"/>
              <w:spacing w:before="0" w:beforeAutospacing="0" w:after="0" w:afterAutospacing="0" w:line="360" w:lineRule="auto"/>
              <w:ind w:left="420" w:leftChars="200" w:right="0" w:rightChars="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A</w:t>
            </w:r>
            <w:r>
              <w:rPr>
                <w:rFonts w:hint="eastAsia" w:ascii="Times New Roman" w:hAnsi="Times New Roman" w:cs="Times New Roman"/>
                <w:color w:val="auto"/>
                <w:sz w:val="24"/>
                <w:szCs w:val="24"/>
                <w:vertAlign w:val="subscript"/>
                <w:lang w:val="en-US" w:eastAsia="zh-CN"/>
              </w:rPr>
              <w:t>ar</w:t>
            </w:r>
            <w:r>
              <w:rPr>
                <w:rFonts w:hint="eastAsia" w:ascii="Times New Roman" w:hAnsi="Times New Roman" w:cs="Times New Roman"/>
                <w:color w:val="auto"/>
                <w:sz w:val="24"/>
                <w:szCs w:val="24"/>
                <w:lang w:val="en-US" w:eastAsia="zh-CN"/>
              </w:rPr>
              <w:t>——收到基灰分的质量分数，%，本项目为3.26；</w:t>
            </w:r>
          </w:p>
          <w:p w14:paraId="0B58AFEA">
            <w:pPr>
              <w:pStyle w:val="2"/>
              <w:keepNext w:val="0"/>
              <w:keepLines w:val="0"/>
              <w:pageBreakBefore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rFonts w:hint="eastAsia" w:ascii="Times New Roman" w:hAnsi="Times New Roman"/>
                <w:color w:val="auto"/>
                <w:sz w:val="24"/>
                <w:lang w:val="en-US" w:eastAsia="zh-CN"/>
              </w:rPr>
            </w:pPr>
            <w:r>
              <w:rPr>
                <w:rFonts w:hint="eastAsia" w:ascii="Times New Roman" w:hAnsi="Times New Roman"/>
                <w:color w:val="auto"/>
                <w:sz w:val="24"/>
                <w:lang w:val="en-US" w:eastAsia="zh-CN"/>
              </w:rPr>
              <w:t>q</w:t>
            </w:r>
            <w:r>
              <w:rPr>
                <w:rFonts w:hint="eastAsia" w:ascii="Times New Roman" w:hAnsi="Times New Roman"/>
                <w:color w:val="auto"/>
                <w:sz w:val="24"/>
                <w:vertAlign w:val="subscript"/>
                <w:lang w:val="en-US" w:eastAsia="zh-CN"/>
              </w:rPr>
              <w:t>4</w:t>
            </w:r>
            <w:r>
              <w:rPr>
                <w:rFonts w:hint="eastAsia" w:ascii="Times New Roman" w:hAnsi="Times New Roman"/>
                <w:color w:val="auto"/>
                <w:sz w:val="24"/>
                <w:lang w:val="en-US" w:eastAsia="zh-CN"/>
              </w:rPr>
              <w:t>——锅炉机械不完全燃烧热损失，%，本项目取10；</w:t>
            </w:r>
          </w:p>
          <w:p w14:paraId="00B0CAB4">
            <w:pPr>
              <w:pStyle w:val="118"/>
              <w:keepNext w:val="0"/>
              <w:keepLines w:val="0"/>
              <w:numPr>
                <w:ilvl w:val="0"/>
                <w:numId w:val="0"/>
              </w:numPr>
              <w:suppressLineNumbers w:val="0"/>
              <w:spacing w:before="0" w:beforeAutospacing="0" w:after="0" w:afterAutospacing="0" w:line="360" w:lineRule="auto"/>
              <w:ind w:left="420" w:leftChars="200" w:right="0" w:rightChars="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Q</w:t>
            </w:r>
            <w:r>
              <w:rPr>
                <w:rFonts w:hint="eastAsia" w:ascii="Times New Roman" w:hAnsi="Times New Roman" w:cs="Times New Roman"/>
                <w:color w:val="auto"/>
                <w:sz w:val="24"/>
                <w:szCs w:val="24"/>
                <w:vertAlign w:val="subscript"/>
                <w:lang w:val="en-US" w:eastAsia="zh-CN"/>
              </w:rPr>
              <w:t>net，ar</w:t>
            </w:r>
            <w:r>
              <w:rPr>
                <w:rFonts w:hint="eastAsia" w:ascii="Times New Roman" w:hAnsi="Times New Roman" w:cs="Times New Roman"/>
                <w:color w:val="auto"/>
                <w:sz w:val="24"/>
                <w:szCs w:val="24"/>
                <w:lang w:val="en-US" w:eastAsia="zh-CN"/>
              </w:rPr>
              <w:t>——收到基低位发热量，kJ/kg，本项目为17309。</w:t>
            </w:r>
          </w:p>
          <w:p w14:paraId="05371F35">
            <w:pPr>
              <w:pStyle w:val="118"/>
              <w:keepNext w:val="0"/>
              <w:keepLines w:val="0"/>
              <w:numPr>
                <w:ilvl w:val="0"/>
                <w:numId w:val="0"/>
              </w:numPr>
              <w:suppressLineNumbers w:val="0"/>
              <w:spacing w:before="0" w:beforeAutospacing="0" w:after="0" w:afterAutospacing="0" w:line="360" w:lineRule="auto"/>
              <w:ind w:left="0" w:leftChars="0" w:right="0" w:rightChars="0" w:firstLine="480" w:firstLineChars="200"/>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计算得锅炉灰渣产生量为251t/a。本项目产生的锅炉灰渣集中收集后，采用编织袋包装储存在一般废物暂存间</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可作为建筑原料或生产建筑原料的材料外售。</w:t>
            </w:r>
          </w:p>
          <w:p w14:paraId="713EEFFB">
            <w:pPr>
              <w:pStyle w:val="118"/>
              <w:keepNext w:val="0"/>
              <w:keepLines w:val="0"/>
              <w:numPr>
                <w:ilvl w:val="0"/>
                <w:numId w:val="0"/>
              </w:numPr>
              <w:suppressLineNumbers w:val="0"/>
              <w:spacing w:before="0" w:beforeAutospacing="0" w:after="0" w:afterAutospacing="0" w:line="360" w:lineRule="auto"/>
              <w:ind w:left="0" w:leftChars="0" w:right="0" w:rightChars="0" w:firstLine="480" w:firstLineChars="200"/>
              <w:rPr>
                <w:rFonts w:hint="eastAsia" w:ascii="Times New Roman" w:hAnsi="Times New Roman"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US" w:eastAsia="zh-CN" w:bidi="ar-SA"/>
              </w:rPr>
              <w:t>2</w:t>
            </w:r>
            <w:r>
              <w:rPr>
                <w:rFonts w:hint="eastAsia" w:ascii="Times New Roman" w:hAnsi="Times New Roman" w:eastAsia="宋体" w:cs="Times New Roman"/>
                <w:color w:val="auto"/>
                <w:kern w:val="2"/>
                <w:sz w:val="24"/>
                <w:szCs w:val="24"/>
                <w:lang w:val="en-US" w:eastAsia="zh-CN" w:bidi="ar-SA"/>
              </w:rPr>
              <w:t>）</w:t>
            </w:r>
            <w:r>
              <w:rPr>
                <w:rFonts w:hint="eastAsia" w:ascii="Times New Roman" w:hAnsi="Times New Roman" w:cs="Times New Roman"/>
                <w:color w:val="auto"/>
                <w:sz w:val="24"/>
                <w:szCs w:val="24"/>
                <w:lang w:val="en-US" w:eastAsia="zh-CN"/>
              </w:rPr>
              <w:t>除尘器收集尘</w:t>
            </w:r>
          </w:p>
          <w:p w14:paraId="63F34DF6">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w:t>
            </w:r>
            <w:r>
              <w:rPr>
                <w:rFonts w:hint="eastAsia" w:ascii="Times New Roman" w:hAnsi="Times New Roman" w:cs="Times New Roman"/>
                <w:color w:val="auto"/>
                <w:sz w:val="24"/>
                <w:szCs w:val="24"/>
                <w:lang w:val="en-US" w:eastAsia="zh-CN"/>
              </w:rPr>
              <w:t>生物质锅炉</w:t>
            </w:r>
            <w:r>
              <w:rPr>
                <w:rFonts w:hint="default" w:ascii="Times New Roman" w:hAnsi="Times New Roman" w:cs="Times New Roman"/>
                <w:color w:val="auto"/>
                <w:sz w:val="24"/>
                <w:szCs w:val="24"/>
                <w:lang w:val="en-US" w:eastAsia="zh-CN"/>
              </w:rPr>
              <w:t>颗粒物产生量为</w:t>
            </w:r>
            <w:r>
              <w:rPr>
                <w:rFonts w:hint="eastAsia" w:ascii="Times New Roman" w:hAnsi="Times New Roman" w:cs="Times New Roman"/>
                <w:color w:val="auto"/>
                <w:sz w:val="24"/>
                <w:szCs w:val="24"/>
                <w:lang w:val="en-US" w:eastAsia="zh-CN"/>
              </w:rPr>
              <w:t>1.5t/a</w:t>
            </w:r>
            <w:r>
              <w:rPr>
                <w:rFonts w:hint="default" w:ascii="Times New Roman" w:hAnsi="Times New Roman" w:cs="Times New Roman"/>
                <w:color w:val="auto"/>
                <w:sz w:val="24"/>
                <w:szCs w:val="24"/>
                <w:lang w:val="en-US" w:eastAsia="zh-CN"/>
              </w:rPr>
              <w:t>，排放量为</w:t>
            </w:r>
            <w:r>
              <w:rPr>
                <w:rFonts w:hint="eastAsia" w:ascii="Times New Roman" w:hAnsi="Times New Roman" w:cs="Times New Roman"/>
                <w:color w:val="auto"/>
                <w:sz w:val="24"/>
                <w:szCs w:val="24"/>
                <w:lang w:val="en-US" w:eastAsia="zh-CN"/>
              </w:rPr>
              <w:t>0.015t/a，</w:t>
            </w:r>
            <w:r>
              <w:rPr>
                <w:rFonts w:hint="default" w:ascii="Times New Roman" w:hAnsi="Times New Roman" w:cs="Times New Roman"/>
                <w:color w:val="auto"/>
                <w:sz w:val="24"/>
                <w:szCs w:val="24"/>
                <w:lang w:val="en-US" w:eastAsia="zh-CN"/>
              </w:rPr>
              <w:t>收集尘为</w:t>
            </w:r>
            <w:r>
              <w:rPr>
                <w:rFonts w:hint="eastAsia" w:ascii="Times New Roman" w:hAnsi="Times New Roman" w:cs="Times New Roman"/>
                <w:color w:val="auto"/>
                <w:sz w:val="24"/>
                <w:szCs w:val="24"/>
                <w:lang w:val="en-US" w:eastAsia="zh-CN"/>
              </w:rPr>
              <w:t>1.485t/a；生产线布袋除尘器收集尘及沉降粉尘为66.666t/a，</w:t>
            </w:r>
            <w:r>
              <w:rPr>
                <w:rFonts w:hint="default" w:ascii="Times New Roman" w:hAnsi="Times New Roman" w:cs="Times New Roman"/>
                <w:color w:val="auto"/>
                <w:sz w:val="24"/>
                <w:szCs w:val="24"/>
                <w:lang w:val="en-US" w:eastAsia="zh-CN"/>
              </w:rPr>
              <w:t>则本项目收集尘为</w:t>
            </w:r>
            <w:r>
              <w:rPr>
                <w:rFonts w:hint="eastAsia" w:ascii="Times New Roman" w:hAnsi="Times New Roman" w:cs="Times New Roman"/>
                <w:color w:val="auto"/>
                <w:sz w:val="24"/>
                <w:szCs w:val="24"/>
                <w:lang w:val="en-US" w:eastAsia="zh-CN"/>
              </w:rPr>
              <w:t>68.151t/a</w:t>
            </w:r>
            <w:r>
              <w:rPr>
                <w:rFonts w:hint="default" w:ascii="Times New Roman" w:hAnsi="Times New Roman" w:cs="Times New Roman"/>
                <w:color w:val="auto"/>
                <w:sz w:val="24"/>
                <w:szCs w:val="24"/>
                <w:lang w:val="en-US" w:eastAsia="zh-CN"/>
              </w:rPr>
              <w:t>。本项目产生的除尘器收集尘为一般工业固废，</w:t>
            </w:r>
            <w:r>
              <w:rPr>
                <w:rFonts w:hint="eastAsia" w:ascii="Times New Roman" w:hAnsi="Times New Roman" w:cs="Times New Roman"/>
                <w:color w:val="auto"/>
                <w:sz w:val="24"/>
                <w:szCs w:val="24"/>
                <w:lang w:val="en-US" w:eastAsia="zh-CN"/>
              </w:rPr>
              <w:t>采用编织袋包装储存在一般废物暂存间</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可作为建筑原料或生产建筑原料的材料外售。</w:t>
            </w:r>
          </w:p>
          <w:p w14:paraId="010F44C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lang w:eastAsia="zh-CN"/>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highlight w:val="none"/>
                <w:lang w:eastAsia="zh-CN"/>
              </w:rPr>
              <w:t>筛分杂质及霉变玉米</w:t>
            </w:r>
          </w:p>
          <w:p w14:paraId="7270517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本项目筛分杂质（土、秸秆杂物、碎屑等）及霉变玉米产生量约为</w:t>
            </w:r>
            <w:r>
              <w:rPr>
                <w:rFonts w:hint="eastAsia" w:cs="Times New Roman"/>
                <w:color w:val="auto"/>
                <w:sz w:val="24"/>
                <w:highlight w:val="none"/>
                <w:lang w:val="en-US" w:eastAsia="zh-CN"/>
              </w:rPr>
              <w:t>66.74</w:t>
            </w:r>
            <w:r>
              <w:rPr>
                <w:rFonts w:hint="default" w:ascii="Times New Roman" w:hAnsi="Times New Roman" w:cs="Times New Roman"/>
                <w:color w:val="auto"/>
                <w:sz w:val="24"/>
                <w:highlight w:val="none"/>
              </w:rPr>
              <w:t>t/a；暂存于库房内，定期由环卫部门处理。</w:t>
            </w:r>
          </w:p>
          <w:p w14:paraId="67B3E690">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color w:val="auto"/>
                <w:sz w:val="24"/>
                <w:lang w:val="en-US" w:eastAsia="zh-CN"/>
              </w:rPr>
            </w:pPr>
            <w:r>
              <w:rPr>
                <w:rFonts w:hint="eastAsia" w:ascii="Times New Roman" w:hAnsi="Times New Roman" w:eastAsia="宋体" w:cs="宋体"/>
                <w:color w:val="auto"/>
                <w:kern w:val="2"/>
                <w:sz w:val="24"/>
                <w:szCs w:val="24"/>
                <w:lang w:val="en-US" w:eastAsia="zh-CN" w:bidi="ar-SA"/>
              </w:rPr>
              <w:t>（4）</w:t>
            </w:r>
            <w:r>
              <w:rPr>
                <w:rFonts w:hint="eastAsia" w:ascii="Times New Roman" w:hAnsi="Times New Roman"/>
                <w:color w:val="auto"/>
                <w:sz w:val="24"/>
                <w:lang w:val="en-US" w:eastAsia="zh-CN"/>
              </w:rPr>
              <w:t>除尘器废布袋</w:t>
            </w:r>
          </w:p>
          <w:p w14:paraId="5717A688">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color w:val="auto"/>
                <w:sz w:val="24"/>
              </w:rPr>
            </w:pPr>
            <w:r>
              <w:rPr>
                <w:rFonts w:hint="eastAsia" w:ascii="Times New Roman" w:hAnsi="Times New Roman"/>
                <w:color w:val="auto"/>
                <w:sz w:val="24"/>
              </w:rPr>
              <w:t>根据厂家提供资料，</w:t>
            </w:r>
            <w:r>
              <w:rPr>
                <w:rFonts w:hint="eastAsia" w:ascii="Times New Roman" w:hAnsi="Times New Roman"/>
                <w:color w:val="auto"/>
                <w:sz w:val="24"/>
                <w:lang w:val="en-US" w:eastAsia="zh-CN"/>
              </w:rPr>
              <w:t>除尘器</w:t>
            </w:r>
            <w:r>
              <w:rPr>
                <w:rFonts w:hint="eastAsia" w:ascii="Times New Roman" w:hAnsi="Times New Roman"/>
                <w:color w:val="auto"/>
                <w:sz w:val="24"/>
              </w:rPr>
              <w:t>为</w:t>
            </w:r>
            <w:r>
              <w:rPr>
                <w:rFonts w:hint="eastAsia" w:ascii="Times New Roman" w:hAnsi="Times New Roman"/>
                <w:color w:val="auto"/>
                <w:sz w:val="24"/>
                <w:lang w:eastAsia="zh-CN"/>
              </w:rPr>
              <w:t>1年</w:t>
            </w:r>
            <w:r>
              <w:rPr>
                <w:rFonts w:hint="eastAsia" w:ascii="Times New Roman" w:hAnsi="Times New Roman"/>
                <w:color w:val="auto"/>
                <w:sz w:val="24"/>
              </w:rPr>
              <w:t>一更换。根据《</w:t>
            </w:r>
            <w:r>
              <w:rPr>
                <w:rFonts w:hint="eastAsia" w:ascii="Times New Roman" w:hAnsi="Times New Roman"/>
                <w:color w:val="auto"/>
                <w:sz w:val="24"/>
                <w:lang w:val="en-US" w:eastAsia="zh-CN"/>
              </w:rPr>
              <w:t>关于发布</w:t>
            </w:r>
            <w:r>
              <w:rPr>
                <w:rFonts w:hint="eastAsia" w:cs="Times New Roman"/>
                <w:color w:val="auto"/>
                <w:sz w:val="24"/>
                <w:szCs w:val="24"/>
                <w:highlight w:val="none"/>
                <w:lang w:val="en-US" w:eastAsia="zh-CN"/>
              </w:rPr>
              <w:t>〈固体废物分类与代码目录〉的公告</w:t>
            </w:r>
            <w:r>
              <w:rPr>
                <w:rFonts w:hint="eastAsia" w:ascii="Times New Roman" w:hAnsi="Times New Roman"/>
                <w:color w:val="auto"/>
                <w:sz w:val="24"/>
              </w:rPr>
              <w:t>》属于一般固废，</w:t>
            </w:r>
            <w:r>
              <w:rPr>
                <w:rFonts w:hint="eastAsia" w:ascii="Times New Roman" w:hAnsi="Times New Roman"/>
                <w:color w:val="auto"/>
                <w:sz w:val="24"/>
                <w:lang w:val="en-US" w:eastAsia="zh-CN"/>
              </w:rPr>
              <w:t>具体为其他工业固体废物（SW59）中废过滤材料（900-009-S59）</w:t>
            </w:r>
            <w:r>
              <w:rPr>
                <w:rFonts w:hint="eastAsia" w:ascii="Times New Roman" w:hAnsi="Times New Roman"/>
                <w:color w:val="auto"/>
                <w:sz w:val="24"/>
              </w:rPr>
              <w:t>。</w:t>
            </w:r>
            <w:r>
              <w:rPr>
                <w:rFonts w:hint="eastAsia" w:ascii="Times New Roman" w:hAnsi="Times New Roman"/>
                <w:color w:val="auto"/>
                <w:sz w:val="24"/>
                <w:szCs w:val="32"/>
                <w:lang w:val="en-US" w:eastAsia="zh-CN"/>
              </w:rPr>
              <w:t>每次的更换量为0.5t，</w:t>
            </w:r>
            <w:r>
              <w:rPr>
                <w:rFonts w:hint="eastAsia" w:ascii="Times New Roman" w:hAnsi="Times New Roman"/>
                <w:color w:val="auto"/>
                <w:sz w:val="24"/>
              </w:rPr>
              <w:t>预计</w:t>
            </w:r>
            <w:r>
              <w:rPr>
                <w:rFonts w:hint="eastAsia" w:ascii="Times New Roman" w:hAnsi="Times New Roman"/>
                <w:color w:val="auto"/>
                <w:sz w:val="24"/>
                <w:lang w:val="en-US" w:eastAsia="zh-CN"/>
              </w:rPr>
              <w:t>除尘器废布袋</w:t>
            </w:r>
            <w:r>
              <w:rPr>
                <w:rFonts w:hint="eastAsia" w:ascii="Times New Roman" w:hAnsi="Times New Roman"/>
                <w:color w:val="auto"/>
                <w:sz w:val="24"/>
              </w:rPr>
              <w:t>产生量为0.</w:t>
            </w:r>
            <w:r>
              <w:rPr>
                <w:rFonts w:hint="eastAsia" w:ascii="Times New Roman" w:hAnsi="Times New Roman"/>
                <w:color w:val="auto"/>
                <w:sz w:val="24"/>
                <w:lang w:val="en-US" w:eastAsia="zh-CN"/>
              </w:rPr>
              <w:t>5</w:t>
            </w:r>
            <w:r>
              <w:rPr>
                <w:rFonts w:hint="eastAsia" w:ascii="Times New Roman" w:hAnsi="Times New Roman"/>
                <w:color w:val="auto"/>
                <w:sz w:val="24"/>
              </w:rPr>
              <w:t>t/a，</w:t>
            </w:r>
            <w:r>
              <w:rPr>
                <w:rFonts w:hint="eastAsia" w:ascii="Times New Roman" w:hAnsi="Times New Roman"/>
                <w:color w:val="auto"/>
                <w:sz w:val="24"/>
                <w:lang w:eastAsia="zh-CN"/>
              </w:rPr>
              <w:t>更换后立即交由一般固废处置单位进行处置，不在厂区内储存</w:t>
            </w:r>
            <w:r>
              <w:rPr>
                <w:rFonts w:hint="eastAsia" w:ascii="Times New Roman" w:hAnsi="Times New Roman"/>
                <w:color w:val="auto"/>
                <w:sz w:val="24"/>
              </w:rPr>
              <w:t>。</w:t>
            </w:r>
          </w:p>
          <w:p w14:paraId="14CF8F5A">
            <w:pPr>
              <w:pStyle w:val="118"/>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color w:val="auto"/>
                <w:sz w:val="24"/>
                <w:lang w:val="en-US" w:eastAsia="zh-CN"/>
              </w:rPr>
            </w:pPr>
            <w:r>
              <w:rPr>
                <w:rFonts w:hint="eastAsia" w:ascii="Times New Roman" w:hAnsi="Times New Roman"/>
                <w:color w:val="auto"/>
                <w:sz w:val="24"/>
                <w:lang w:val="en-US" w:eastAsia="zh-CN"/>
              </w:rPr>
              <w:t>生活垃圾</w:t>
            </w:r>
          </w:p>
          <w:p w14:paraId="4EE495B2">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olor w:val="auto"/>
                <w:sz w:val="24"/>
                <w:lang w:val="en-US" w:eastAsia="zh-CN"/>
              </w:rPr>
            </w:pPr>
            <w:r>
              <w:rPr>
                <w:rFonts w:hint="default" w:ascii="Times New Roman" w:hAnsi="Times New Roman" w:cs="Times New Roman"/>
                <w:color w:val="auto"/>
                <w:sz w:val="24"/>
                <w:highlight w:val="none"/>
              </w:rPr>
              <w:t>本项目劳动定员</w:t>
            </w:r>
            <w:r>
              <w:rPr>
                <w:rFonts w:hint="eastAsia" w:cs="Times New Roman"/>
                <w:color w:val="auto"/>
                <w:sz w:val="24"/>
                <w:highlight w:val="none"/>
                <w:lang w:val="en-US" w:eastAsia="zh-CN"/>
              </w:rPr>
              <w:t>30</w:t>
            </w:r>
            <w:r>
              <w:rPr>
                <w:rFonts w:hint="default" w:ascii="Times New Roman" w:hAnsi="Times New Roman" w:cs="Times New Roman"/>
                <w:color w:val="auto"/>
                <w:sz w:val="24"/>
                <w:highlight w:val="none"/>
              </w:rPr>
              <w:t>人，员工生活垃圾按1kg/d计算，则员工生活垃圾产生量为</w:t>
            </w:r>
            <w:r>
              <w:rPr>
                <w:rFonts w:hint="eastAsia" w:cs="Times New Roman"/>
                <w:color w:val="auto"/>
                <w:sz w:val="24"/>
                <w:highlight w:val="none"/>
                <w:lang w:val="en-US" w:eastAsia="zh-CN"/>
              </w:rPr>
              <w:t>30</w:t>
            </w:r>
            <w:r>
              <w:rPr>
                <w:rFonts w:hint="default" w:ascii="Times New Roman" w:hAnsi="Times New Roman" w:cs="Times New Roman"/>
                <w:color w:val="auto"/>
                <w:sz w:val="24"/>
                <w:highlight w:val="none"/>
              </w:rPr>
              <w:t>kg/d（</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rPr>
              <w:t>t/a）。生活垃圾统一收集后委托环卫部门进行处理。</w:t>
            </w:r>
          </w:p>
          <w:p w14:paraId="46C167A9">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eastAsia" w:ascii="Times New Roman" w:hAnsi="Times New Roman"/>
                <w:b/>
                <w:bCs/>
                <w:color w:val="auto"/>
                <w:sz w:val="24"/>
                <w:lang w:val="en-US" w:eastAsia="zh-CN"/>
              </w:rPr>
            </w:pPr>
            <w:r>
              <w:rPr>
                <w:rFonts w:hint="eastAsia" w:ascii="Times New Roman" w:hAnsi="Times New Roman"/>
                <w:b/>
                <w:bCs/>
                <w:color w:val="auto"/>
                <w:sz w:val="24"/>
                <w:lang w:val="en-US" w:eastAsia="zh-CN"/>
              </w:rPr>
              <w:t>4.1.2 危险废物</w:t>
            </w:r>
          </w:p>
          <w:p w14:paraId="7C76E0E0">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color w:val="auto"/>
                <w:sz w:val="24"/>
                <w:lang w:val="en-US" w:eastAsia="zh-CN"/>
              </w:rPr>
            </w:pPr>
            <w:r>
              <w:rPr>
                <w:rFonts w:hint="eastAsia" w:ascii="Times New Roman" w:hAnsi="Times New Roman"/>
                <w:color w:val="auto"/>
                <w:sz w:val="24"/>
                <w:lang w:val="en-US" w:eastAsia="zh-CN"/>
              </w:rPr>
              <w:t>（1）废机油</w:t>
            </w:r>
          </w:p>
          <w:p w14:paraId="5242DABA">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生物质热风炉检修过程中产生的废机油属于危险废物，产生量为0.01t/a，对照《国家危险废物名录（2025年版）》为HW08废矿物油与含矿物油废物（编号900-214-08），集中收集至危废库，定期交由有资质的单位处置。</w:t>
            </w:r>
          </w:p>
          <w:p w14:paraId="4CFD30AA">
            <w:pPr>
              <w:pStyle w:val="118"/>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废机油桶</w:t>
            </w:r>
          </w:p>
          <w:p w14:paraId="01A2D146">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生物质热风炉检修过程中产生的废机油桶属于危险废物，产生量为0.02t/a，对照《国家危险废物名录（2025年版）》为HW08废矿物油与含矿物油废物（编号900-249-08），集中收集至危废库，定期交由有资质的单位处置。</w:t>
            </w:r>
          </w:p>
          <w:p w14:paraId="4316E715">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（3）含油废抹布及含油废手套</w:t>
            </w:r>
          </w:p>
          <w:p w14:paraId="07A41321">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生物质热风炉检修过程及日常维护产生的含油废抹布及含油废手套属于危险废物，产生量为0.01t/a，对照《国家危险废物名录（2025年版）》为HW08废矿物油与含矿物油废物（编号900-249-08），集中收集至危废库，定期交由有资质的单位处置。</w:t>
            </w:r>
          </w:p>
          <w:p w14:paraId="52175F1E">
            <w:pPr>
              <w:pStyle w:val="118"/>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bCs/>
                <w:color w:val="auto"/>
              </w:rPr>
            </w:pPr>
            <w:r>
              <w:rPr>
                <w:rFonts w:hint="default" w:ascii="Times New Roman" w:hAnsi="Times New Roman" w:eastAsia="宋体" w:cs="Times New Roman"/>
                <w:color w:val="auto"/>
                <w:sz w:val="24"/>
                <w:szCs w:val="24"/>
              </w:rPr>
              <w:t>本项目固体废物产生一览表见表</w:t>
            </w:r>
            <w:r>
              <w:rPr>
                <w:rFonts w:hint="eastAsia" w:ascii="Times New Roman" w:hAnsi="Times New Roman" w:eastAsia="宋体" w:cs="Times New Roman"/>
                <w:color w:val="auto"/>
                <w:sz w:val="24"/>
                <w:szCs w:val="24"/>
                <w:lang w:val="en-US" w:eastAsia="zh-CN"/>
              </w:rPr>
              <w:t>4-</w:t>
            </w:r>
            <w:r>
              <w:rPr>
                <w:rFonts w:hint="eastAsia" w:ascii="Times New Roman" w:hAnsi="Times New Roman" w:cs="Times New Roman"/>
                <w:color w:val="auto"/>
                <w:sz w:val="24"/>
                <w:szCs w:val="24"/>
                <w:lang w:val="en-US" w:eastAsia="zh-CN"/>
              </w:rPr>
              <w:t>17。</w:t>
            </w:r>
          </w:p>
          <w:p w14:paraId="7E51F7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right"/>
              <w:textAlignment w:val="auto"/>
              <w:rPr>
                <w:rFonts w:hint="default" w:ascii="Times New Roman" w:hAnsi="Times New Roman" w:eastAsia="宋体" w:cs="Times New Roman"/>
                <w:b/>
                <w:bCs/>
                <w:color w:val="auto"/>
              </w:rPr>
            </w:pPr>
          </w:p>
          <w:p w14:paraId="0B5335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4-</w:t>
            </w:r>
            <w:r>
              <w:rPr>
                <w:rFonts w:hint="eastAsia" w:cs="Times New Roman"/>
                <w:b/>
                <w:bCs/>
                <w:color w:val="auto"/>
                <w:lang w:val="en-US" w:eastAsia="zh-CN"/>
              </w:rPr>
              <w:t>17</w:t>
            </w:r>
            <w:r>
              <w:rPr>
                <w:rFonts w:hint="default" w:ascii="Times New Roman" w:hAnsi="Times New Roman" w:eastAsia="宋体" w:cs="Times New Roman"/>
                <w:b/>
                <w:bCs/>
                <w:color w:val="auto"/>
              </w:rPr>
              <w:t xml:space="preserve">  项目固体废物产生一览表</w:t>
            </w:r>
          </w:p>
          <w:tbl>
            <w:tblPr>
              <w:tblStyle w:val="3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677"/>
              <w:gridCol w:w="1451"/>
              <w:gridCol w:w="915"/>
              <w:gridCol w:w="843"/>
              <w:gridCol w:w="718"/>
              <w:gridCol w:w="1766"/>
            </w:tblGrid>
            <w:tr w14:paraId="2E89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pct"/>
                  <w:tcBorders>
                    <w:top w:val="single" w:color="auto" w:sz="4" w:space="0"/>
                    <w:left w:val="single" w:color="auto" w:sz="4" w:space="0"/>
                    <w:bottom w:val="single" w:color="auto" w:sz="4" w:space="0"/>
                    <w:right w:val="single" w:color="auto" w:sz="4" w:space="0"/>
                  </w:tcBorders>
                  <w:noWrap w:val="0"/>
                  <w:vAlign w:val="center"/>
                </w:tcPr>
                <w:p w14:paraId="24A424D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lang w:val="en-US" w:eastAsia="zh-CN"/>
                    </w:rPr>
                    <w:t>固废</w:t>
                  </w:r>
                  <w:r>
                    <w:rPr>
                      <w:rFonts w:hint="default" w:ascii="Times New Roman" w:hAnsi="Times New Roman" w:eastAsia="宋体" w:cs="Times New Roman"/>
                      <w:b/>
                      <w:color w:val="auto"/>
                      <w:sz w:val="21"/>
                      <w:szCs w:val="21"/>
                    </w:rPr>
                    <w:t>名称</w:t>
                  </w:r>
                </w:p>
              </w:tc>
              <w:tc>
                <w:tcPr>
                  <w:tcW w:w="414" w:type="pct"/>
                  <w:tcBorders>
                    <w:top w:val="single" w:color="auto" w:sz="4" w:space="0"/>
                    <w:left w:val="single" w:color="auto" w:sz="4" w:space="0"/>
                    <w:bottom w:val="single" w:color="auto" w:sz="4" w:space="0"/>
                    <w:right w:val="single" w:color="auto" w:sz="4" w:space="0"/>
                  </w:tcBorders>
                  <w:noWrap w:val="0"/>
                  <w:vAlign w:val="center"/>
                </w:tcPr>
                <w:p w14:paraId="4C426116">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属性</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52F0B278">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 w:val="21"/>
                      <w:szCs w:val="21"/>
                      <w:lang w:val="en-US" w:eastAsia="zh-CN"/>
                    </w:rPr>
                  </w:pPr>
                  <w:r>
                    <w:rPr>
                      <w:rFonts w:hint="eastAsia" w:cs="Times New Roman"/>
                      <w:b/>
                      <w:color w:val="auto"/>
                      <w:sz w:val="21"/>
                      <w:szCs w:val="21"/>
                      <w:lang w:val="en-US" w:eastAsia="zh-CN"/>
                    </w:rPr>
                    <w:t>固废代码</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37805E2F">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 w:val="21"/>
                      <w:szCs w:val="21"/>
                      <w:lang w:eastAsia="zh-CN"/>
                    </w:rPr>
                  </w:pPr>
                  <w:r>
                    <w:rPr>
                      <w:rFonts w:hint="default" w:ascii="Times New Roman" w:hAnsi="Times New Roman" w:eastAsia="宋体" w:cs="Times New Roman"/>
                      <w:b/>
                      <w:color w:val="auto"/>
                      <w:sz w:val="21"/>
                      <w:szCs w:val="21"/>
                    </w:rPr>
                    <w:t>产生量（t/a</w:t>
                  </w:r>
                  <w:r>
                    <w:rPr>
                      <w:rFonts w:hint="eastAsia" w:cs="Times New Roman"/>
                      <w:b/>
                      <w:color w:val="auto"/>
                      <w:sz w:val="21"/>
                      <w:szCs w:val="21"/>
                      <w:lang w:eastAsia="zh-CN"/>
                    </w:rPr>
                    <w:t>）</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5242DB0A">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 w:val="21"/>
                      <w:szCs w:val="21"/>
                      <w:lang w:eastAsia="zh-CN"/>
                    </w:rPr>
                  </w:pPr>
                  <w:r>
                    <w:rPr>
                      <w:rFonts w:hint="eastAsia" w:cs="Times New Roman"/>
                      <w:b/>
                      <w:color w:val="auto"/>
                      <w:sz w:val="21"/>
                      <w:szCs w:val="21"/>
                      <w:lang w:val="en-US" w:eastAsia="zh-CN"/>
                    </w:rPr>
                    <w:t>贮存场所</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24D80233">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 w:val="21"/>
                      <w:szCs w:val="21"/>
                      <w:lang w:val="en-US" w:eastAsia="zh-CN"/>
                    </w:rPr>
                  </w:pPr>
                  <w:r>
                    <w:rPr>
                      <w:rFonts w:hint="eastAsia" w:cs="Times New Roman"/>
                      <w:b/>
                      <w:color w:val="auto"/>
                      <w:sz w:val="21"/>
                      <w:szCs w:val="21"/>
                      <w:lang w:val="en-US" w:eastAsia="zh-CN"/>
                    </w:rPr>
                    <w:t>处置措施</w:t>
                  </w:r>
                </w:p>
              </w:tc>
              <w:tc>
                <w:tcPr>
                  <w:tcW w:w="1081" w:type="pct"/>
                  <w:tcBorders>
                    <w:top w:val="single" w:color="auto" w:sz="4" w:space="0"/>
                    <w:left w:val="single" w:color="auto" w:sz="4" w:space="0"/>
                    <w:bottom w:val="single" w:color="auto" w:sz="4" w:space="0"/>
                    <w:right w:val="single" w:color="auto" w:sz="4" w:space="0"/>
                  </w:tcBorders>
                  <w:noWrap w:val="0"/>
                  <w:vAlign w:val="center"/>
                </w:tcPr>
                <w:p w14:paraId="760B26A8">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 w:val="21"/>
                      <w:szCs w:val="21"/>
                      <w:lang w:val="en-US" w:eastAsia="zh-CN"/>
                    </w:rPr>
                  </w:pPr>
                  <w:r>
                    <w:rPr>
                      <w:rFonts w:hint="eastAsia" w:cs="Times New Roman"/>
                      <w:b/>
                      <w:color w:val="auto"/>
                      <w:sz w:val="21"/>
                      <w:szCs w:val="21"/>
                      <w:lang w:val="en-US" w:eastAsia="zh-CN"/>
                    </w:rPr>
                    <w:t>最终去向</w:t>
                  </w:r>
                </w:p>
              </w:tc>
            </w:tr>
            <w:tr w14:paraId="2D45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pct"/>
                  <w:tcBorders>
                    <w:top w:val="single" w:color="auto" w:sz="4" w:space="0"/>
                    <w:left w:val="single" w:color="auto" w:sz="4" w:space="0"/>
                    <w:right w:val="single" w:color="auto" w:sz="4" w:space="0"/>
                  </w:tcBorders>
                  <w:noWrap w:val="0"/>
                  <w:vAlign w:val="center"/>
                </w:tcPr>
                <w:p w14:paraId="5ED8976D">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锅炉灰渣</w:t>
                  </w:r>
                </w:p>
              </w:tc>
              <w:tc>
                <w:tcPr>
                  <w:tcW w:w="414" w:type="pct"/>
                  <w:vMerge w:val="restart"/>
                  <w:tcBorders>
                    <w:top w:val="single" w:color="auto" w:sz="4" w:space="0"/>
                    <w:left w:val="single" w:color="auto" w:sz="4" w:space="0"/>
                    <w:right w:val="single" w:color="auto" w:sz="4" w:space="0"/>
                  </w:tcBorders>
                  <w:noWrap w:val="0"/>
                  <w:vAlign w:val="center"/>
                </w:tcPr>
                <w:p w14:paraId="4E00300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一般</w:t>
                  </w:r>
                  <w:r>
                    <w:rPr>
                      <w:rFonts w:hint="eastAsia" w:cs="Times New Roman"/>
                      <w:color w:val="auto"/>
                      <w:sz w:val="21"/>
                      <w:szCs w:val="21"/>
                      <w:lang w:val="en-US" w:eastAsia="zh-CN"/>
                    </w:rPr>
                    <w:t>工业</w:t>
                  </w:r>
                  <w:r>
                    <w:rPr>
                      <w:rFonts w:hint="default" w:ascii="Times New Roman" w:hAnsi="Times New Roman" w:eastAsia="宋体" w:cs="Times New Roman"/>
                      <w:color w:val="auto"/>
                      <w:sz w:val="21"/>
                      <w:szCs w:val="21"/>
                    </w:rPr>
                    <w:t>固体废物</w:t>
                  </w:r>
                </w:p>
              </w:tc>
              <w:tc>
                <w:tcPr>
                  <w:tcW w:w="888" w:type="pct"/>
                  <w:tcBorders>
                    <w:top w:val="single" w:color="auto" w:sz="4" w:space="0"/>
                    <w:left w:val="single" w:color="auto" w:sz="4" w:space="0"/>
                    <w:right w:val="single" w:color="auto" w:sz="4" w:space="0"/>
                  </w:tcBorders>
                  <w:noWrap w:val="0"/>
                  <w:vAlign w:val="center"/>
                </w:tcPr>
                <w:p w14:paraId="6ECCAF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443-001-64</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44304D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251</w:t>
                  </w:r>
                </w:p>
              </w:tc>
              <w:tc>
                <w:tcPr>
                  <w:tcW w:w="516" w:type="pct"/>
                  <w:vMerge w:val="restart"/>
                  <w:tcBorders>
                    <w:top w:val="single" w:color="auto" w:sz="4" w:space="0"/>
                    <w:left w:val="single" w:color="auto" w:sz="4" w:space="0"/>
                    <w:right w:val="single" w:color="auto" w:sz="4" w:space="0"/>
                  </w:tcBorders>
                  <w:noWrap w:val="0"/>
                  <w:vAlign w:val="center"/>
                </w:tcPr>
                <w:p w14:paraId="0E43C8F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一般固废储存间</w:t>
                  </w:r>
                </w:p>
              </w:tc>
              <w:tc>
                <w:tcPr>
                  <w:tcW w:w="439" w:type="pct"/>
                  <w:vMerge w:val="restart"/>
                  <w:tcBorders>
                    <w:top w:val="single" w:color="auto" w:sz="4" w:space="0"/>
                    <w:left w:val="single" w:color="auto" w:sz="4" w:space="0"/>
                    <w:right w:val="single" w:color="auto" w:sz="4" w:space="0"/>
                  </w:tcBorders>
                  <w:noWrap w:val="0"/>
                  <w:vAlign w:val="center"/>
                </w:tcPr>
                <w:p w14:paraId="681442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集中收集</w:t>
                  </w:r>
                </w:p>
              </w:tc>
              <w:tc>
                <w:tcPr>
                  <w:tcW w:w="1081" w:type="pct"/>
                  <w:vMerge w:val="restart"/>
                  <w:tcBorders>
                    <w:top w:val="single" w:color="auto" w:sz="4" w:space="0"/>
                    <w:left w:val="single" w:color="auto" w:sz="4" w:space="0"/>
                    <w:right w:val="single" w:color="auto" w:sz="4" w:space="0"/>
                  </w:tcBorders>
                  <w:noWrap w:val="0"/>
                  <w:vAlign w:val="center"/>
                </w:tcPr>
                <w:p w14:paraId="56C710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作为建筑原料或生产建筑原料的材料外售</w:t>
                  </w:r>
                </w:p>
              </w:tc>
            </w:tr>
            <w:tr w14:paraId="3F1F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pct"/>
                  <w:tcBorders>
                    <w:top w:val="single" w:color="auto" w:sz="4" w:space="0"/>
                    <w:left w:val="single" w:color="auto" w:sz="4" w:space="0"/>
                    <w:right w:val="single" w:color="auto" w:sz="4" w:space="0"/>
                  </w:tcBorders>
                  <w:noWrap w:val="0"/>
                  <w:vAlign w:val="center"/>
                </w:tcPr>
                <w:p w14:paraId="68C29925">
                  <w:pPr>
                    <w:keepNext w:val="0"/>
                    <w:keepLines w:val="0"/>
                    <w:suppressLineNumbers w:val="0"/>
                    <w:spacing w:before="0" w:beforeAutospacing="0" w:after="0" w:afterAutospacing="0"/>
                    <w:ind w:left="0" w:right="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除尘器收集尘</w:t>
                  </w:r>
                </w:p>
              </w:tc>
              <w:tc>
                <w:tcPr>
                  <w:tcW w:w="414" w:type="pct"/>
                  <w:vMerge w:val="continue"/>
                  <w:tcBorders>
                    <w:left w:val="single" w:color="auto" w:sz="4" w:space="0"/>
                    <w:right w:val="single" w:color="auto" w:sz="4" w:space="0"/>
                  </w:tcBorders>
                  <w:noWrap w:val="0"/>
                  <w:vAlign w:val="center"/>
                </w:tcPr>
                <w:p w14:paraId="6F21A04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888" w:type="pct"/>
                  <w:tcBorders>
                    <w:top w:val="single" w:color="auto" w:sz="4" w:space="0"/>
                    <w:left w:val="single" w:color="auto" w:sz="4" w:space="0"/>
                    <w:right w:val="single" w:color="auto" w:sz="4" w:space="0"/>
                  </w:tcBorders>
                  <w:noWrap w:val="0"/>
                  <w:vAlign w:val="center"/>
                </w:tcPr>
                <w:p w14:paraId="6028AFB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443-001-66</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47AE05FF">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1.485</w:t>
                  </w:r>
                </w:p>
              </w:tc>
              <w:tc>
                <w:tcPr>
                  <w:tcW w:w="516" w:type="pct"/>
                  <w:vMerge w:val="continue"/>
                  <w:tcBorders>
                    <w:left w:val="single" w:color="auto" w:sz="4" w:space="0"/>
                    <w:right w:val="single" w:color="auto" w:sz="4" w:space="0"/>
                  </w:tcBorders>
                  <w:noWrap w:val="0"/>
                  <w:vAlign w:val="center"/>
                </w:tcPr>
                <w:p w14:paraId="24978A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continue"/>
                  <w:tcBorders>
                    <w:left w:val="single" w:color="auto" w:sz="4" w:space="0"/>
                    <w:right w:val="single" w:color="auto" w:sz="4" w:space="0"/>
                  </w:tcBorders>
                  <w:noWrap w:val="0"/>
                  <w:vAlign w:val="center"/>
                </w:tcPr>
                <w:p w14:paraId="5DD292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081" w:type="pct"/>
                  <w:vMerge w:val="continue"/>
                  <w:tcBorders>
                    <w:left w:val="single" w:color="auto" w:sz="4" w:space="0"/>
                    <w:right w:val="single" w:color="auto" w:sz="4" w:space="0"/>
                  </w:tcBorders>
                  <w:noWrap w:val="0"/>
                  <w:vAlign w:val="center"/>
                </w:tcPr>
                <w:p w14:paraId="00404F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r>
            <w:tr w14:paraId="4008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pct"/>
                  <w:tcBorders>
                    <w:top w:val="single" w:color="auto" w:sz="4" w:space="0"/>
                    <w:left w:val="single" w:color="auto" w:sz="4" w:space="0"/>
                    <w:right w:val="single" w:color="auto" w:sz="4" w:space="0"/>
                  </w:tcBorders>
                  <w:noWrap w:val="0"/>
                  <w:vAlign w:val="center"/>
                </w:tcPr>
                <w:p w14:paraId="678A8983">
                  <w:pPr>
                    <w:keepNext w:val="0"/>
                    <w:keepLines w:val="0"/>
                    <w:suppressLineNumbers w:val="0"/>
                    <w:tabs>
                      <w:tab w:val="left" w:pos="1110"/>
                    </w:tabs>
                    <w:spacing w:before="0" w:beforeAutospacing="0" w:after="0" w:afterAutospacing="0"/>
                    <w:ind w:left="0" w:right="0"/>
                    <w:jc w:val="center"/>
                    <w:rPr>
                      <w:rFonts w:hint="eastAsia" w:cs="Times New Roman"/>
                      <w:color w:val="auto"/>
                      <w:kern w:val="2"/>
                      <w:sz w:val="21"/>
                      <w:szCs w:val="21"/>
                      <w:lang w:val="en-US" w:eastAsia="zh-CN" w:bidi="ar-SA"/>
                    </w:rPr>
                  </w:pPr>
                  <w:r>
                    <w:rPr>
                      <w:rFonts w:hint="default" w:ascii="Times New Roman" w:hAnsi="Times New Roman" w:cs="Times New Roman"/>
                      <w:b w:val="0"/>
                      <w:bCs w:val="0"/>
                      <w:color w:val="auto"/>
                      <w:sz w:val="21"/>
                      <w:szCs w:val="21"/>
                      <w:highlight w:val="none"/>
                      <w:lang w:eastAsia="zh-CN"/>
                    </w:rPr>
                    <w:t>筛分杂质及霉变玉米</w:t>
                  </w:r>
                </w:p>
              </w:tc>
              <w:tc>
                <w:tcPr>
                  <w:tcW w:w="414" w:type="pct"/>
                  <w:vMerge w:val="continue"/>
                  <w:tcBorders>
                    <w:left w:val="single" w:color="auto" w:sz="4" w:space="0"/>
                    <w:right w:val="single" w:color="auto" w:sz="4" w:space="0"/>
                  </w:tcBorders>
                  <w:noWrap w:val="0"/>
                  <w:vAlign w:val="center"/>
                </w:tcPr>
                <w:p w14:paraId="473289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888" w:type="pct"/>
                  <w:tcBorders>
                    <w:top w:val="single" w:color="auto" w:sz="4" w:space="0"/>
                    <w:left w:val="single" w:color="auto" w:sz="4" w:space="0"/>
                    <w:right w:val="single" w:color="auto" w:sz="4" w:space="0"/>
                  </w:tcBorders>
                  <w:noWrap w:val="0"/>
                  <w:vAlign w:val="center"/>
                </w:tcPr>
                <w:p w14:paraId="29ED08D4">
                  <w:pPr>
                    <w:pStyle w:val="75"/>
                    <w:keepNext w:val="0"/>
                    <w:keepLines w:val="0"/>
                    <w:suppressLineNumbers w:val="0"/>
                    <w:spacing w:before="31" w:beforeAutospacing="0" w:after="31" w:afterAutospacing="0"/>
                    <w:ind w:left="420" w:leftChars="0" w:right="0" w:hanging="420" w:firstLineChars="0"/>
                    <w:rPr>
                      <w:rFonts w:hint="eastAsia" w:cs="Times New Roman"/>
                      <w:color w:val="auto"/>
                      <w:sz w:val="21"/>
                      <w:szCs w:val="21"/>
                      <w:highlight w:val="none"/>
                      <w:lang w:val="en-US" w:eastAsia="zh-CN"/>
                    </w:rPr>
                  </w:pPr>
                  <w:r>
                    <w:rPr>
                      <w:rFonts w:hint="default" w:ascii="Times New Roman" w:hAnsi="Times New Roman" w:cs="Times New Roman"/>
                      <w:b w:val="0"/>
                      <w:bCs w:val="0"/>
                      <w:color w:val="auto"/>
                      <w:kern w:val="2"/>
                      <w:sz w:val="21"/>
                      <w:szCs w:val="21"/>
                      <w:highlight w:val="none"/>
                      <w:lang w:val="en-US" w:eastAsia="zh-CN"/>
                    </w:rPr>
                    <w:t>900-099-S59</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53F2A82C">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66.74</w:t>
                  </w:r>
                </w:p>
              </w:tc>
              <w:tc>
                <w:tcPr>
                  <w:tcW w:w="516" w:type="pct"/>
                  <w:vMerge w:val="continue"/>
                  <w:tcBorders>
                    <w:left w:val="single" w:color="auto" w:sz="4" w:space="0"/>
                    <w:right w:val="single" w:color="auto" w:sz="4" w:space="0"/>
                  </w:tcBorders>
                  <w:noWrap w:val="0"/>
                  <w:vAlign w:val="center"/>
                </w:tcPr>
                <w:p w14:paraId="2B7044F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continue"/>
                  <w:tcBorders>
                    <w:left w:val="single" w:color="auto" w:sz="4" w:space="0"/>
                    <w:right w:val="single" w:color="auto" w:sz="4" w:space="0"/>
                  </w:tcBorders>
                  <w:noWrap w:val="0"/>
                  <w:vAlign w:val="center"/>
                </w:tcPr>
                <w:p w14:paraId="274B140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081" w:type="pct"/>
                  <w:vMerge w:val="restart"/>
                  <w:tcBorders>
                    <w:left w:val="single" w:color="auto" w:sz="4" w:space="0"/>
                    <w:right w:val="single" w:color="auto" w:sz="4" w:space="0"/>
                  </w:tcBorders>
                  <w:noWrap w:val="0"/>
                  <w:vAlign w:val="center"/>
                </w:tcPr>
                <w:p w14:paraId="666060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交由环卫部门处理</w:t>
                  </w:r>
                </w:p>
              </w:tc>
            </w:tr>
            <w:tr w14:paraId="1502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pct"/>
                  <w:tcBorders>
                    <w:top w:val="single" w:color="auto" w:sz="4" w:space="0"/>
                    <w:left w:val="single" w:color="auto" w:sz="4" w:space="0"/>
                    <w:right w:val="single" w:color="auto" w:sz="4" w:space="0"/>
                  </w:tcBorders>
                  <w:noWrap w:val="0"/>
                  <w:vAlign w:val="center"/>
                </w:tcPr>
                <w:p w14:paraId="24F09AD5">
                  <w:pPr>
                    <w:keepNext w:val="0"/>
                    <w:keepLines w:val="0"/>
                    <w:suppressLineNumbers w:val="0"/>
                    <w:tabs>
                      <w:tab w:val="left" w:pos="1110"/>
                    </w:tabs>
                    <w:spacing w:before="0" w:beforeAutospacing="0" w:after="0" w:afterAutospacing="0"/>
                    <w:ind w:left="0" w:right="0"/>
                    <w:jc w:val="center"/>
                    <w:rPr>
                      <w:rFonts w:hint="eastAsia" w:cs="Times New Roman"/>
                      <w:color w:val="auto"/>
                      <w:kern w:val="2"/>
                      <w:sz w:val="21"/>
                      <w:szCs w:val="21"/>
                      <w:lang w:val="en-US" w:eastAsia="zh-CN" w:bidi="ar-SA"/>
                    </w:rPr>
                  </w:pPr>
                  <w:r>
                    <w:rPr>
                      <w:rFonts w:hint="default" w:ascii="Times New Roman" w:hAnsi="Times New Roman" w:cs="Times New Roman"/>
                      <w:b w:val="0"/>
                      <w:bCs w:val="0"/>
                      <w:color w:val="auto"/>
                      <w:spacing w:val="4"/>
                      <w:kern w:val="0"/>
                      <w:sz w:val="21"/>
                      <w:szCs w:val="21"/>
                      <w:highlight w:val="none"/>
                    </w:rPr>
                    <w:t>生活垃圾</w:t>
                  </w:r>
                </w:p>
              </w:tc>
              <w:tc>
                <w:tcPr>
                  <w:tcW w:w="414" w:type="pct"/>
                  <w:vMerge w:val="continue"/>
                  <w:tcBorders>
                    <w:left w:val="single" w:color="auto" w:sz="4" w:space="0"/>
                    <w:right w:val="single" w:color="auto" w:sz="4" w:space="0"/>
                  </w:tcBorders>
                  <w:noWrap w:val="0"/>
                  <w:vAlign w:val="center"/>
                </w:tcPr>
                <w:p w14:paraId="5E4F21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888" w:type="pct"/>
                  <w:tcBorders>
                    <w:top w:val="single" w:color="auto" w:sz="4" w:space="0"/>
                    <w:left w:val="single" w:color="auto" w:sz="4" w:space="0"/>
                    <w:right w:val="single" w:color="auto" w:sz="4" w:space="0"/>
                  </w:tcBorders>
                  <w:noWrap w:val="0"/>
                  <w:vAlign w:val="center"/>
                </w:tcPr>
                <w:p w14:paraId="4F64BFA1">
                  <w:pPr>
                    <w:pStyle w:val="75"/>
                    <w:keepNext w:val="0"/>
                    <w:keepLines w:val="0"/>
                    <w:suppressLineNumbers w:val="0"/>
                    <w:spacing w:before="31" w:beforeAutospacing="0" w:after="31" w:afterAutospacing="0"/>
                    <w:ind w:left="420" w:leftChars="0" w:right="0" w:hanging="420" w:firstLineChars="0"/>
                    <w:rPr>
                      <w:rFonts w:hint="eastAsia" w:cs="Times New Roman"/>
                      <w:color w:val="auto"/>
                      <w:sz w:val="21"/>
                      <w:szCs w:val="21"/>
                      <w:highlight w:val="none"/>
                      <w:lang w:val="en-US" w:eastAsia="zh-CN"/>
                    </w:rPr>
                  </w:pPr>
                  <w:r>
                    <w:rPr>
                      <w:rFonts w:hint="default" w:ascii="Times New Roman" w:hAnsi="Times New Roman" w:cs="Times New Roman"/>
                      <w:b w:val="0"/>
                      <w:bCs w:val="0"/>
                      <w:color w:val="auto"/>
                      <w:kern w:val="2"/>
                      <w:sz w:val="21"/>
                      <w:szCs w:val="21"/>
                      <w:highlight w:val="none"/>
                      <w:lang w:val="en-US" w:eastAsia="zh-CN"/>
                    </w:rPr>
                    <w:t>900-001-S60</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268CCEC7">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c>
                <w:tcPr>
                  <w:tcW w:w="516" w:type="pct"/>
                  <w:vMerge w:val="continue"/>
                  <w:tcBorders>
                    <w:left w:val="single" w:color="auto" w:sz="4" w:space="0"/>
                    <w:right w:val="single" w:color="auto" w:sz="4" w:space="0"/>
                  </w:tcBorders>
                  <w:noWrap w:val="0"/>
                  <w:vAlign w:val="center"/>
                </w:tcPr>
                <w:p w14:paraId="5D8A35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439" w:type="pct"/>
                  <w:vMerge w:val="continue"/>
                  <w:tcBorders>
                    <w:left w:val="single" w:color="auto" w:sz="4" w:space="0"/>
                    <w:right w:val="single" w:color="auto" w:sz="4" w:space="0"/>
                  </w:tcBorders>
                  <w:noWrap w:val="0"/>
                  <w:vAlign w:val="center"/>
                </w:tcPr>
                <w:p w14:paraId="5E8F8F9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081" w:type="pct"/>
                  <w:vMerge w:val="continue"/>
                  <w:tcBorders>
                    <w:left w:val="single" w:color="auto" w:sz="4" w:space="0"/>
                    <w:right w:val="single" w:color="auto" w:sz="4" w:space="0"/>
                  </w:tcBorders>
                  <w:noWrap w:val="0"/>
                  <w:vAlign w:val="center"/>
                </w:tcPr>
                <w:p w14:paraId="400D88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r>
            <w:tr w14:paraId="764F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pct"/>
                  <w:tcBorders>
                    <w:left w:val="single" w:color="auto" w:sz="4" w:space="0"/>
                    <w:right w:val="single" w:color="auto" w:sz="4" w:space="0"/>
                  </w:tcBorders>
                  <w:shd w:val="clear" w:color="auto" w:fill="auto"/>
                  <w:noWrap w:val="0"/>
                  <w:vAlign w:val="center"/>
                </w:tcPr>
                <w:p w14:paraId="7E65FA8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除尘器废布袋</w:t>
                  </w:r>
                </w:p>
              </w:tc>
              <w:tc>
                <w:tcPr>
                  <w:tcW w:w="414" w:type="pct"/>
                  <w:vMerge w:val="continue"/>
                  <w:tcBorders>
                    <w:left w:val="single" w:color="auto" w:sz="4" w:space="0"/>
                    <w:right w:val="single" w:color="auto" w:sz="4" w:space="0"/>
                  </w:tcBorders>
                  <w:shd w:val="clear" w:color="auto" w:fill="auto"/>
                  <w:noWrap w:val="0"/>
                  <w:vAlign w:val="center"/>
                </w:tcPr>
                <w:p w14:paraId="74A75A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p>
              </w:tc>
              <w:tc>
                <w:tcPr>
                  <w:tcW w:w="88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918212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宋体"/>
                      <w:color w:val="auto"/>
                      <w:sz w:val="21"/>
                      <w:szCs w:val="21"/>
                      <w:lang w:val="en-US" w:eastAsia="zh-CN"/>
                    </w:rPr>
                    <w:t>600-009-S59</w:t>
                  </w:r>
                </w:p>
              </w:tc>
              <w:tc>
                <w:tcPr>
                  <w:tcW w:w="5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C3F6FF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0.5</w:t>
                  </w:r>
                </w:p>
              </w:tc>
              <w:tc>
                <w:tcPr>
                  <w:tcW w:w="516" w:type="pct"/>
                  <w:tcBorders>
                    <w:left w:val="single" w:color="auto" w:sz="4" w:space="0"/>
                    <w:right w:val="single" w:color="auto" w:sz="4" w:space="0"/>
                  </w:tcBorders>
                  <w:noWrap w:val="0"/>
                  <w:vAlign w:val="center"/>
                </w:tcPr>
                <w:p w14:paraId="411C4A9A">
                  <w:pPr>
                    <w:keepNext w:val="0"/>
                    <w:keepLines w:val="0"/>
                    <w:suppressLineNumbers w:val="0"/>
                    <w:spacing w:before="0" w:beforeAutospacing="0" w:after="0" w:afterAutospacing="0"/>
                    <w:ind w:left="0" w:right="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439" w:type="pct"/>
                  <w:tcBorders>
                    <w:left w:val="single" w:color="auto" w:sz="4" w:space="0"/>
                    <w:right w:val="single" w:color="auto" w:sz="4" w:space="0"/>
                  </w:tcBorders>
                  <w:noWrap w:val="0"/>
                  <w:vAlign w:val="center"/>
                </w:tcPr>
                <w:p w14:paraId="6EBC9970">
                  <w:pPr>
                    <w:keepNext w:val="0"/>
                    <w:keepLines w:val="0"/>
                    <w:suppressLineNumbers w:val="0"/>
                    <w:spacing w:before="0" w:beforeAutospacing="0" w:after="0" w:afterAutospacing="0"/>
                    <w:ind w:left="0" w:right="0"/>
                    <w:jc w:val="center"/>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1081" w:type="pct"/>
                  <w:tcBorders>
                    <w:left w:val="single" w:color="auto" w:sz="4" w:space="0"/>
                    <w:right w:val="single" w:color="auto" w:sz="4" w:space="0"/>
                  </w:tcBorders>
                  <w:noWrap w:val="0"/>
                  <w:vAlign w:val="center"/>
                </w:tcPr>
                <w:p w14:paraId="337DE5F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eastAsia="zh-CN"/>
                    </w:rPr>
                    <w:t>更换后立即交由一般固废处置单位进行处置，不在厂区内储存</w:t>
                  </w:r>
                </w:p>
              </w:tc>
            </w:tr>
            <w:tr w14:paraId="383B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pct"/>
                  <w:tcBorders>
                    <w:left w:val="single" w:color="auto" w:sz="4" w:space="0"/>
                    <w:right w:val="single" w:color="auto" w:sz="4" w:space="0"/>
                  </w:tcBorders>
                  <w:noWrap w:val="0"/>
                  <w:vAlign w:val="center"/>
                </w:tcPr>
                <w:p w14:paraId="33D2A0ED">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废机油</w:t>
                  </w:r>
                </w:p>
              </w:tc>
              <w:tc>
                <w:tcPr>
                  <w:tcW w:w="414" w:type="pct"/>
                  <w:vMerge w:val="restart"/>
                  <w:tcBorders>
                    <w:left w:val="single" w:color="auto" w:sz="4" w:space="0"/>
                    <w:right w:val="single" w:color="auto" w:sz="4" w:space="0"/>
                  </w:tcBorders>
                  <w:noWrap w:val="0"/>
                  <w:vAlign w:val="center"/>
                </w:tcPr>
                <w:p w14:paraId="0D76DEE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危险废物</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1D665B2D">
                  <w:pPr>
                    <w:keepNext w:val="0"/>
                    <w:keepLines w:val="0"/>
                    <w:suppressLineNumbers w:val="0"/>
                    <w:spacing w:before="0" w:beforeAutospacing="0" w:after="0" w:afterAutospacing="0"/>
                    <w:ind w:left="0" w:right="0"/>
                    <w:jc w:val="center"/>
                    <w:rPr>
                      <w:rFonts w:hint="default" w:cs="宋体"/>
                      <w:color w:val="auto"/>
                      <w:sz w:val="21"/>
                      <w:szCs w:val="21"/>
                      <w:lang w:val="en-US" w:eastAsia="zh-CN"/>
                    </w:rPr>
                  </w:pPr>
                  <w:r>
                    <w:rPr>
                      <w:rFonts w:hint="eastAsia" w:cs="宋体"/>
                      <w:color w:val="auto"/>
                      <w:sz w:val="21"/>
                      <w:szCs w:val="21"/>
                      <w:lang w:val="en-US" w:eastAsia="zh-CN"/>
                    </w:rPr>
                    <w:t>HW08 900-214-08</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1E824F3F">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0.01</w:t>
                  </w:r>
                </w:p>
              </w:tc>
              <w:tc>
                <w:tcPr>
                  <w:tcW w:w="516" w:type="pct"/>
                  <w:vMerge w:val="restart"/>
                  <w:tcBorders>
                    <w:left w:val="single" w:color="auto" w:sz="4" w:space="0"/>
                    <w:right w:val="single" w:color="auto" w:sz="4" w:space="0"/>
                  </w:tcBorders>
                  <w:noWrap w:val="0"/>
                  <w:vAlign w:val="center"/>
                </w:tcPr>
                <w:p w14:paraId="3B54AAEE">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危废库</w:t>
                  </w:r>
                </w:p>
              </w:tc>
              <w:tc>
                <w:tcPr>
                  <w:tcW w:w="439" w:type="pct"/>
                  <w:vMerge w:val="restart"/>
                  <w:tcBorders>
                    <w:left w:val="single" w:color="auto" w:sz="4" w:space="0"/>
                    <w:right w:val="single" w:color="auto" w:sz="4" w:space="0"/>
                  </w:tcBorders>
                  <w:noWrap w:val="0"/>
                  <w:vAlign w:val="center"/>
                </w:tcPr>
                <w:p w14:paraId="74606F51">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集中收集</w:t>
                  </w:r>
                </w:p>
              </w:tc>
              <w:tc>
                <w:tcPr>
                  <w:tcW w:w="1081" w:type="pct"/>
                  <w:vMerge w:val="restart"/>
                  <w:tcBorders>
                    <w:left w:val="single" w:color="auto" w:sz="4" w:space="0"/>
                    <w:right w:val="single" w:color="auto" w:sz="4" w:space="0"/>
                  </w:tcBorders>
                  <w:noWrap w:val="0"/>
                  <w:vAlign w:val="center"/>
                </w:tcPr>
                <w:p w14:paraId="40F7A511">
                  <w:pPr>
                    <w:keepNext w:val="0"/>
                    <w:keepLines w:val="0"/>
                    <w:suppressLineNumbers w:val="0"/>
                    <w:spacing w:before="0" w:beforeAutospacing="0" w:after="0" w:afterAutospacing="0"/>
                    <w:ind w:left="0" w:right="0"/>
                    <w:jc w:val="center"/>
                    <w:rPr>
                      <w:rFonts w:hint="eastAsia"/>
                      <w:color w:val="auto"/>
                      <w:sz w:val="21"/>
                      <w:szCs w:val="21"/>
                      <w:lang w:eastAsia="zh-CN"/>
                    </w:rPr>
                  </w:pPr>
                  <w:r>
                    <w:rPr>
                      <w:rFonts w:hint="eastAsia"/>
                      <w:color w:val="auto"/>
                      <w:sz w:val="21"/>
                      <w:szCs w:val="21"/>
                      <w:lang w:eastAsia="zh-CN"/>
                    </w:rPr>
                    <w:t>定期交由有资质的单位处置</w:t>
                  </w:r>
                </w:p>
              </w:tc>
            </w:tr>
            <w:tr w14:paraId="2703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pct"/>
                  <w:tcBorders>
                    <w:left w:val="single" w:color="auto" w:sz="4" w:space="0"/>
                    <w:right w:val="single" w:color="auto" w:sz="4" w:space="0"/>
                  </w:tcBorders>
                  <w:noWrap w:val="0"/>
                  <w:vAlign w:val="center"/>
                </w:tcPr>
                <w:p w14:paraId="20503F86">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废机油桶</w:t>
                  </w:r>
                </w:p>
              </w:tc>
              <w:tc>
                <w:tcPr>
                  <w:tcW w:w="414" w:type="pct"/>
                  <w:vMerge w:val="continue"/>
                  <w:tcBorders>
                    <w:left w:val="single" w:color="auto" w:sz="4" w:space="0"/>
                    <w:right w:val="single" w:color="auto" w:sz="4" w:space="0"/>
                  </w:tcBorders>
                  <w:noWrap w:val="0"/>
                  <w:vAlign w:val="center"/>
                </w:tcPr>
                <w:p w14:paraId="7267225C">
                  <w:pPr>
                    <w:keepNext w:val="0"/>
                    <w:keepLines w:val="0"/>
                    <w:suppressLineNumbers w:val="0"/>
                    <w:spacing w:before="0" w:beforeAutospacing="0" w:after="0" w:afterAutospacing="0"/>
                    <w:ind w:left="0" w:right="0"/>
                    <w:jc w:val="center"/>
                    <w:rPr>
                      <w:rFonts w:hint="eastAsia" w:cs="Times New Roman"/>
                      <w:color w:val="auto"/>
                      <w:kern w:val="2"/>
                      <w:sz w:val="21"/>
                      <w:szCs w:val="21"/>
                      <w:lang w:val="en-US" w:eastAsia="zh-CN" w:bidi="ar-SA"/>
                    </w:rPr>
                  </w:pPr>
                </w:p>
              </w:tc>
              <w:tc>
                <w:tcPr>
                  <w:tcW w:w="888" w:type="pct"/>
                  <w:vMerge w:val="restart"/>
                  <w:tcBorders>
                    <w:top w:val="single" w:color="auto" w:sz="4" w:space="0"/>
                    <w:left w:val="single" w:color="auto" w:sz="4" w:space="0"/>
                    <w:right w:val="single" w:color="auto" w:sz="4" w:space="0"/>
                  </w:tcBorders>
                  <w:noWrap w:val="0"/>
                  <w:vAlign w:val="center"/>
                </w:tcPr>
                <w:p w14:paraId="68D9809F">
                  <w:pPr>
                    <w:keepNext w:val="0"/>
                    <w:keepLines w:val="0"/>
                    <w:suppressLineNumbers w:val="0"/>
                    <w:spacing w:before="0" w:beforeAutospacing="0" w:after="0" w:afterAutospacing="0"/>
                    <w:ind w:left="0" w:right="0"/>
                    <w:jc w:val="center"/>
                    <w:rPr>
                      <w:rFonts w:hint="default" w:cs="宋体"/>
                      <w:color w:val="auto"/>
                      <w:sz w:val="21"/>
                      <w:szCs w:val="21"/>
                      <w:lang w:val="en-US" w:eastAsia="zh-CN"/>
                    </w:rPr>
                  </w:pPr>
                  <w:r>
                    <w:rPr>
                      <w:rFonts w:hint="eastAsia" w:cs="宋体"/>
                      <w:color w:val="auto"/>
                      <w:sz w:val="21"/>
                      <w:szCs w:val="21"/>
                      <w:lang w:val="en-US" w:eastAsia="zh-CN"/>
                    </w:rPr>
                    <w:t>HW08 900-249-08</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1ABCC03C">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516" w:type="pct"/>
                  <w:vMerge w:val="continue"/>
                  <w:tcBorders>
                    <w:left w:val="single" w:color="auto" w:sz="4" w:space="0"/>
                    <w:right w:val="single" w:color="auto" w:sz="4" w:space="0"/>
                  </w:tcBorders>
                  <w:noWrap w:val="0"/>
                  <w:vAlign w:val="center"/>
                </w:tcPr>
                <w:p w14:paraId="785AD0FC">
                  <w:pPr>
                    <w:keepNext w:val="0"/>
                    <w:keepLines w:val="0"/>
                    <w:suppressLineNumbers w:val="0"/>
                    <w:spacing w:before="0" w:beforeAutospacing="0" w:after="0" w:afterAutospacing="0"/>
                    <w:ind w:left="0" w:right="0"/>
                    <w:jc w:val="center"/>
                    <w:rPr>
                      <w:rFonts w:hint="eastAsia" w:cs="Times New Roman"/>
                      <w:color w:val="auto"/>
                      <w:kern w:val="2"/>
                      <w:sz w:val="21"/>
                      <w:szCs w:val="21"/>
                      <w:lang w:val="en-US" w:eastAsia="zh-CN" w:bidi="ar-SA"/>
                    </w:rPr>
                  </w:pPr>
                </w:p>
              </w:tc>
              <w:tc>
                <w:tcPr>
                  <w:tcW w:w="439" w:type="pct"/>
                  <w:vMerge w:val="continue"/>
                  <w:tcBorders>
                    <w:left w:val="single" w:color="auto" w:sz="4" w:space="0"/>
                    <w:right w:val="single" w:color="auto" w:sz="4" w:space="0"/>
                  </w:tcBorders>
                  <w:noWrap w:val="0"/>
                  <w:vAlign w:val="center"/>
                </w:tcPr>
                <w:p w14:paraId="34456BE8">
                  <w:pPr>
                    <w:keepNext w:val="0"/>
                    <w:keepLines w:val="0"/>
                    <w:suppressLineNumbers w:val="0"/>
                    <w:spacing w:before="0" w:beforeAutospacing="0" w:after="0" w:afterAutospacing="0"/>
                    <w:ind w:left="0" w:right="0"/>
                    <w:jc w:val="center"/>
                    <w:rPr>
                      <w:rFonts w:hint="eastAsia" w:cs="Times New Roman"/>
                      <w:color w:val="auto"/>
                      <w:kern w:val="2"/>
                      <w:sz w:val="21"/>
                      <w:szCs w:val="21"/>
                      <w:lang w:val="en-US" w:eastAsia="zh-CN" w:bidi="ar-SA"/>
                    </w:rPr>
                  </w:pPr>
                </w:p>
              </w:tc>
              <w:tc>
                <w:tcPr>
                  <w:tcW w:w="1081" w:type="pct"/>
                  <w:vMerge w:val="continue"/>
                  <w:tcBorders>
                    <w:left w:val="single" w:color="auto" w:sz="4" w:space="0"/>
                    <w:right w:val="single" w:color="auto" w:sz="4" w:space="0"/>
                  </w:tcBorders>
                  <w:noWrap w:val="0"/>
                  <w:vAlign w:val="center"/>
                </w:tcPr>
                <w:p w14:paraId="5436F5B5">
                  <w:pPr>
                    <w:keepNext w:val="0"/>
                    <w:keepLines w:val="0"/>
                    <w:suppressLineNumbers w:val="0"/>
                    <w:spacing w:before="0" w:beforeAutospacing="0" w:after="0" w:afterAutospacing="0"/>
                    <w:ind w:left="0" w:right="0"/>
                    <w:jc w:val="center"/>
                    <w:rPr>
                      <w:rFonts w:hint="eastAsia"/>
                      <w:color w:val="auto"/>
                      <w:sz w:val="21"/>
                      <w:szCs w:val="21"/>
                      <w:lang w:eastAsia="zh-CN"/>
                    </w:rPr>
                  </w:pPr>
                </w:p>
              </w:tc>
            </w:tr>
            <w:tr w14:paraId="4BDF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00" w:type="pct"/>
                  <w:tcBorders>
                    <w:left w:val="single" w:color="auto" w:sz="4" w:space="0"/>
                    <w:right w:val="single" w:color="auto" w:sz="4" w:space="0"/>
                  </w:tcBorders>
                  <w:noWrap w:val="0"/>
                  <w:vAlign w:val="center"/>
                </w:tcPr>
                <w:p w14:paraId="252F928F">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含油废抹布及含油废手套</w:t>
                  </w:r>
                </w:p>
              </w:tc>
              <w:tc>
                <w:tcPr>
                  <w:tcW w:w="414" w:type="pct"/>
                  <w:vMerge w:val="continue"/>
                  <w:tcBorders>
                    <w:left w:val="single" w:color="auto" w:sz="4" w:space="0"/>
                    <w:right w:val="single" w:color="auto" w:sz="4" w:space="0"/>
                  </w:tcBorders>
                  <w:noWrap w:val="0"/>
                  <w:vAlign w:val="center"/>
                </w:tcPr>
                <w:p w14:paraId="01E95C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888" w:type="pct"/>
                  <w:vMerge w:val="continue"/>
                  <w:tcBorders>
                    <w:left w:val="single" w:color="auto" w:sz="4" w:space="0"/>
                    <w:bottom w:val="single" w:color="auto" w:sz="4" w:space="0"/>
                    <w:right w:val="single" w:color="auto" w:sz="4" w:space="0"/>
                  </w:tcBorders>
                  <w:noWrap w:val="0"/>
                  <w:vAlign w:val="center"/>
                </w:tcPr>
                <w:p w14:paraId="358A850C">
                  <w:pPr>
                    <w:keepNext w:val="0"/>
                    <w:keepLines w:val="0"/>
                    <w:suppressLineNumbers w:val="0"/>
                    <w:spacing w:before="0" w:beforeAutospacing="0" w:after="0" w:afterAutospacing="0"/>
                    <w:ind w:left="0" w:right="0"/>
                    <w:jc w:val="center"/>
                    <w:rPr>
                      <w:rFonts w:hint="default" w:cs="宋体"/>
                      <w:color w:val="auto"/>
                      <w:sz w:val="21"/>
                      <w:szCs w:val="21"/>
                      <w:lang w:val="en-US" w:eastAsia="zh-CN"/>
                    </w:rPr>
                  </w:pPr>
                </w:p>
              </w:tc>
              <w:tc>
                <w:tcPr>
                  <w:tcW w:w="560" w:type="pct"/>
                  <w:tcBorders>
                    <w:top w:val="single" w:color="auto" w:sz="4" w:space="0"/>
                    <w:left w:val="single" w:color="auto" w:sz="4" w:space="0"/>
                    <w:bottom w:val="single" w:color="auto" w:sz="4" w:space="0"/>
                    <w:right w:val="single" w:color="auto" w:sz="4" w:space="0"/>
                  </w:tcBorders>
                  <w:noWrap w:val="0"/>
                  <w:vAlign w:val="center"/>
                </w:tcPr>
                <w:p w14:paraId="7DC3B071">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516" w:type="pct"/>
                  <w:vMerge w:val="continue"/>
                  <w:tcBorders>
                    <w:left w:val="single" w:color="auto" w:sz="4" w:space="0"/>
                    <w:right w:val="single" w:color="auto" w:sz="4" w:space="0"/>
                  </w:tcBorders>
                  <w:noWrap w:val="0"/>
                  <w:vAlign w:val="center"/>
                </w:tcPr>
                <w:p w14:paraId="6FD85495">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p>
              </w:tc>
              <w:tc>
                <w:tcPr>
                  <w:tcW w:w="439" w:type="pct"/>
                  <w:vMerge w:val="continue"/>
                  <w:tcBorders>
                    <w:left w:val="single" w:color="auto" w:sz="4" w:space="0"/>
                    <w:right w:val="single" w:color="auto" w:sz="4" w:space="0"/>
                  </w:tcBorders>
                  <w:noWrap w:val="0"/>
                  <w:vAlign w:val="center"/>
                </w:tcPr>
                <w:p w14:paraId="38727813">
                  <w:pPr>
                    <w:keepNext w:val="0"/>
                    <w:keepLines w:val="0"/>
                    <w:suppressLineNumbers w:val="0"/>
                    <w:spacing w:before="0" w:beforeAutospacing="0" w:after="0" w:afterAutospacing="0"/>
                    <w:ind w:left="0" w:right="0"/>
                    <w:jc w:val="center"/>
                    <w:rPr>
                      <w:rFonts w:hint="eastAsia" w:cs="Times New Roman"/>
                      <w:color w:val="auto"/>
                      <w:kern w:val="2"/>
                      <w:sz w:val="21"/>
                      <w:szCs w:val="21"/>
                      <w:lang w:val="en-US" w:eastAsia="zh-CN" w:bidi="ar-SA"/>
                    </w:rPr>
                  </w:pPr>
                </w:p>
              </w:tc>
              <w:tc>
                <w:tcPr>
                  <w:tcW w:w="1081" w:type="pct"/>
                  <w:vMerge w:val="continue"/>
                  <w:tcBorders>
                    <w:left w:val="single" w:color="auto" w:sz="4" w:space="0"/>
                    <w:right w:val="single" w:color="auto" w:sz="4" w:space="0"/>
                  </w:tcBorders>
                  <w:noWrap w:val="0"/>
                  <w:vAlign w:val="center"/>
                </w:tcPr>
                <w:p w14:paraId="0F4AD6AF">
                  <w:pPr>
                    <w:keepNext w:val="0"/>
                    <w:keepLines w:val="0"/>
                    <w:suppressLineNumbers w:val="0"/>
                    <w:spacing w:before="0" w:beforeAutospacing="0" w:after="0" w:afterAutospacing="0"/>
                    <w:ind w:left="0" w:right="0"/>
                    <w:jc w:val="center"/>
                    <w:rPr>
                      <w:rFonts w:hint="eastAsia"/>
                      <w:color w:val="auto"/>
                      <w:sz w:val="21"/>
                      <w:szCs w:val="21"/>
                      <w:lang w:eastAsia="zh-CN"/>
                    </w:rPr>
                  </w:pPr>
                </w:p>
              </w:tc>
            </w:tr>
          </w:tbl>
          <w:p w14:paraId="1847BB34">
            <w:pPr>
              <w:keepNext w:val="0"/>
              <w:keepLines w:val="0"/>
              <w:suppressLineNumbers w:val="0"/>
              <w:spacing w:before="0" w:beforeAutospacing="0" w:after="0" w:afterAutospacing="0" w:line="360" w:lineRule="auto"/>
              <w:ind w:left="0" w:right="105" w:rightChars="50" w:firstLine="482" w:firstLineChars="200"/>
              <w:rPr>
                <w:rFonts w:hint="default" w:ascii="Times New Roman" w:hAnsi="Times New Roman" w:eastAsia="宋体" w:cs="Times New Roman"/>
                <w:b/>
                <w:color w:val="auto"/>
                <w:kern w:val="0"/>
                <w:sz w:val="24"/>
                <w:szCs w:val="20"/>
                <w:lang w:bidi="ar"/>
              </w:rPr>
            </w:pPr>
            <w:r>
              <w:rPr>
                <w:rFonts w:hint="default" w:ascii="Times New Roman" w:hAnsi="Times New Roman" w:eastAsia="宋体" w:cs="Times New Roman"/>
                <w:b/>
                <w:color w:val="auto"/>
                <w:kern w:val="0"/>
                <w:sz w:val="24"/>
                <w:szCs w:val="20"/>
                <w:lang w:bidi="ar"/>
              </w:rPr>
              <w:t>4.2</w:t>
            </w:r>
            <w:r>
              <w:rPr>
                <w:rFonts w:hint="eastAsia" w:cs="Times New Roman"/>
                <w:b/>
                <w:color w:val="auto"/>
                <w:kern w:val="0"/>
                <w:sz w:val="24"/>
                <w:szCs w:val="20"/>
                <w:lang w:val="en-US" w:eastAsia="zh-CN" w:bidi="ar"/>
              </w:rPr>
              <w:t xml:space="preserve"> </w:t>
            </w:r>
            <w:r>
              <w:rPr>
                <w:rFonts w:hint="default" w:ascii="Times New Roman" w:hAnsi="Times New Roman" w:eastAsia="宋体" w:cs="Times New Roman"/>
                <w:b/>
                <w:color w:val="auto"/>
                <w:kern w:val="0"/>
                <w:sz w:val="24"/>
                <w:szCs w:val="20"/>
                <w:lang w:bidi="ar"/>
              </w:rPr>
              <w:t>固体废物治理措施的可行性及达标分析</w:t>
            </w:r>
          </w:p>
          <w:p w14:paraId="75F7DBA2">
            <w:pPr>
              <w:keepNext w:val="0"/>
              <w:keepLines w:val="0"/>
              <w:suppressLineNumbers w:val="0"/>
              <w:spacing w:before="0" w:beforeAutospacing="0" w:after="0" w:afterAutospacing="0" w:line="360" w:lineRule="auto"/>
              <w:ind w:left="0" w:right="105" w:rightChars="50" w:firstLine="480" w:firstLineChars="200"/>
              <w:rPr>
                <w:rFonts w:hint="default" w:ascii="Times New Roman" w:hAnsi="Times New Roman" w:eastAsia="宋体" w:cs="Times New Roman"/>
                <w:b w:val="0"/>
                <w:bCs/>
                <w:color w:val="auto"/>
                <w:kern w:val="0"/>
                <w:sz w:val="24"/>
                <w:szCs w:val="20"/>
                <w:lang w:bidi="ar"/>
              </w:rPr>
            </w:pPr>
            <w:r>
              <w:rPr>
                <w:rFonts w:hint="default" w:ascii="Times New Roman" w:hAnsi="Times New Roman" w:eastAsia="宋体" w:cs="Times New Roman"/>
                <w:b w:val="0"/>
                <w:bCs/>
                <w:color w:val="auto"/>
                <w:kern w:val="0"/>
                <w:sz w:val="24"/>
                <w:szCs w:val="20"/>
                <w:lang w:bidi="ar"/>
              </w:rPr>
              <w:t>根据《工业锅炉污染防治可行技术指南》</w:t>
            </w:r>
            <w:r>
              <w:rPr>
                <w:rFonts w:hint="eastAsia" w:cs="Times New Roman"/>
                <w:b w:val="0"/>
                <w:bCs/>
                <w:color w:val="auto"/>
                <w:kern w:val="0"/>
                <w:sz w:val="24"/>
                <w:szCs w:val="20"/>
                <w:lang w:eastAsia="zh-CN" w:bidi="ar"/>
              </w:rPr>
              <w:t>（</w:t>
            </w:r>
            <w:r>
              <w:rPr>
                <w:rFonts w:hint="default" w:ascii="Times New Roman" w:hAnsi="Times New Roman" w:eastAsia="宋体" w:cs="Times New Roman"/>
                <w:b w:val="0"/>
                <w:bCs/>
                <w:color w:val="auto"/>
                <w:kern w:val="0"/>
                <w:sz w:val="24"/>
                <w:szCs w:val="20"/>
                <w:lang w:bidi="ar"/>
              </w:rPr>
              <w:t>HJ</w:t>
            </w:r>
            <w:r>
              <w:rPr>
                <w:rFonts w:hint="eastAsia" w:cs="Times New Roman"/>
                <w:b w:val="0"/>
                <w:bCs/>
                <w:color w:val="auto"/>
                <w:kern w:val="0"/>
                <w:sz w:val="24"/>
                <w:szCs w:val="20"/>
                <w:lang w:val="en-US" w:eastAsia="zh-CN" w:bidi="ar"/>
              </w:rPr>
              <w:t xml:space="preserve"> </w:t>
            </w:r>
            <w:r>
              <w:rPr>
                <w:rFonts w:hint="default" w:ascii="Times New Roman" w:hAnsi="Times New Roman" w:eastAsia="宋体" w:cs="Times New Roman"/>
                <w:b w:val="0"/>
                <w:bCs/>
                <w:color w:val="auto"/>
                <w:kern w:val="0"/>
                <w:sz w:val="24"/>
                <w:szCs w:val="20"/>
                <w:lang w:bidi="ar"/>
              </w:rPr>
              <w:t>1178-2021</w:t>
            </w:r>
            <w:r>
              <w:rPr>
                <w:rFonts w:hint="eastAsia" w:cs="Times New Roman"/>
                <w:b w:val="0"/>
                <w:bCs/>
                <w:color w:val="auto"/>
                <w:kern w:val="0"/>
                <w:sz w:val="24"/>
                <w:szCs w:val="20"/>
                <w:lang w:eastAsia="zh-CN" w:bidi="ar"/>
              </w:rPr>
              <w:t>），</w:t>
            </w:r>
            <w:r>
              <w:rPr>
                <w:rFonts w:hint="default" w:ascii="Times New Roman" w:hAnsi="Times New Roman" w:eastAsia="宋体" w:cs="Times New Roman"/>
                <w:b w:val="0"/>
                <w:bCs/>
                <w:color w:val="auto"/>
                <w:kern w:val="0"/>
                <w:sz w:val="24"/>
                <w:szCs w:val="20"/>
                <w:lang w:bidi="ar"/>
              </w:rPr>
              <w:t>固体废物应根据其废物属性，按照GB</w:t>
            </w:r>
            <w:r>
              <w:rPr>
                <w:rFonts w:hint="eastAsia" w:cs="Times New Roman"/>
                <w:b w:val="0"/>
                <w:bCs/>
                <w:color w:val="auto"/>
                <w:kern w:val="0"/>
                <w:sz w:val="24"/>
                <w:szCs w:val="20"/>
                <w:lang w:val="en-US" w:eastAsia="zh-CN" w:bidi="ar"/>
              </w:rPr>
              <w:t xml:space="preserve"> </w:t>
            </w:r>
            <w:r>
              <w:rPr>
                <w:rFonts w:hint="default" w:ascii="Times New Roman" w:hAnsi="Times New Roman" w:eastAsia="宋体" w:cs="Times New Roman"/>
                <w:b w:val="0"/>
                <w:bCs/>
                <w:color w:val="auto"/>
                <w:kern w:val="0"/>
                <w:sz w:val="24"/>
                <w:szCs w:val="20"/>
                <w:lang w:bidi="ar"/>
              </w:rPr>
              <w:t>18597或GB</w:t>
            </w:r>
            <w:r>
              <w:rPr>
                <w:rFonts w:hint="eastAsia" w:cs="Times New Roman"/>
                <w:b w:val="0"/>
                <w:bCs/>
                <w:color w:val="auto"/>
                <w:kern w:val="0"/>
                <w:sz w:val="24"/>
                <w:szCs w:val="20"/>
                <w:lang w:val="en-US" w:eastAsia="zh-CN" w:bidi="ar"/>
              </w:rPr>
              <w:t xml:space="preserve"> </w:t>
            </w:r>
            <w:r>
              <w:rPr>
                <w:rFonts w:hint="default" w:ascii="Times New Roman" w:hAnsi="Times New Roman" w:eastAsia="宋体" w:cs="Times New Roman"/>
                <w:b w:val="0"/>
                <w:bCs/>
                <w:color w:val="auto"/>
                <w:kern w:val="0"/>
                <w:sz w:val="24"/>
                <w:szCs w:val="20"/>
                <w:lang w:bidi="ar"/>
              </w:rPr>
              <w:t>18599的要求贮存；一般工业固体废物宜优先资源化利用，不能资源化利用时应按照GB</w:t>
            </w:r>
            <w:r>
              <w:rPr>
                <w:rFonts w:hint="eastAsia" w:cs="Times New Roman"/>
                <w:b w:val="0"/>
                <w:bCs/>
                <w:color w:val="auto"/>
                <w:kern w:val="0"/>
                <w:sz w:val="24"/>
                <w:szCs w:val="20"/>
                <w:lang w:val="en-US" w:eastAsia="zh-CN" w:bidi="ar"/>
              </w:rPr>
              <w:t xml:space="preserve"> </w:t>
            </w:r>
            <w:r>
              <w:rPr>
                <w:rFonts w:hint="default" w:ascii="Times New Roman" w:hAnsi="Times New Roman" w:eastAsia="宋体" w:cs="Times New Roman"/>
                <w:b w:val="0"/>
                <w:bCs/>
                <w:color w:val="auto"/>
                <w:kern w:val="0"/>
                <w:sz w:val="24"/>
                <w:szCs w:val="20"/>
                <w:lang w:bidi="ar"/>
              </w:rPr>
              <w:t>18599规定处置。</w:t>
            </w:r>
          </w:p>
          <w:p w14:paraId="65B7DA6E">
            <w:pPr>
              <w:keepNext w:val="0"/>
              <w:keepLines w:val="0"/>
              <w:suppressLineNumbers w:val="0"/>
              <w:spacing w:before="0" w:beforeAutospacing="0" w:after="0" w:afterAutospacing="0" w:line="360" w:lineRule="auto"/>
              <w:ind w:left="0" w:right="105" w:rightChars="50" w:firstLine="480" w:firstLineChars="200"/>
              <w:rPr>
                <w:rFonts w:hint="default" w:ascii="Times New Roman" w:hAnsi="Times New Roman" w:eastAsia="宋体" w:cs="Times New Roman"/>
                <w:b w:val="0"/>
                <w:bCs/>
                <w:color w:val="auto"/>
                <w:kern w:val="0"/>
                <w:sz w:val="24"/>
                <w:szCs w:val="20"/>
                <w:lang w:val="en-US" w:eastAsia="zh-CN" w:bidi="ar"/>
              </w:rPr>
            </w:pPr>
            <w:r>
              <w:rPr>
                <w:rFonts w:hint="eastAsia" w:ascii="Times New Roman" w:hAnsi="Times New Roman" w:eastAsia="宋体" w:cs="Times New Roman"/>
                <w:b w:val="0"/>
                <w:bCs/>
                <w:color w:val="auto"/>
                <w:kern w:val="0"/>
                <w:sz w:val="24"/>
                <w:szCs w:val="20"/>
                <w:lang w:val="en-US" w:eastAsia="zh-CN" w:bidi="ar"/>
              </w:rPr>
              <w:t>生物质颗粒燃烧后产生的灰渣及除尘器收集灰均为生物质颗粒燃烧后剩余产物，都具有高的火山灰活性、持久性且抗磨损，可以应用于水泥混凝土制备中；灰渣表面粗糙且疏松多孔，可用作为滤料、路基或屋面材料等。用于改良混凝土或制造轻质混凝土，可大量用于建筑材料制造中，综合利用可行。</w:t>
            </w:r>
          </w:p>
          <w:p w14:paraId="0EE2E009">
            <w:pPr>
              <w:keepNext w:val="0"/>
              <w:keepLines w:val="0"/>
              <w:suppressLineNumbers w:val="0"/>
              <w:spacing w:before="0" w:beforeAutospacing="0" w:after="0" w:afterAutospacing="0" w:line="360" w:lineRule="auto"/>
              <w:ind w:left="0" w:right="105" w:rightChars="50" w:firstLine="480" w:firstLineChars="200"/>
              <w:rPr>
                <w:rFonts w:hint="default" w:cs="Times New Roman"/>
                <w:b w:val="0"/>
                <w:bCs/>
                <w:color w:val="auto"/>
                <w:kern w:val="0"/>
                <w:sz w:val="24"/>
                <w:szCs w:val="20"/>
                <w:lang w:val="en-US" w:eastAsia="zh-CN" w:bidi="ar"/>
              </w:rPr>
            </w:pPr>
            <w:r>
              <w:rPr>
                <w:rFonts w:hint="eastAsia" w:ascii="Times New Roman" w:hAnsi="Times New Roman" w:eastAsia="宋体" w:cs="Times New Roman"/>
                <w:b w:val="0"/>
                <w:bCs/>
                <w:color w:val="auto"/>
                <w:kern w:val="0"/>
                <w:sz w:val="24"/>
                <w:szCs w:val="20"/>
                <w:lang w:val="en-US" w:eastAsia="zh-CN" w:bidi="ar"/>
              </w:rPr>
              <w:t>锅炉灰渣及除尘器收集尘采用编织袋</w:t>
            </w:r>
            <w:r>
              <w:rPr>
                <w:rFonts w:hint="eastAsia" w:ascii="Times New Roman" w:hAnsi="Times New Roman" w:eastAsia="宋体" w:cs="Times New Roman"/>
                <w:b w:val="0"/>
                <w:bCs/>
                <w:color w:val="auto"/>
                <w:kern w:val="0"/>
                <w:sz w:val="24"/>
                <w:szCs w:val="24"/>
                <w:lang w:val="en-US" w:eastAsia="zh-CN" w:bidi="ar"/>
              </w:rPr>
              <w:t>包装</w:t>
            </w:r>
            <w:r>
              <w:rPr>
                <w:rFonts w:hint="eastAsia" w:ascii="Times New Roman" w:hAnsi="Times New Roman" w:cs="Times New Roman"/>
                <w:color w:val="auto"/>
                <w:sz w:val="24"/>
                <w:szCs w:val="24"/>
                <w:lang w:val="en-US" w:eastAsia="zh-CN"/>
              </w:rPr>
              <w:t>储存在一般废物暂存间</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可作为</w:t>
            </w:r>
            <w:r>
              <w:rPr>
                <w:rFonts w:hint="eastAsia" w:cs="Times New Roman"/>
                <w:color w:val="auto"/>
                <w:sz w:val="24"/>
                <w:szCs w:val="24"/>
                <w:lang w:val="en-US" w:eastAsia="zh-CN"/>
              </w:rPr>
              <w:t>建筑原料或生产建筑原料的材料</w:t>
            </w:r>
            <w:r>
              <w:rPr>
                <w:rFonts w:hint="eastAsia" w:ascii="Times New Roman" w:hAnsi="Times New Roman" w:cs="Times New Roman"/>
                <w:color w:val="auto"/>
                <w:sz w:val="24"/>
                <w:szCs w:val="24"/>
                <w:lang w:val="en-US" w:eastAsia="zh-CN"/>
              </w:rPr>
              <w:t>外售</w:t>
            </w:r>
            <w:r>
              <w:rPr>
                <w:rFonts w:hint="default" w:ascii="Times New Roman" w:hAnsi="Times New Roman" w:eastAsia="宋体" w:cs="Times New Roman"/>
                <w:b w:val="0"/>
                <w:bCs/>
                <w:color w:val="auto"/>
                <w:kern w:val="0"/>
                <w:sz w:val="24"/>
                <w:szCs w:val="24"/>
                <w:lang w:bidi="ar"/>
              </w:rPr>
              <w:t>。</w:t>
            </w:r>
            <w:r>
              <w:rPr>
                <w:rFonts w:hint="eastAsia" w:cs="Times New Roman"/>
                <w:b w:val="0"/>
                <w:bCs/>
                <w:color w:val="auto"/>
                <w:kern w:val="0"/>
                <w:sz w:val="24"/>
                <w:szCs w:val="24"/>
                <w:lang w:val="en-US" w:eastAsia="zh-CN" w:bidi="ar"/>
              </w:rPr>
              <w:t>一般固废暂存间设置在</w:t>
            </w:r>
            <w:r>
              <w:rPr>
                <w:rFonts w:hint="eastAsia" w:cs="Times New Roman"/>
                <w:color w:val="auto"/>
                <w:kern w:val="2"/>
                <w:sz w:val="24"/>
                <w:szCs w:val="24"/>
                <w:highlight w:val="none"/>
                <w:lang w:val="en-US" w:eastAsia="zh-CN" w:bidi="ar-SA"/>
              </w:rPr>
              <w:t>设置在设备区配电室南侧</w:t>
            </w:r>
            <w:r>
              <w:rPr>
                <w:rFonts w:hint="eastAsia" w:cs="Times New Roman"/>
                <w:b w:val="0"/>
                <w:bCs/>
                <w:color w:val="auto"/>
                <w:kern w:val="0"/>
                <w:sz w:val="24"/>
                <w:szCs w:val="24"/>
                <w:lang w:val="en-US" w:eastAsia="zh-CN" w:bidi="ar"/>
              </w:rPr>
              <w:t>，建筑面积20m</w:t>
            </w:r>
            <w:r>
              <w:rPr>
                <w:rFonts w:hint="eastAsia" w:cs="Times New Roman"/>
                <w:b w:val="0"/>
                <w:bCs/>
                <w:color w:val="auto"/>
                <w:kern w:val="0"/>
                <w:sz w:val="24"/>
                <w:szCs w:val="24"/>
                <w:vertAlign w:val="superscript"/>
                <w:lang w:val="en-US" w:eastAsia="zh-CN" w:bidi="ar"/>
              </w:rPr>
              <w:t>2</w:t>
            </w:r>
            <w:r>
              <w:rPr>
                <w:rFonts w:hint="eastAsia" w:cs="Times New Roman"/>
                <w:b w:val="0"/>
                <w:bCs/>
                <w:color w:val="auto"/>
                <w:kern w:val="0"/>
                <w:sz w:val="24"/>
                <w:szCs w:val="24"/>
                <w:lang w:val="en-US" w:eastAsia="zh-CN" w:bidi="ar"/>
              </w:rPr>
              <w:t>，可堆存约1个月的量，固废暂存</w:t>
            </w:r>
            <w:r>
              <w:rPr>
                <w:rFonts w:hint="eastAsia" w:cs="Times New Roman"/>
                <w:b w:val="0"/>
                <w:bCs/>
                <w:color w:val="auto"/>
                <w:kern w:val="0"/>
                <w:sz w:val="24"/>
                <w:szCs w:val="20"/>
                <w:lang w:val="en-US" w:eastAsia="zh-CN" w:bidi="ar"/>
              </w:rPr>
              <w:t>间的建设需满足《一般工业固体废物贮存和填埋污染控制标准》（GB 18599-2020）中的相关要求。</w:t>
            </w:r>
          </w:p>
          <w:p w14:paraId="513D4C8B">
            <w:pPr>
              <w:keepNext w:val="0"/>
              <w:keepLines w:val="0"/>
              <w:suppressLineNumbers w:val="0"/>
              <w:spacing w:before="0" w:beforeAutospacing="0" w:after="0" w:afterAutospacing="0" w:line="360" w:lineRule="auto"/>
              <w:ind w:left="0" w:right="105" w:rightChars="50" w:firstLine="480" w:firstLineChars="200"/>
              <w:rPr>
                <w:rFonts w:hint="default" w:ascii="Times New Roman" w:hAnsi="Times New Roman" w:eastAsia="宋体" w:cs="Times New Roman"/>
                <w:b w:val="0"/>
                <w:bCs/>
                <w:color w:val="auto"/>
                <w:kern w:val="0"/>
                <w:sz w:val="24"/>
                <w:szCs w:val="20"/>
                <w:lang w:bidi="ar"/>
              </w:rPr>
            </w:pPr>
            <w:r>
              <w:rPr>
                <w:rFonts w:hint="default" w:ascii="Times New Roman" w:hAnsi="Times New Roman" w:eastAsia="宋体" w:cs="Times New Roman"/>
                <w:b w:val="0"/>
                <w:bCs/>
                <w:color w:val="auto"/>
                <w:kern w:val="0"/>
                <w:sz w:val="24"/>
                <w:szCs w:val="20"/>
                <w:lang w:bidi="ar"/>
              </w:rPr>
              <w:t>综上所述，本项目采取的固废治理措施是合理可行的。</w:t>
            </w:r>
          </w:p>
          <w:p w14:paraId="06A3964B">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ascii="Times New Roman" w:hAnsi="Times New Roman" w:eastAsia="宋体" w:cs="宋体"/>
                <w:b/>
                <w:bCs/>
                <w:color w:val="auto"/>
                <w:sz w:val="24"/>
                <w:lang w:val="en-US" w:eastAsia="zh-CN"/>
              </w:rPr>
            </w:pPr>
            <w:r>
              <w:rPr>
                <w:rFonts w:hint="eastAsia" w:ascii="Times New Roman" w:hAnsi="Times New Roman" w:eastAsia="宋体" w:cs="宋体"/>
                <w:b/>
                <w:bCs/>
                <w:color w:val="auto"/>
                <w:sz w:val="24"/>
                <w:lang w:val="en-US" w:eastAsia="zh-CN"/>
              </w:rPr>
              <w:t>4.3 危废暂存库</w:t>
            </w:r>
          </w:p>
          <w:p w14:paraId="63D166D4">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eastAsia" w:ascii="Times New Roman" w:hAnsi="Times New Roman" w:eastAsia="宋体" w:cs="宋体"/>
                <w:b/>
                <w:bCs/>
                <w:color w:val="auto"/>
                <w:sz w:val="24"/>
                <w:lang w:val="en-US" w:eastAsia="zh-CN"/>
              </w:rPr>
            </w:pPr>
            <w:r>
              <w:rPr>
                <w:rFonts w:hint="eastAsia" w:ascii="Times New Roman" w:hAnsi="Times New Roman" w:eastAsia="宋体" w:cs="宋体"/>
                <w:b/>
                <w:bCs/>
                <w:color w:val="auto"/>
                <w:sz w:val="24"/>
                <w:lang w:val="en-US" w:eastAsia="zh-CN"/>
              </w:rPr>
              <w:t>4.3.1 危废暂存库设置符合以下要求</w:t>
            </w:r>
          </w:p>
          <w:p w14:paraId="2FBE3A77">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根据《危险废物贮存污染控制标准》（GB 18597-2023）相关要求，项目</w:t>
            </w:r>
            <w:r>
              <w:rPr>
                <w:rFonts w:hint="eastAsia" w:ascii="Times New Roman" w:hAnsi="Times New Roman" w:cs="Times New Roman"/>
                <w:b w:val="0"/>
                <w:bCs w:val="0"/>
                <w:color w:val="auto"/>
                <w:sz w:val="24"/>
                <w:szCs w:val="24"/>
                <w:lang w:val="en-US" w:eastAsia="zh-CN"/>
              </w:rPr>
              <w:t>危废库</w:t>
            </w:r>
            <w:r>
              <w:rPr>
                <w:rFonts w:hint="eastAsia" w:ascii="Times New Roman" w:hAnsi="Times New Roman" w:eastAsia="宋体" w:cs="Times New Roman"/>
                <w:b w:val="0"/>
                <w:bCs w:val="0"/>
                <w:color w:val="auto"/>
                <w:sz w:val="24"/>
                <w:szCs w:val="24"/>
                <w:lang w:val="en-US" w:eastAsia="zh-CN"/>
              </w:rPr>
              <w:t>满足以下要求：</w:t>
            </w:r>
          </w:p>
          <w:p w14:paraId="18077FAD">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（1）基础必须防渗，防渗层为至少1m厚粘土层（渗透系数</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10</w:t>
            </w:r>
            <w:r>
              <w:rPr>
                <w:rFonts w:hint="eastAsia" w:ascii="Times New Roman" w:hAnsi="Times New Roman" w:eastAsia="宋体" w:cs="Times New Roman"/>
                <w:b w:val="0"/>
                <w:bCs w:val="0"/>
                <w:color w:val="auto"/>
                <w:sz w:val="24"/>
                <w:szCs w:val="24"/>
                <w:vertAlign w:val="superscript"/>
                <w:lang w:val="en-US" w:eastAsia="zh-CN"/>
              </w:rPr>
              <w:t>-7</w:t>
            </w:r>
            <w:r>
              <w:rPr>
                <w:rFonts w:hint="eastAsia" w:ascii="Times New Roman" w:hAnsi="Times New Roman" w:eastAsia="宋体" w:cs="Times New Roman"/>
                <w:b w:val="0"/>
                <w:bCs w:val="0"/>
                <w:color w:val="auto"/>
                <w:sz w:val="24"/>
                <w:szCs w:val="24"/>
                <w:lang w:val="en-US" w:eastAsia="zh-CN"/>
              </w:rPr>
              <w:t>cm/s），或2mm厚高密度聚乙烯，或至少2mm厚的其他人工材料，渗透系数</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10</w:t>
            </w:r>
            <w:r>
              <w:rPr>
                <w:rFonts w:hint="eastAsia" w:ascii="Times New Roman" w:hAnsi="Times New Roman" w:eastAsia="宋体" w:cs="Times New Roman"/>
                <w:b w:val="0"/>
                <w:bCs w:val="0"/>
                <w:color w:val="auto"/>
                <w:sz w:val="24"/>
                <w:szCs w:val="24"/>
                <w:vertAlign w:val="superscript"/>
                <w:lang w:val="en-US" w:eastAsia="zh-CN"/>
              </w:rPr>
              <w:t>-10</w:t>
            </w:r>
            <w:r>
              <w:rPr>
                <w:rFonts w:hint="eastAsia" w:ascii="Times New Roman" w:hAnsi="Times New Roman" w:eastAsia="宋体" w:cs="Times New Roman"/>
                <w:b w:val="0"/>
                <w:bCs w:val="0"/>
                <w:color w:val="auto"/>
                <w:sz w:val="24"/>
                <w:szCs w:val="24"/>
                <w:lang w:val="en-US" w:eastAsia="zh-CN"/>
              </w:rPr>
              <w:t>cm/s。</w:t>
            </w:r>
          </w:p>
          <w:p w14:paraId="5543645B">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（2）地面与裙脚要用坚固、防渗的材料建造，建筑材料必须与危险废物相容，设施内要有安全照明设施和观察窗口。</w:t>
            </w:r>
          </w:p>
          <w:p w14:paraId="137CB2B8">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（3）用以存放装载液体、半固体危险废物容器的地方，必须有耐腐蚀的硬化地面，且表面无裂隙。</w:t>
            </w:r>
          </w:p>
          <w:p w14:paraId="0C908387">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（4）应设计堵截泄漏的裙脚，地面与裙脚所围建的容积不低于堵截最大容器的最大储量或总储量的五分之一。</w:t>
            </w:r>
          </w:p>
          <w:p w14:paraId="04217FB2">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（5）在厂区内建设专门的危险废物临时贮存场所。不相容的危险废物必须分开存放，并设有隔离间隔。</w:t>
            </w:r>
          </w:p>
          <w:p w14:paraId="5235516B">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（6）危险废物暂存间根据危险属性设置醒目的危险标志、标牌，危险废物警告标识应固定于房屋</w:t>
            </w:r>
            <w:r>
              <w:rPr>
                <w:rFonts w:hint="eastAsia" w:ascii="Times New Roman" w:hAnsi="Times New Roman" w:cs="Times New Roman"/>
                <w:b w:val="0"/>
                <w:bCs w:val="0"/>
                <w:color w:val="auto"/>
                <w:sz w:val="24"/>
                <w:szCs w:val="24"/>
                <w:lang w:val="en-US" w:eastAsia="zh-CN"/>
              </w:rPr>
              <w:t>外</w:t>
            </w:r>
            <w:r>
              <w:rPr>
                <w:rFonts w:hint="eastAsia" w:ascii="Times New Roman" w:hAnsi="Times New Roman" w:eastAsia="宋体" w:cs="Times New Roman"/>
                <w:b w:val="0"/>
                <w:bCs w:val="0"/>
                <w:color w:val="auto"/>
                <w:sz w:val="24"/>
                <w:szCs w:val="24"/>
                <w:lang w:val="en-US" w:eastAsia="zh-CN"/>
              </w:rPr>
              <w:t>门的一侧，靠近门口适当高度或对应的墙壁上等醒目、便于观察的位置上，并设置明显隔离带；危废暂存库采取防渗、防雨及防泄漏措施。</w:t>
            </w:r>
          </w:p>
          <w:p w14:paraId="0BAC7192">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eastAsia" w:ascii="Times New Roman" w:hAnsi="Times New Roman" w:eastAsia="宋体" w:cs="宋体"/>
                <w:b/>
                <w:bCs/>
                <w:color w:val="auto"/>
                <w:sz w:val="24"/>
                <w:lang w:val="en-US" w:eastAsia="zh-CN"/>
              </w:rPr>
            </w:pPr>
            <w:r>
              <w:rPr>
                <w:rFonts w:hint="eastAsia" w:ascii="Times New Roman" w:hAnsi="Times New Roman" w:eastAsia="宋体" w:cs="宋体"/>
                <w:b/>
                <w:bCs/>
                <w:color w:val="auto"/>
                <w:sz w:val="24"/>
                <w:lang w:val="en-US" w:eastAsia="zh-CN"/>
              </w:rPr>
              <w:t>4.3.2 危险废物的贮存要求</w:t>
            </w:r>
          </w:p>
          <w:p w14:paraId="6504805C">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（1）堆放区之间均保持至少0.8m的间距，堆放区与地沟之间均保持至少0.5m的间距，可以保证空气畅通。</w:t>
            </w:r>
          </w:p>
          <w:p w14:paraId="1CA4BFDC">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（2）贮存容器要求</w:t>
            </w:r>
          </w:p>
          <w:p w14:paraId="4AA77268">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1）装载危险废物的容器及材质要满足相应的强度要求，应根据危险废物的不同特性而设计，不易破损、变形、老化，能有效地防止渗漏、扩散。</w:t>
            </w:r>
          </w:p>
          <w:p w14:paraId="779DD220">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2）装有危险废物的容器必须贴有符合《危险废物贮存污染控制标准》（GB 18597-2023）中附录A所示的标签，在标签上详细标明危险废物的名称、重量、成分、特性以及发生泄漏、扩散污染事故时的应急措施和补救方法。</w:t>
            </w:r>
          </w:p>
          <w:p w14:paraId="42DF5BAD">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3）装载危险废物的容器必须完好无损。</w:t>
            </w:r>
          </w:p>
          <w:p w14:paraId="6320D64C">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（3）贮存设施设计要求</w:t>
            </w:r>
          </w:p>
          <w:p w14:paraId="64CA71CA">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1）贮存设施地面与裙脚要用坚固、防渗的材料建造，建筑材料必须与危险废物相容。</w:t>
            </w:r>
          </w:p>
          <w:p w14:paraId="2D776DC3">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2）必须有泄漏液体收集装置。</w:t>
            </w:r>
          </w:p>
          <w:p w14:paraId="4F259F8E">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3）设施内要有安全照明设施和观察窗口。</w:t>
            </w:r>
          </w:p>
          <w:p w14:paraId="481C2B7E">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4）存放半固体危险废物容器的地方，必须有耐腐蚀的硬化地面，且表面无裂痕。</w:t>
            </w:r>
          </w:p>
          <w:p w14:paraId="405EEBFA">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（4）贮存设施的运行与管理</w:t>
            </w:r>
          </w:p>
          <w:p w14:paraId="470E3EB5">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1）必须定期对所贮存的危险废物包装容器及贮存设施进行检查，发现破损，应及时采取措施清理更换。</w:t>
            </w:r>
          </w:p>
          <w:p w14:paraId="33F1637D">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2）如有泄漏液、清洗液、浸出液必须符合GB8978的要求方可排放。</w:t>
            </w:r>
          </w:p>
          <w:p w14:paraId="438A3F59">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（5）安全防护要求</w:t>
            </w:r>
          </w:p>
          <w:p w14:paraId="47BBE8EF">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1）危险废物贮存设施都必须按GB15562.2的规定设置警示标志。</w:t>
            </w:r>
          </w:p>
          <w:p w14:paraId="5723F4B1">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2）危险废物贮存设施周围应设置围墙或其他防护栅栏。</w:t>
            </w:r>
          </w:p>
          <w:p w14:paraId="6696DACD">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3）危险废物贮存设施内清理出来的泄漏物，一律按危险废物处理。</w:t>
            </w:r>
          </w:p>
          <w:p w14:paraId="7228409F">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4）严禁露天堆放，避免风吹日晒和雨淋而造成污染，严禁将危险废物混入非危险废物中。</w:t>
            </w:r>
          </w:p>
          <w:p w14:paraId="40DC306C">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eastAsia" w:ascii="Times New Roman" w:hAnsi="Times New Roman" w:eastAsia="宋体" w:cs="宋体"/>
                <w:b/>
                <w:bCs/>
                <w:color w:val="auto"/>
                <w:sz w:val="24"/>
                <w:lang w:val="en-US" w:eastAsia="zh-CN"/>
              </w:rPr>
            </w:pPr>
            <w:r>
              <w:rPr>
                <w:rFonts w:hint="eastAsia" w:ascii="Times New Roman" w:hAnsi="Times New Roman" w:eastAsia="宋体" w:cs="宋体"/>
                <w:b/>
                <w:bCs/>
                <w:color w:val="auto"/>
                <w:sz w:val="24"/>
                <w:lang w:val="en-US" w:eastAsia="zh-CN"/>
              </w:rPr>
              <w:t>4.3.3 危险废物运输</w:t>
            </w:r>
          </w:p>
          <w:p w14:paraId="74718370">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危险废物运输应严格执行《危险废物转移管理办法》（生态环境部、公安部、交通运输部令第23号公布）。</w:t>
            </w:r>
          </w:p>
          <w:p w14:paraId="02C5F484">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（1）转移危险废物的，应当通过国家危险废物信息管理系统（以下简称信息系统）填写、运行危险废物电子转移联单，并依照国家有关规定公开危险废物转移相关污染环境防治信息；</w:t>
            </w:r>
          </w:p>
          <w:p w14:paraId="056C5354">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（2）运输危险废物的，应当遵守国家有关危险货物运输管理的规定。未经公安机关批准，危险废物运输车辆不得进入危险货物运输车辆限制通行的区域；</w:t>
            </w:r>
          </w:p>
          <w:p w14:paraId="6B799F80">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（3）装运危险废物的罐（槽）应与所装废物的性能相适应，并具有足够的强度；罐（槽）外部的附件应有可靠的防护设施，应保证所装废物不发生“跑、冒、滴、漏”，并在阀门口装置积漏器；</w:t>
            </w:r>
          </w:p>
          <w:p w14:paraId="0945B00E">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（4）装卸危险废物的机械和工具应有消除产生火花的措施；</w:t>
            </w:r>
          </w:p>
          <w:p w14:paraId="40C1F41F">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（5）运输危险废物的车辆应严格遵守交通、消防、治安等法规，并应控制车速，保持与前车的距离，严禁违章超车，确保行车安全；</w:t>
            </w:r>
          </w:p>
          <w:p w14:paraId="2C76A574">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（6）装运危险废物的车厢必须保持清洁干燥，车上残留物不得任意排弃，被危险废物污染过的车辆及工具必须洗刷消毒；</w:t>
            </w:r>
          </w:p>
          <w:p w14:paraId="7D1A2375">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（7）危险废物运输应由具有从事危险废物运输经营许可证的运输单位完成；</w:t>
            </w:r>
          </w:p>
          <w:p w14:paraId="54B35FF0">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（8）对承运人或者接受人的主体资格和技术能力进行核实，依法签订书面合同，并在合同中约定运输、贮存、利用、处置危险废物的污染防治要求及相关责任；</w:t>
            </w:r>
          </w:p>
          <w:p w14:paraId="4C7EC7B6">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（9）制定危险废物管理计划，明确拟转移危险废物的种类、重量（数量）和流向等信息；</w:t>
            </w:r>
          </w:p>
          <w:p w14:paraId="3CD2A06C">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（10）建立危险废物管理台账，对转移的危险废物进行计量称重，如实记录、妥善保管转移危险废物的种类、重量（数量）和接受人等相关信息；</w:t>
            </w:r>
          </w:p>
          <w:p w14:paraId="5817FDA4">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（11）填写、运行危险废物转移联单，在危险废物转移联单中如实填写移出人、承运人、接受人信息，转移危险废物的种类、重量（数量）、危险特性等信息，以及突发环境事件的防范措施等；</w:t>
            </w:r>
          </w:p>
          <w:p w14:paraId="3A487DA5">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（12）及时核实接受人贮存、利用或者处置相关危险废物情况；</w:t>
            </w:r>
          </w:p>
          <w:p w14:paraId="6CF33050">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（13）危险废物电子转移联单数据应当在信息系统中至少保存十年。</w:t>
            </w:r>
          </w:p>
          <w:p w14:paraId="72122659">
            <w:pPr>
              <w:pStyle w:val="1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因特殊原因无法运行危险废物电子转移联单的，可以先使用纸质转移联单，并于转移活动完成后十个工作日内在信息系统中补录电子转移联单。</w:t>
            </w:r>
          </w:p>
          <w:p w14:paraId="4E04797B">
            <w:pPr>
              <w:pStyle w:val="69"/>
              <w:keepNext w:val="0"/>
              <w:keepLines w:val="0"/>
              <w:suppressLineNumbers w:val="0"/>
              <w:adjustRightInd/>
              <w:snapToGrid/>
              <w:spacing w:before="0" w:beforeAutospacing="0" w:after="0" w:afterAutospacing="0" w:line="360" w:lineRule="auto"/>
              <w:ind w:left="0" w:right="0" w:firstLine="0"/>
              <w:rPr>
                <w:rFonts w:hint="default" w:ascii="Times New Roman" w:hAnsi="Times New Roman" w:eastAsia="宋体" w:cs="Times New Roman"/>
                <w:b/>
                <w:bCs/>
                <w:color w:val="auto"/>
                <w:sz w:val="24"/>
                <w:lang w:val="en-US"/>
              </w:rPr>
            </w:pPr>
            <w:r>
              <w:rPr>
                <w:rFonts w:hint="default" w:ascii="Times New Roman" w:hAnsi="Times New Roman" w:eastAsia="宋体" w:cs="Times New Roman"/>
                <w:b/>
                <w:bCs/>
                <w:color w:val="auto"/>
                <w:sz w:val="24"/>
                <w:lang w:val="en-US"/>
              </w:rPr>
              <w:t>5、地下水、土壤</w:t>
            </w:r>
          </w:p>
          <w:p w14:paraId="4C19F1D4">
            <w:pPr>
              <w:keepNext w:val="0"/>
              <w:keepLines w:val="0"/>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kern w:val="0"/>
                <w:sz w:val="24"/>
                <w:lang w:val="en-US" w:eastAsia="zh-CN"/>
              </w:rPr>
            </w:pPr>
            <w:r>
              <w:rPr>
                <w:rFonts w:hint="eastAsia" w:cs="Times New Roman"/>
                <w:color w:val="auto"/>
                <w:kern w:val="0"/>
                <w:sz w:val="24"/>
                <w:szCs w:val="20"/>
                <w:lang w:val="en-US" w:eastAsia="zh-CN"/>
              </w:rPr>
              <w:t>本项目不存在地下水、土壤污染途径</w:t>
            </w:r>
            <w:r>
              <w:rPr>
                <w:rFonts w:hint="default" w:ascii="Times New Roman" w:hAnsi="Times New Roman" w:eastAsia="宋体" w:cs="Times New Roman"/>
                <w:color w:val="auto"/>
                <w:kern w:val="0"/>
                <w:sz w:val="24"/>
                <w:szCs w:val="20"/>
              </w:rPr>
              <w:t>，可不展开</w:t>
            </w:r>
            <w:r>
              <w:rPr>
                <w:rFonts w:hint="eastAsia" w:cs="Times New Roman"/>
                <w:color w:val="auto"/>
                <w:kern w:val="0"/>
                <w:sz w:val="24"/>
                <w:szCs w:val="20"/>
                <w:lang w:val="en-US" w:eastAsia="zh-CN"/>
              </w:rPr>
              <w:t>地下水、</w:t>
            </w:r>
            <w:r>
              <w:rPr>
                <w:rFonts w:hint="default" w:ascii="Times New Roman" w:hAnsi="Times New Roman" w:eastAsia="宋体" w:cs="Times New Roman"/>
                <w:color w:val="auto"/>
                <w:kern w:val="0"/>
                <w:sz w:val="24"/>
                <w:szCs w:val="20"/>
              </w:rPr>
              <w:t>土壤环境影响评价。</w:t>
            </w:r>
            <w:r>
              <w:rPr>
                <w:rFonts w:hint="default" w:ascii="Times New Roman" w:hAnsi="Times New Roman" w:eastAsia="宋体" w:cs="Times New Roman"/>
                <w:color w:val="auto"/>
                <w:sz w:val="24"/>
                <w:szCs w:val="24"/>
              </w:rPr>
              <w:t>项目</w:t>
            </w:r>
            <w:r>
              <w:rPr>
                <w:rFonts w:hint="eastAsia" w:ascii="Times New Roman" w:hAnsi="Times New Roman" w:eastAsia="宋体" w:cs="Times New Roman"/>
                <w:color w:val="auto"/>
                <w:sz w:val="24"/>
                <w:szCs w:val="24"/>
                <w:lang w:val="en-US" w:eastAsia="zh-CN"/>
              </w:rPr>
              <w:t>各生产区域</w:t>
            </w:r>
            <w:r>
              <w:rPr>
                <w:rFonts w:hint="default" w:ascii="Times New Roman" w:hAnsi="Times New Roman" w:eastAsia="宋体" w:cs="Times New Roman"/>
                <w:color w:val="auto"/>
                <w:sz w:val="24"/>
                <w:szCs w:val="24"/>
              </w:rPr>
              <w:t>采取了严格的污染防范措施，</w:t>
            </w:r>
            <w:r>
              <w:rPr>
                <w:rFonts w:hint="eastAsia" w:ascii="Times New Roman" w:hAnsi="Times New Roman" w:eastAsia="宋体" w:cs="Times New Roman"/>
                <w:color w:val="auto"/>
                <w:sz w:val="24"/>
                <w:szCs w:val="24"/>
                <w:lang w:val="en-US" w:eastAsia="zh-CN"/>
              </w:rPr>
              <w:t>正常情况下</w:t>
            </w:r>
            <w:r>
              <w:rPr>
                <w:rFonts w:hint="default" w:ascii="Times New Roman" w:hAnsi="Times New Roman" w:eastAsia="宋体" w:cs="Times New Roman"/>
                <w:color w:val="auto"/>
                <w:sz w:val="24"/>
                <w:szCs w:val="24"/>
              </w:rPr>
              <w:t>不会对周围</w:t>
            </w:r>
            <w:r>
              <w:rPr>
                <w:rFonts w:hint="eastAsia" w:ascii="Times New Roman" w:hAnsi="Times New Roman" w:eastAsia="宋体" w:cs="Times New Roman"/>
                <w:color w:val="auto"/>
                <w:sz w:val="24"/>
                <w:szCs w:val="24"/>
                <w:lang w:val="en-US" w:eastAsia="zh-CN"/>
              </w:rPr>
              <w:t>地下水和</w:t>
            </w:r>
            <w:r>
              <w:rPr>
                <w:rFonts w:hint="default" w:ascii="Times New Roman" w:hAnsi="Times New Roman" w:eastAsia="宋体" w:cs="Times New Roman"/>
                <w:color w:val="auto"/>
                <w:sz w:val="24"/>
                <w:szCs w:val="24"/>
              </w:rPr>
              <w:t>土壤产生影响。</w:t>
            </w:r>
          </w:p>
          <w:p w14:paraId="1D20D4B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0"/>
                <w:sz w:val="24"/>
                <w:lang w:val="en-US" w:eastAsia="zh-CN"/>
              </w:rPr>
            </w:pPr>
            <w:r>
              <w:rPr>
                <w:rFonts w:hint="eastAsia" w:ascii="Times New Roman" w:hAnsi="Times New Roman" w:eastAsia="宋体" w:cs="Times New Roman"/>
                <w:color w:val="auto"/>
                <w:kern w:val="0"/>
                <w:sz w:val="24"/>
                <w:lang w:val="en-US" w:eastAsia="zh-CN"/>
              </w:rPr>
              <w:t>（</w:t>
            </w:r>
            <w:r>
              <w:rPr>
                <w:rFonts w:hint="default" w:ascii="Times New Roman" w:hAnsi="Times New Roman" w:eastAsia="宋体" w:cs="Times New Roman"/>
                <w:color w:val="auto"/>
                <w:kern w:val="0"/>
                <w:sz w:val="24"/>
                <w:lang w:val="en-US" w:eastAsia="zh-CN"/>
              </w:rPr>
              <w:t>1</w:t>
            </w:r>
            <w:r>
              <w:rPr>
                <w:rFonts w:hint="eastAsia" w:cs="Times New Roman"/>
                <w:color w:val="auto"/>
                <w:kern w:val="0"/>
                <w:sz w:val="24"/>
                <w:lang w:val="en-US" w:eastAsia="zh-CN"/>
              </w:rPr>
              <w:t>）</w:t>
            </w:r>
            <w:r>
              <w:rPr>
                <w:rFonts w:hint="eastAsia" w:ascii="Times New Roman" w:hAnsi="Times New Roman" w:eastAsia="宋体" w:cs="Times New Roman"/>
                <w:color w:val="auto"/>
                <w:kern w:val="0"/>
                <w:sz w:val="24"/>
                <w:lang w:val="en-US" w:eastAsia="zh-CN"/>
              </w:rPr>
              <w:t>地下水、土壤污染源及污染途径</w:t>
            </w:r>
          </w:p>
          <w:p w14:paraId="63600752">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0"/>
                <w:sz w:val="24"/>
                <w:lang w:val="en-US" w:eastAsia="zh-CN"/>
              </w:rPr>
            </w:pPr>
            <w:r>
              <w:rPr>
                <w:rFonts w:hint="eastAsia" w:ascii="Times New Roman" w:hAnsi="Times New Roman" w:eastAsia="宋体" w:cs="Times New Roman"/>
                <w:color w:val="auto"/>
                <w:kern w:val="0"/>
                <w:sz w:val="24"/>
                <w:lang w:val="en-US" w:eastAsia="zh-CN"/>
              </w:rPr>
              <w:t>本项目运营过程地下水、土壤污染源主要是锅炉废水泄漏地坪下渗对周围土壤、地下水环境造成不利影响。</w:t>
            </w:r>
          </w:p>
          <w:p w14:paraId="3393704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0"/>
                <w:sz w:val="24"/>
                <w:lang w:val="en-US" w:eastAsia="zh-CN"/>
              </w:rPr>
            </w:pPr>
            <w:r>
              <w:rPr>
                <w:rFonts w:hint="eastAsia" w:ascii="Times New Roman" w:hAnsi="Times New Roman" w:eastAsia="宋体" w:cs="Times New Roman"/>
                <w:color w:val="auto"/>
                <w:kern w:val="0"/>
                <w:sz w:val="24"/>
                <w:lang w:val="en-US" w:eastAsia="zh-CN"/>
              </w:rPr>
              <w:t>（</w:t>
            </w:r>
            <w:r>
              <w:rPr>
                <w:rFonts w:hint="default" w:ascii="Times New Roman" w:hAnsi="Times New Roman" w:eastAsia="宋体" w:cs="Times New Roman"/>
                <w:color w:val="auto"/>
                <w:kern w:val="0"/>
                <w:sz w:val="24"/>
                <w:lang w:val="en-US" w:eastAsia="zh-CN"/>
              </w:rPr>
              <w:t>2</w:t>
            </w:r>
            <w:r>
              <w:rPr>
                <w:rFonts w:hint="eastAsia" w:cs="Times New Roman"/>
                <w:color w:val="auto"/>
                <w:kern w:val="0"/>
                <w:sz w:val="24"/>
                <w:lang w:val="en-US" w:eastAsia="zh-CN"/>
              </w:rPr>
              <w:t>）</w:t>
            </w:r>
            <w:r>
              <w:rPr>
                <w:rFonts w:hint="eastAsia" w:ascii="Times New Roman" w:hAnsi="Times New Roman" w:eastAsia="宋体" w:cs="Times New Roman"/>
                <w:color w:val="auto"/>
                <w:kern w:val="0"/>
                <w:sz w:val="24"/>
                <w:lang w:val="en-US" w:eastAsia="zh-CN"/>
              </w:rPr>
              <w:t>防控措施</w:t>
            </w:r>
          </w:p>
          <w:p w14:paraId="011AA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color w:val="auto"/>
                <w:kern w:val="0"/>
                <w:sz w:val="24"/>
                <w:lang w:val="en-US" w:eastAsia="zh-CN"/>
              </w:rPr>
              <w:t>为有效预防地下水及土壤污染，本项目采取分区防渗措施。结合本项目工艺特点，本项目按重点防渗区、一般防渗区和简单防渗区分区域进行防渗处理。</w:t>
            </w:r>
          </w:p>
          <w:p w14:paraId="29AC54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2" w:firstLineChars="200"/>
              <w:jc w:val="right"/>
              <w:textAlignment w:val="auto"/>
              <w:rPr>
                <w:rFonts w:hint="eastAsia" w:ascii="Times New Roman" w:hAnsi="Times New Roman" w:eastAsia="宋体" w:cs="Times New Roman"/>
                <w:b/>
                <w:bCs/>
                <w:color w:val="auto"/>
                <w:kern w:val="0"/>
                <w:sz w:val="21"/>
                <w:szCs w:val="21"/>
                <w:lang w:val="en-US" w:eastAsia="zh-CN"/>
              </w:rPr>
            </w:pPr>
          </w:p>
          <w:p w14:paraId="1E7E73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2" w:firstLineChars="200"/>
              <w:jc w:val="center"/>
              <w:textAlignment w:val="auto"/>
              <w:rPr>
                <w:rFonts w:hint="eastAsia"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表4-</w:t>
            </w:r>
            <w:r>
              <w:rPr>
                <w:rFonts w:hint="eastAsia" w:cs="Times New Roman"/>
                <w:b/>
                <w:bCs/>
                <w:color w:val="auto"/>
                <w:kern w:val="0"/>
                <w:sz w:val="21"/>
                <w:szCs w:val="21"/>
                <w:lang w:val="en-US" w:eastAsia="zh-CN"/>
              </w:rPr>
              <w:t>18</w:t>
            </w:r>
            <w:r>
              <w:rPr>
                <w:rFonts w:hint="eastAsia" w:ascii="Times New Roman" w:hAnsi="Times New Roman" w:eastAsia="宋体" w:cs="Times New Roman"/>
                <w:b/>
                <w:bCs/>
                <w:color w:val="auto"/>
                <w:kern w:val="0"/>
                <w:sz w:val="21"/>
                <w:szCs w:val="21"/>
                <w:lang w:val="en-US" w:eastAsia="zh-CN"/>
              </w:rPr>
              <w:t xml:space="preserve">  地下水污染防渗分区参照表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449"/>
              <w:gridCol w:w="1385"/>
              <w:gridCol w:w="1809"/>
              <w:gridCol w:w="2319"/>
            </w:tblGrid>
            <w:tr w14:paraId="340B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pct"/>
                  <w:noWrap w:val="0"/>
                  <w:vAlign w:val="center"/>
                </w:tcPr>
                <w:p w14:paraId="38179311">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b/>
                      <w:bCs/>
                      <w:color w:val="auto"/>
                      <w:sz w:val="21"/>
                      <w:vertAlign w:val="baseline"/>
                      <w:lang w:val="en-US" w:eastAsia="zh-CN"/>
                    </w:rPr>
                  </w:pPr>
                  <w:r>
                    <w:rPr>
                      <w:rFonts w:hint="default" w:ascii="Times New Roman" w:hAnsi="Times New Roman" w:eastAsia="宋体"/>
                      <w:b/>
                      <w:bCs/>
                      <w:color w:val="auto"/>
                      <w:spacing w:val="4"/>
                      <w:sz w:val="21"/>
                    </w:rPr>
                    <w:t>防渗分区</w:t>
                  </w:r>
                </w:p>
              </w:tc>
              <w:tc>
                <w:tcPr>
                  <w:tcW w:w="886" w:type="pct"/>
                  <w:noWrap w:val="0"/>
                  <w:vAlign w:val="center"/>
                </w:tcPr>
                <w:p w14:paraId="4D0E0765">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b/>
                      <w:bCs/>
                      <w:color w:val="auto"/>
                      <w:sz w:val="21"/>
                      <w:vertAlign w:val="baseline"/>
                      <w:lang w:val="en-US" w:eastAsia="zh-CN"/>
                    </w:rPr>
                  </w:pPr>
                  <w:r>
                    <w:rPr>
                      <w:rFonts w:hint="default" w:ascii="Times New Roman" w:hAnsi="Times New Roman" w:eastAsia="宋体"/>
                      <w:b/>
                      <w:bCs/>
                      <w:color w:val="auto"/>
                      <w:spacing w:val="6"/>
                      <w:sz w:val="21"/>
                    </w:rPr>
                    <w:t>天然包气</w:t>
                  </w:r>
                  <w:r>
                    <w:rPr>
                      <w:rFonts w:hint="default" w:ascii="Times New Roman" w:hAnsi="Times New Roman" w:eastAsia="宋体"/>
                      <w:b/>
                      <w:bCs/>
                      <w:color w:val="auto"/>
                      <w:spacing w:val="5"/>
                      <w:sz w:val="21"/>
                    </w:rPr>
                    <w:t>带防污性</w:t>
                  </w:r>
                  <w:r>
                    <w:rPr>
                      <w:rFonts w:hint="default" w:ascii="Times New Roman" w:hAnsi="Times New Roman" w:eastAsia="宋体"/>
                      <w:b/>
                      <w:bCs/>
                      <w:color w:val="auto"/>
                      <w:sz w:val="21"/>
                    </w:rPr>
                    <w:t>能</w:t>
                  </w:r>
                </w:p>
              </w:tc>
              <w:tc>
                <w:tcPr>
                  <w:tcW w:w="847" w:type="pct"/>
                  <w:noWrap w:val="0"/>
                  <w:vAlign w:val="center"/>
                </w:tcPr>
                <w:p w14:paraId="131B72AA">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rPr>
                      <w:rFonts w:hint="default" w:ascii="Times New Roman" w:hAnsi="Times New Roman" w:eastAsia="宋体"/>
                      <w:b/>
                      <w:bCs/>
                      <w:color w:val="auto"/>
                      <w:sz w:val="21"/>
                      <w:vertAlign w:val="baseline"/>
                      <w:lang w:val="en-US" w:eastAsia="zh-CN"/>
                    </w:rPr>
                  </w:pPr>
                  <w:r>
                    <w:rPr>
                      <w:rFonts w:hint="default" w:ascii="Times New Roman" w:hAnsi="Times New Roman" w:eastAsia="宋体"/>
                      <w:b/>
                      <w:bCs/>
                      <w:color w:val="auto"/>
                      <w:spacing w:val="6"/>
                      <w:sz w:val="21"/>
                    </w:rPr>
                    <w:t>污染控制难易</w:t>
                  </w:r>
                  <w:r>
                    <w:rPr>
                      <w:rFonts w:hint="default" w:ascii="Times New Roman" w:hAnsi="Times New Roman" w:eastAsia="宋体"/>
                      <w:b/>
                      <w:bCs/>
                      <w:color w:val="auto"/>
                      <w:spacing w:val="15"/>
                      <w:w w:val="121"/>
                      <w:sz w:val="21"/>
                    </w:rPr>
                    <w:t>程度</w:t>
                  </w:r>
                </w:p>
              </w:tc>
              <w:tc>
                <w:tcPr>
                  <w:tcW w:w="1106" w:type="pct"/>
                  <w:noWrap w:val="0"/>
                  <w:vAlign w:val="center"/>
                </w:tcPr>
                <w:p w14:paraId="556D7CA3">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b/>
                      <w:bCs/>
                      <w:color w:val="auto"/>
                      <w:sz w:val="21"/>
                      <w:vertAlign w:val="baseline"/>
                      <w:lang w:val="en-US" w:eastAsia="zh-CN"/>
                    </w:rPr>
                  </w:pPr>
                  <w:r>
                    <w:rPr>
                      <w:rFonts w:hint="default" w:ascii="Times New Roman" w:hAnsi="Times New Roman" w:eastAsia="宋体"/>
                      <w:b/>
                      <w:bCs/>
                      <w:color w:val="auto"/>
                      <w:spacing w:val="7"/>
                      <w:sz w:val="21"/>
                    </w:rPr>
                    <w:t>污染物类型</w:t>
                  </w:r>
                </w:p>
              </w:tc>
              <w:tc>
                <w:tcPr>
                  <w:tcW w:w="1418" w:type="pct"/>
                  <w:noWrap w:val="0"/>
                  <w:vAlign w:val="center"/>
                </w:tcPr>
                <w:p w14:paraId="54106F7A">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b/>
                      <w:bCs/>
                      <w:color w:val="auto"/>
                      <w:sz w:val="21"/>
                      <w:vertAlign w:val="baseline"/>
                      <w:lang w:val="en-US" w:eastAsia="zh-CN"/>
                    </w:rPr>
                  </w:pPr>
                  <w:r>
                    <w:rPr>
                      <w:rFonts w:hint="default" w:ascii="Times New Roman" w:hAnsi="Times New Roman" w:eastAsia="宋体"/>
                      <w:b/>
                      <w:bCs/>
                      <w:color w:val="auto"/>
                      <w:spacing w:val="6"/>
                      <w:sz w:val="21"/>
                    </w:rPr>
                    <w:t>防渗技术要求</w:t>
                  </w:r>
                </w:p>
              </w:tc>
            </w:tr>
            <w:tr w14:paraId="4E7A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pct"/>
                  <w:vMerge w:val="restart"/>
                  <w:noWrap w:val="0"/>
                  <w:vAlign w:val="center"/>
                </w:tcPr>
                <w:p w14:paraId="26D0E754">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7"/>
                      <w:sz w:val="21"/>
                    </w:rPr>
                    <w:t>重点防渗分</w:t>
                  </w:r>
                  <w:r>
                    <w:rPr>
                      <w:rFonts w:hint="default" w:ascii="Times New Roman" w:hAnsi="Times New Roman" w:eastAsia="宋体"/>
                      <w:color w:val="auto"/>
                      <w:sz w:val="21"/>
                    </w:rPr>
                    <w:t>区</w:t>
                  </w:r>
                </w:p>
              </w:tc>
              <w:tc>
                <w:tcPr>
                  <w:tcW w:w="886" w:type="pct"/>
                  <w:noWrap w:val="0"/>
                  <w:vAlign w:val="center"/>
                </w:tcPr>
                <w:p w14:paraId="102E117D">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rPr>
                    <w:t>弱</w:t>
                  </w:r>
                </w:p>
              </w:tc>
              <w:tc>
                <w:tcPr>
                  <w:tcW w:w="847" w:type="pct"/>
                  <w:noWrap w:val="0"/>
                  <w:vAlign w:val="center"/>
                </w:tcPr>
                <w:p w14:paraId="7786D868">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1"/>
                      <w:sz w:val="21"/>
                    </w:rPr>
                    <w:t>难</w:t>
                  </w:r>
                </w:p>
              </w:tc>
              <w:tc>
                <w:tcPr>
                  <w:tcW w:w="1106" w:type="pct"/>
                  <w:vMerge w:val="restart"/>
                  <w:noWrap w:val="0"/>
                  <w:vAlign w:val="center"/>
                </w:tcPr>
                <w:p w14:paraId="0FF66760">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8"/>
                      <w:sz w:val="21"/>
                    </w:rPr>
                    <w:t>重金属、持久</w:t>
                  </w:r>
                  <w:r>
                    <w:rPr>
                      <w:rFonts w:hint="default" w:ascii="Times New Roman" w:hAnsi="Times New Roman" w:eastAsia="宋体"/>
                      <w:color w:val="auto"/>
                      <w:spacing w:val="7"/>
                      <w:sz w:val="21"/>
                    </w:rPr>
                    <w:t>性有机污染物</w:t>
                  </w:r>
                </w:p>
              </w:tc>
              <w:tc>
                <w:tcPr>
                  <w:tcW w:w="1418" w:type="pct"/>
                  <w:vMerge w:val="restart"/>
                  <w:noWrap w:val="0"/>
                  <w:vAlign w:val="center"/>
                </w:tcPr>
                <w:p w14:paraId="7F84AF3D">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7"/>
                      <w:sz w:val="21"/>
                    </w:rPr>
                    <w:t>等效黏土防渗层</w:t>
                  </w:r>
                  <w:r>
                    <w:rPr>
                      <w:rFonts w:hint="default" w:ascii="Times New Roman" w:hAnsi="Times New Roman" w:eastAsia="宋体" w:cs="Times New Roman"/>
                      <w:color w:val="auto"/>
                      <w:sz w:val="21"/>
                    </w:rPr>
                    <w:t>Mb</w:t>
                  </w:r>
                  <w:r>
                    <w:rPr>
                      <w:rFonts w:hint="default" w:ascii="Times New Roman" w:hAnsi="Times New Roman" w:eastAsia="宋体" w:cs="Times New Roman"/>
                      <w:color w:val="auto"/>
                      <w:spacing w:val="7"/>
                      <w:sz w:val="21"/>
                    </w:rPr>
                    <w:t>≥6.0m</w:t>
                  </w:r>
                  <w:r>
                    <w:rPr>
                      <w:rFonts w:hint="default" w:ascii="Times New Roman" w:hAnsi="Times New Roman" w:eastAsia="宋体"/>
                      <w:color w:val="auto"/>
                      <w:spacing w:val="7"/>
                      <w:sz w:val="21"/>
                    </w:rPr>
                    <w:t>，</w:t>
                  </w:r>
                  <w:r>
                    <w:rPr>
                      <w:rFonts w:hint="default" w:ascii="Times New Roman" w:hAnsi="Times New Roman" w:eastAsia="宋体" w:cs="Times New Roman"/>
                      <w:color w:val="auto"/>
                      <w:spacing w:val="4"/>
                      <w:sz w:val="21"/>
                    </w:rPr>
                    <w:t>K≤1×10</w:t>
                  </w:r>
                  <w:r>
                    <w:rPr>
                      <w:rFonts w:hint="eastAsia" w:ascii="Times New Roman" w:hAnsi="Times New Roman" w:eastAsia="宋体" w:cs="Times New Roman"/>
                      <w:color w:val="auto"/>
                      <w:spacing w:val="4"/>
                      <w:sz w:val="21"/>
                      <w:vertAlign w:val="superscript"/>
                      <w:lang w:val="en-US" w:eastAsia="zh-CN"/>
                    </w:rPr>
                    <w:t>-7</w:t>
                  </w:r>
                  <w:r>
                    <w:rPr>
                      <w:rFonts w:hint="default" w:ascii="Times New Roman" w:hAnsi="Times New Roman" w:eastAsia="宋体" w:cs="Times New Roman"/>
                      <w:color w:val="auto"/>
                      <w:sz w:val="21"/>
                    </w:rPr>
                    <w:t>cm</w:t>
                  </w:r>
                  <w:r>
                    <w:rPr>
                      <w:rFonts w:hint="default" w:ascii="Times New Roman" w:hAnsi="Times New Roman" w:eastAsia="宋体" w:cs="Times New Roman"/>
                      <w:color w:val="auto"/>
                      <w:spacing w:val="4"/>
                      <w:sz w:val="21"/>
                    </w:rPr>
                    <w:t>/s</w:t>
                  </w:r>
                  <w:r>
                    <w:rPr>
                      <w:rFonts w:hint="default" w:ascii="Times New Roman" w:hAnsi="Times New Roman" w:eastAsia="宋体"/>
                      <w:color w:val="auto"/>
                      <w:spacing w:val="4"/>
                      <w:sz w:val="21"/>
                    </w:rPr>
                    <w:t>；或参照</w:t>
                  </w:r>
                  <w:r>
                    <w:rPr>
                      <w:rFonts w:hint="default" w:ascii="Times New Roman" w:hAnsi="Times New Roman" w:eastAsia="宋体" w:cs="Times New Roman"/>
                      <w:color w:val="auto"/>
                      <w:sz w:val="21"/>
                    </w:rPr>
                    <w:t>GB</w:t>
                  </w:r>
                  <w:r>
                    <w:rPr>
                      <w:rFonts w:hint="default" w:ascii="Times New Roman" w:hAnsi="Times New Roman" w:eastAsia="宋体" w:cs="Times New Roman"/>
                      <w:color w:val="auto"/>
                      <w:spacing w:val="6"/>
                      <w:sz w:val="21"/>
                    </w:rPr>
                    <w:t>18598</w:t>
                  </w:r>
                  <w:r>
                    <w:rPr>
                      <w:rFonts w:hint="default" w:ascii="Times New Roman" w:hAnsi="Times New Roman" w:eastAsia="宋体"/>
                      <w:color w:val="auto"/>
                      <w:spacing w:val="6"/>
                      <w:sz w:val="21"/>
                    </w:rPr>
                    <w:t>执行</w:t>
                  </w:r>
                </w:p>
              </w:tc>
            </w:tr>
            <w:tr w14:paraId="23DE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pct"/>
                  <w:vMerge w:val="continue"/>
                  <w:noWrap w:val="0"/>
                  <w:vAlign w:val="center"/>
                </w:tcPr>
                <w:p w14:paraId="68E41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886" w:type="pct"/>
                  <w:noWrap w:val="0"/>
                  <w:vAlign w:val="center"/>
                </w:tcPr>
                <w:p w14:paraId="7F49C682">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1"/>
                      <w:sz w:val="21"/>
                    </w:rPr>
                    <w:t>中</w:t>
                  </w:r>
                  <w:r>
                    <w:rPr>
                      <w:rFonts w:hint="default" w:ascii="Times New Roman" w:hAnsi="Times New Roman" w:eastAsia="宋体" w:cs="Times New Roman"/>
                      <w:color w:val="auto"/>
                      <w:spacing w:val="-1"/>
                      <w:sz w:val="21"/>
                    </w:rPr>
                    <w:t>-</w:t>
                  </w:r>
                  <w:r>
                    <w:rPr>
                      <w:rFonts w:hint="default" w:ascii="Times New Roman" w:hAnsi="Times New Roman" w:eastAsia="宋体"/>
                      <w:color w:val="auto"/>
                      <w:spacing w:val="-1"/>
                      <w:sz w:val="21"/>
                    </w:rPr>
                    <w:t>强</w:t>
                  </w:r>
                </w:p>
              </w:tc>
              <w:tc>
                <w:tcPr>
                  <w:tcW w:w="847" w:type="pct"/>
                  <w:noWrap w:val="0"/>
                  <w:vAlign w:val="center"/>
                </w:tcPr>
                <w:p w14:paraId="71FEBCBF">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1"/>
                      <w:sz w:val="21"/>
                    </w:rPr>
                    <w:t>难</w:t>
                  </w:r>
                </w:p>
              </w:tc>
              <w:tc>
                <w:tcPr>
                  <w:tcW w:w="1106" w:type="pct"/>
                  <w:vMerge w:val="continue"/>
                  <w:noWrap w:val="0"/>
                  <w:vAlign w:val="center"/>
                </w:tcPr>
                <w:p w14:paraId="5145BF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1418" w:type="pct"/>
                  <w:vMerge w:val="continue"/>
                  <w:noWrap w:val="0"/>
                  <w:vAlign w:val="center"/>
                </w:tcPr>
                <w:p w14:paraId="1816E0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r>
            <w:tr w14:paraId="5E13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pct"/>
                  <w:vMerge w:val="continue"/>
                  <w:noWrap w:val="0"/>
                  <w:vAlign w:val="center"/>
                </w:tcPr>
                <w:p w14:paraId="754823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886" w:type="pct"/>
                  <w:noWrap w:val="0"/>
                  <w:vAlign w:val="center"/>
                </w:tcPr>
                <w:p w14:paraId="29FFD587">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rPr>
                    <w:t>弱</w:t>
                  </w:r>
                </w:p>
              </w:tc>
              <w:tc>
                <w:tcPr>
                  <w:tcW w:w="847" w:type="pct"/>
                  <w:noWrap w:val="0"/>
                  <w:vAlign w:val="center"/>
                </w:tcPr>
                <w:p w14:paraId="113EAA00">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rPr>
                    <w:t>易</w:t>
                  </w:r>
                </w:p>
              </w:tc>
              <w:tc>
                <w:tcPr>
                  <w:tcW w:w="1106" w:type="pct"/>
                  <w:vMerge w:val="continue"/>
                  <w:noWrap w:val="0"/>
                  <w:vAlign w:val="center"/>
                </w:tcPr>
                <w:p w14:paraId="177944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1418" w:type="pct"/>
                  <w:vMerge w:val="continue"/>
                  <w:noWrap w:val="0"/>
                  <w:vAlign w:val="center"/>
                </w:tcPr>
                <w:p w14:paraId="4BAD39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r>
            <w:tr w14:paraId="00DF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pct"/>
                  <w:vMerge w:val="restart"/>
                  <w:noWrap w:val="0"/>
                  <w:vAlign w:val="center"/>
                </w:tcPr>
                <w:p w14:paraId="5FEC3967">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7"/>
                      <w:sz w:val="21"/>
                    </w:rPr>
                    <w:t>一般防渗区</w:t>
                  </w:r>
                </w:p>
              </w:tc>
              <w:tc>
                <w:tcPr>
                  <w:tcW w:w="886" w:type="pct"/>
                  <w:noWrap w:val="0"/>
                  <w:vAlign w:val="center"/>
                </w:tcPr>
                <w:p w14:paraId="691EC4BC">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rPr>
                    <w:t>弱</w:t>
                  </w:r>
                </w:p>
              </w:tc>
              <w:tc>
                <w:tcPr>
                  <w:tcW w:w="847" w:type="pct"/>
                  <w:noWrap w:val="0"/>
                  <w:vAlign w:val="center"/>
                </w:tcPr>
                <w:p w14:paraId="42B1DF7F">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1"/>
                      <w:sz w:val="21"/>
                    </w:rPr>
                    <w:t>易</w:t>
                  </w:r>
                  <w:r>
                    <w:rPr>
                      <w:rFonts w:hint="default" w:ascii="Times New Roman" w:hAnsi="Times New Roman" w:eastAsia="宋体" w:cs="Times New Roman"/>
                      <w:color w:val="auto"/>
                      <w:spacing w:val="-1"/>
                      <w:sz w:val="21"/>
                    </w:rPr>
                    <w:t>-</w:t>
                  </w:r>
                  <w:r>
                    <w:rPr>
                      <w:rFonts w:hint="default" w:ascii="Times New Roman" w:hAnsi="Times New Roman" w:eastAsia="宋体"/>
                      <w:color w:val="auto"/>
                      <w:spacing w:val="-1"/>
                      <w:sz w:val="21"/>
                    </w:rPr>
                    <w:t>难</w:t>
                  </w:r>
                </w:p>
              </w:tc>
              <w:tc>
                <w:tcPr>
                  <w:tcW w:w="1106" w:type="pct"/>
                  <w:vMerge w:val="restart"/>
                  <w:noWrap w:val="0"/>
                  <w:vAlign w:val="center"/>
                </w:tcPr>
                <w:p w14:paraId="66B817C2">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7"/>
                      <w:sz w:val="21"/>
                    </w:rPr>
                    <w:t>其他类型</w:t>
                  </w:r>
                </w:p>
              </w:tc>
              <w:tc>
                <w:tcPr>
                  <w:tcW w:w="1418" w:type="pct"/>
                  <w:vMerge w:val="restart"/>
                  <w:noWrap w:val="0"/>
                  <w:vAlign w:val="center"/>
                </w:tcPr>
                <w:p w14:paraId="685E766F">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7"/>
                      <w:sz w:val="21"/>
                    </w:rPr>
                    <w:t>等效黏土防渗层</w:t>
                  </w:r>
                  <w:r>
                    <w:rPr>
                      <w:rFonts w:hint="default" w:ascii="Times New Roman" w:hAnsi="Times New Roman" w:eastAsia="宋体" w:cs="Times New Roman"/>
                      <w:color w:val="auto"/>
                      <w:sz w:val="21"/>
                    </w:rPr>
                    <w:t>Mb</w:t>
                  </w:r>
                  <w:r>
                    <w:rPr>
                      <w:rFonts w:hint="default" w:ascii="Times New Roman" w:hAnsi="Times New Roman" w:eastAsia="宋体" w:cs="Times New Roman"/>
                      <w:color w:val="auto"/>
                      <w:spacing w:val="7"/>
                      <w:sz w:val="21"/>
                    </w:rPr>
                    <w:t>≥1.5m</w:t>
                  </w:r>
                  <w:r>
                    <w:rPr>
                      <w:rFonts w:hint="default" w:ascii="Times New Roman" w:hAnsi="Times New Roman" w:eastAsia="宋体"/>
                      <w:color w:val="auto"/>
                      <w:spacing w:val="7"/>
                      <w:sz w:val="21"/>
                    </w:rPr>
                    <w:t>，</w:t>
                  </w:r>
                  <w:r>
                    <w:rPr>
                      <w:rFonts w:hint="default" w:ascii="Times New Roman" w:hAnsi="Times New Roman" w:eastAsia="宋体" w:cs="Times New Roman"/>
                      <w:color w:val="auto"/>
                      <w:spacing w:val="4"/>
                      <w:sz w:val="21"/>
                    </w:rPr>
                    <w:t>K≤1×10</w:t>
                  </w:r>
                  <w:r>
                    <w:rPr>
                      <w:rFonts w:hint="default" w:ascii="Times New Roman" w:hAnsi="Times New Roman" w:eastAsia="宋体" w:cs="Times New Roman"/>
                      <w:color w:val="auto"/>
                      <w:spacing w:val="4"/>
                      <w:position w:val="6"/>
                      <w:sz w:val="21"/>
                      <w:szCs w:val="13"/>
                      <w:vertAlign w:val="superscript"/>
                    </w:rPr>
                    <w:t>-7</w:t>
                  </w:r>
                  <w:r>
                    <w:rPr>
                      <w:rFonts w:hint="default" w:ascii="Times New Roman" w:hAnsi="Times New Roman" w:eastAsia="宋体" w:cs="Times New Roman"/>
                      <w:color w:val="auto"/>
                      <w:sz w:val="21"/>
                    </w:rPr>
                    <w:t>cm</w:t>
                  </w:r>
                  <w:r>
                    <w:rPr>
                      <w:rFonts w:hint="default" w:ascii="Times New Roman" w:hAnsi="Times New Roman" w:eastAsia="宋体" w:cs="Times New Roman"/>
                      <w:color w:val="auto"/>
                      <w:spacing w:val="4"/>
                      <w:sz w:val="21"/>
                    </w:rPr>
                    <w:t>/s</w:t>
                  </w:r>
                  <w:r>
                    <w:rPr>
                      <w:rFonts w:hint="default" w:ascii="Times New Roman" w:hAnsi="Times New Roman" w:eastAsia="宋体"/>
                      <w:color w:val="auto"/>
                      <w:spacing w:val="4"/>
                      <w:sz w:val="21"/>
                    </w:rPr>
                    <w:t>；或参照</w:t>
                  </w:r>
                  <w:r>
                    <w:rPr>
                      <w:rFonts w:hint="default" w:ascii="Times New Roman" w:hAnsi="Times New Roman" w:eastAsia="宋体" w:cs="Times New Roman"/>
                      <w:color w:val="auto"/>
                      <w:sz w:val="21"/>
                    </w:rPr>
                    <w:t>GB</w:t>
                  </w:r>
                  <w:r>
                    <w:rPr>
                      <w:rFonts w:hint="default" w:ascii="Times New Roman" w:hAnsi="Times New Roman" w:eastAsia="宋体" w:cs="Times New Roman"/>
                      <w:color w:val="auto"/>
                      <w:spacing w:val="6"/>
                      <w:sz w:val="21"/>
                    </w:rPr>
                    <w:t>16889</w:t>
                  </w:r>
                  <w:r>
                    <w:rPr>
                      <w:rFonts w:hint="default" w:ascii="Times New Roman" w:hAnsi="Times New Roman" w:eastAsia="宋体"/>
                      <w:color w:val="auto"/>
                      <w:spacing w:val="6"/>
                      <w:sz w:val="21"/>
                    </w:rPr>
                    <w:t>执行</w:t>
                  </w:r>
                </w:p>
              </w:tc>
            </w:tr>
            <w:tr w14:paraId="0064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pct"/>
                  <w:vMerge w:val="continue"/>
                  <w:noWrap w:val="0"/>
                  <w:vAlign w:val="center"/>
                </w:tcPr>
                <w:p w14:paraId="1B5758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886" w:type="pct"/>
                  <w:noWrap w:val="0"/>
                  <w:vAlign w:val="center"/>
                </w:tcPr>
                <w:p w14:paraId="432ABD62">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1"/>
                      <w:sz w:val="21"/>
                    </w:rPr>
                    <w:t>中</w:t>
                  </w:r>
                  <w:r>
                    <w:rPr>
                      <w:rFonts w:hint="default" w:ascii="Times New Roman" w:hAnsi="Times New Roman" w:eastAsia="宋体" w:cs="Times New Roman"/>
                      <w:color w:val="auto"/>
                      <w:spacing w:val="-1"/>
                      <w:sz w:val="21"/>
                    </w:rPr>
                    <w:t>-</w:t>
                  </w:r>
                  <w:r>
                    <w:rPr>
                      <w:rFonts w:hint="default" w:ascii="Times New Roman" w:hAnsi="Times New Roman" w:eastAsia="宋体"/>
                      <w:color w:val="auto"/>
                      <w:spacing w:val="-1"/>
                      <w:sz w:val="21"/>
                    </w:rPr>
                    <w:t>强</w:t>
                  </w:r>
                </w:p>
              </w:tc>
              <w:tc>
                <w:tcPr>
                  <w:tcW w:w="847" w:type="pct"/>
                  <w:noWrap w:val="0"/>
                  <w:vAlign w:val="center"/>
                </w:tcPr>
                <w:p w14:paraId="3FCCAAD9">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1"/>
                      <w:sz w:val="21"/>
                    </w:rPr>
                    <w:t>难</w:t>
                  </w:r>
                </w:p>
              </w:tc>
              <w:tc>
                <w:tcPr>
                  <w:tcW w:w="1106" w:type="pct"/>
                  <w:vMerge w:val="continue"/>
                  <w:noWrap w:val="0"/>
                  <w:vAlign w:val="center"/>
                </w:tcPr>
                <w:p w14:paraId="2E2761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1418" w:type="pct"/>
                  <w:vMerge w:val="continue"/>
                  <w:noWrap w:val="0"/>
                  <w:vAlign w:val="center"/>
                </w:tcPr>
                <w:p w14:paraId="7FEAB5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r>
            <w:tr w14:paraId="1793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pct"/>
                  <w:vMerge w:val="continue"/>
                  <w:noWrap w:val="0"/>
                  <w:vAlign w:val="center"/>
                </w:tcPr>
                <w:p w14:paraId="571AFD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886" w:type="pct"/>
                  <w:noWrap w:val="0"/>
                  <w:vAlign w:val="center"/>
                </w:tcPr>
                <w:p w14:paraId="28CC8525">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rPr>
                    <w:t>中</w:t>
                  </w:r>
                </w:p>
              </w:tc>
              <w:tc>
                <w:tcPr>
                  <w:tcW w:w="847" w:type="pct"/>
                  <w:noWrap w:val="0"/>
                  <w:vAlign w:val="center"/>
                </w:tcPr>
                <w:p w14:paraId="71575107">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rPr>
                    <w:t>易</w:t>
                  </w:r>
                </w:p>
              </w:tc>
              <w:tc>
                <w:tcPr>
                  <w:tcW w:w="1106" w:type="pct"/>
                  <w:vMerge w:val="restart"/>
                  <w:noWrap w:val="0"/>
                  <w:vAlign w:val="center"/>
                </w:tcPr>
                <w:p w14:paraId="632400D4">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pacing w:val="8"/>
                      <w:sz w:val="21"/>
                    </w:rPr>
                    <w:t>重金属、持久</w:t>
                  </w:r>
                  <w:r>
                    <w:rPr>
                      <w:rFonts w:hint="default" w:ascii="Times New Roman" w:hAnsi="Times New Roman" w:eastAsia="宋体"/>
                      <w:color w:val="auto"/>
                      <w:spacing w:val="7"/>
                      <w:sz w:val="21"/>
                    </w:rPr>
                    <w:t>性有机污染物</w:t>
                  </w:r>
                </w:p>
              </w:tc>
              <w:tc>
                <w:tcPr>
                  <w:tcW w:w="1418" w:type="pct"/>
                  <w:vMerge w:val="continue"/>
                  <w:noWrap w:val="0"/>
                  <w:vAlign w:val="center"/>
                </w:tcPr>
                <w:p w14:paraId="7573EA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r>
            <w:tr w14:paraId="6B15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41" w:type="pct"/>
                  <w:vMerge w:val="continue"/>
                  <w:noWrap w:val="0"/>
                  <w:vAlign w:val="center"/>
                </w:tcPr>
                <w:p w14:paraId="23B313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886" w:type="pct"/>
                  <w:noWrap w:val="0"/>
                  <w:vAlign w:val="center"/>
                </w:tcPr>
                <w:p w14:paraId="045EEAA4">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rPr>
                    <w:t>强</w:t>
                  </w:r>
                </w:p>
              </w:tc>
              <w:tc>
                <w:tcPr>
                  <w:tcW w:w="847" w:type="pct"/>
                  <w:noWrap w:val="0"/>
                  <w:vAlign w:val="center"/>
                </w:tcPr>
                <w:p w14:paraId="0AFC1992">
                  <w:pPr>
                    <w:pStyle w:val="4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rPr>
                    <w:t>易</w:t>
                  </w:r>
                </w:p>
              </w:tc>
              <w:tc>
                <w:tcPr>
                  <w:tcW w:w="1106" w:type="pct"/>
                  <w:vMerge w:val="continue"/>
                  <w:noWrap w:val="0"/>
                  <w:vAlign w:val="center"/>
                </w:tcPr>
                <w:p w14:paraId="5D1C32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c>
                <w:tcPr>
                  <w:tcW w:w="1418" w:type="pct"/>
                  <w:vMerge w:val="continue"/>
                  <w:noWrap w:val="0"/>
                  <w:vAlign w:val="center"/>
                </w:tcPr>
                <w:p w14:paraId="0AE1D5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vertAlign w:val="baseline"/>
                      <w:lang w:val="en-US" w:eastAsia="zh-CN"/>
                    </w:rPr>
                  </w:pPr>
                </w:p>
              </w:tc>
            </w:tr>
          </w:tbl>
          <w:p w14:paraId="72B395A4">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0"/>
                <w:sz w:val="24"/>
                <w:lang w:val="en-US" w:eastAsia="zh-CN"/>
              </w:rPr>
            </w:pPr>
            <w:r>
              <w:rPr>
                <w:rFonts w:hint="eastAsia" w:ascii="Times New Roman" w:hAnsi="Times New Roman" w:eastAsia="宋体" w:cs="Times New Roman"/>
                <w:color w:val="auto"/>
                <w:kern w:val="0"/>
                <w:sz w:val="24"/>
                <w:lang w:val="en-US" w:eastAsia="zh-CN"/>
              </w:rPr>
              <w:t>本项目针对污染途径类型均采取相应的防治措施，地下水污染防治措施坚持</w:t>
            </w:r>
            <w:r>
              <w:rPr>
                <w:rFonts w:hint="eastAsia" w:cs="Times New Roman"/>
                <w:color w:val="auto"/>
                <w:kern w:val="0"/>
                <w:sz w:val="24"/>
                <w:lang w:val="en-US" w:eastAsia="zh-CN"/>
              </w:rPr>
              <w:t>“</w:t>
            </w:r>
            <w:r>
              <w:rPr>
                <w:rFonts w:hint="eastAsia" w:ascii="Times New Roman" w:hAnsi="Times New Roman" w:eastAsia="宋体" w:cs="Times New Roman"/>
                <w:color w:val="auto"/>
                <w:kern w:val="0"/>
                <w:sz w:val="24"/>
                <w:lang w:val="en-US" w:eastAsia="zh-CN"/>
              </w:rPr>
              <w:t>源头控制、末端防治、污染监控、应急响应相结合</w:t>
            </w:r>
            <w:r>
              <w:rPr>
                <w:rFonts w:hint="eastAsia" w:cs="Times New Roman"/>
                <w:color w:val="auto"/>
                <w:kern w:val="0"/>
                <w:sz w:val="24"/>
                <w:lang w:val="en-US" w:eastAsia="zh-CN"/>
              </w:rPr>
              <w:t>”</w:t>
            </w:r>
            <w:r>
              <w:rPr>
                <w:rFonts w:hint="eastAsia" w:ascii="Times New Roman" w:hAnsi="Times New Roman" w:eastAsia="宋体" w:cs="Times New Roman"/>
                <w:color w:val="auto"/>
                <w:kern w:val="0"/>
                <w:sz w:val="24"/>
                <w:lang w:val="en-US" w:eastAsia="zh-CN"/>
              </w:rPr>
              <w:t>的原则，实行分区防渗，根据建设单位提供资料，本项目主要地下水污染途径及采取的防治措施情况</w:t>
            </w:r>
            <w:r>
              <w:rPr>
                <w:rFonts w:hint="eastAsia" w:cs="Times New Roman"/>
                <w:color w:val="auto"/>
                <w:kern w:val="0"/>
                <w:sz w:val="24"/>
                <w:lang w:val="en-US" w:eastAsia="zh-CN"/>
              </w:rPr>
              <w:t>：危废库采取重点防渗，锅炉房、场内地面采取简单防渗，防渗措施为一般地面硬化。</w:t>
            </w:r>
          </w:p>
          <w:p w14:paraId="10E87023">
            <w:pPr>
              <w:pStyle w:val="69"/>
              <w:keepNext w:val="0"/>
              <w:keepLines w:val="0"/>
              <w:numPr>
                <w:ilvl w:val="0"/>
                <w:numId w:val="9"/>
              </w:numPr>
              <w:suppressLineNumbers w:val="0"/>
              <w:adjustRightInd/>
              <w:snapToGrid/>
              <w:spacing w:before="0" w:beforeAutospacing="0" w:after="0" w:afterAutospacing="0" w:line="360" w:lineRule="auto"/>
              <w:ind w:left="0" w:right="0" w:firstLine="0"/>
              <w:rPr>
                <w:rFonts w:hint="default"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环境风险分析</w:t>
            </w:r>
          </w:p>
          <w:p w14:paraId="3C0C610B">
            <w:pPr>
              <w:keepNext w:val="0"/>
              <w:keepLines w:val="0"/>
              <w:pageBreakBefore w:val="0"/>
              <w:widowControl/>
              <w:suppressLineNumbers w:val="0"/>
              <w:kinsoku/>
              <w:wordWrap/>
              <w:overflowPunct/>
              <w:topLinePunct w:val="0"/>
              <w:bidi w:val="0"/>
              <w:snapToGrid w:val="0"/>
              <w:spacing w:before="0" w:beforeAutospacing="0" w:after="0" w:afterAutospacing="0" w:line="360" w:lineRule="auto"/>
              <w:ind w:left="0" w:right="0" w:firstLine="480"/>
              <w:jc w:val="left"/>
              <w:textAlignment w:val="auto"/>
              <w:rPr>
                <w:rFonts w:hint="eastAsia" w:ascii="Times New Roman" w:hAnsi="Times New Roman" w:eastAsia="宋体"/>
                <w:b/>
                <w:bCs/>
                <w:color w:val="auto"/>
                <w:kern w:val="0"/>
                <w:sz w:val="24"/>
                <w:szCs w:val="24"/>
                <w:lang w:val="en-US" w:eastAsia="zh-CN" w:bidi="ar"/>
              </w:rPr>
            </w:pPr>
            <w:r>
              <w:rPr>
                <w:rFonts w:hint="eastAsia" w:ascii="Times New Roman" w:hAnsi="Times New Roman" w:eastAsia="宋体"/>
                <w:b/>
                <w:bCs/>
                <w:color w:val="auto"/>
                <w:kern w:val="0"/>
                <w:sz w:val="24"/>
                <w:szCs w:val="24"/>
                <w:lang w:val="en-US" w:eastAsia="zh-CN" w:bidi="ar"/>
              </w:rPr>
              <w:t>6.1 风险评价重点</w:t>
            </w:r>
          </w:p>
          <w:p w14:paraId="59A5D61A">
            <w:pPr>
              <w:keepNext w:val="0"/>
              <w:keepLines w:val="0"/>
              <w:pageBreakBefore w:val="0"/>
              <w:widowControl/>
              <w:suppressLineNumbers w:val="0"/>
              <w:kinsoku/>
              <w:wordWrap/>
              <w:overflowPunct/>
              <w:topLinePunct w:val="0"/>
              <w:bidi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kern w:val="0"/>
                <w:sz w:val="24"/>
                <w:szCs w:val="24"/>
                <w:lang w:bidi="ar"/>
              </w:rPr>
            </w:pPr>
            <w:r>
              <w:rPr>
                <w:rFonts w:hint="default" w:ascii="Times New Roman" w:hAnsi="Times New Roman" w:eastAsia="宋体"/>
                <w:color w:val="auto"/>
                <w:kern w:val="0"/>
                <w:sz w:val="24"/>
                <w:szCs w:val="24"/>
                <w:lang w:bidi="ar"/>
              </w:rPr>
              <w:t>环境风险是项目建设和运行期间发生的可预测突发性事件或事故（一般不包括人为破坏及自然灾害）引起的有毒有害、易燃易爆等物质泄漏，或突发事件产生的新的有毒有害物质，所造成的对人身安全与环境的影响及损害。根据《建设项目环境风险评价技术导则》</w:t>
            </w:r>
            <w:r>
              <w:rPr>
                <w:rFonts w:hint="eastAsia" w:ascii="Times New Roman" w:hAnsi="Times New Roman" w:eastAsia="宋体"/>
                <w:color w:val="auto"/>
                <w:kern w:val="0"/>
                <w:sz w:val="24"/>
                <w:szCs w:val="24"/>
                <w:lang w:bidi="ar"/>
              </w:rPr>
              <w:t>（</w:t>
            </w:r>
            <w:r>
              <w:rPr>
                <w:rFonts w:hint="default" w:ascii="Times New Roman" w:hAnsi="Times New Roman" w:eastAsia="宋体"/>
                <w:color w:val="auto"/>
                <w:kern w:val="0"/>
                <w:sz w:val="24"/>
                <w:szCs w:val="24"/>
                <w:lang w:bidi="ar"/>
              </w:rPr>
              <w:t>HJ</w:t>
            </w:r>
            <w:r>
              <w:rPr>
                <w:rFonts w:hint="eastAsia" w:ascii="Times New Roman" w:hAnsi="Times New Roman" w:eastAsia="宋体"/>
                <w:color w:val="auto"/>
                <w:kern w:val="0"/>
                <w:sz w:val="24"/>
                <w:szCs w:val="24"/>
                <w:lang w:val="en-US" w:eastAsia="zh-CN" w:bidi="ar"/>
              </w:rPr>
              <w:t xml:space="preserve"> </w:t>
            </w:r>
            <w:r>
              <w:rPr>
                <w:rFonts w:hint="default" w:ascii="Times New Roman" w:hAnsi="Times New Roman" w:eastAsia="宋体"/>
                <w:color w:val="auto"/>
                <w:kern w:val="0"/>
                <w:sz w:val="24"/>
                <w:szCs w:val="24"/>
                <w:lang w:bidi="ar"/>
              </w:rPr>
              <w:t>169-</w:t>
            </w:r>
            <w:r>
              <w:rPr>
                <w:rFonts w:hint="eastAsia" w:ascii="Times New Roman" w:hAnsi="Times New Roman" w:eastAsia="宋体"/>
                <w:color w:val="auto"/>
                <w:kern w:val="0"/>
                <w:sz w:val="24"/>
                <w:szCs w:val="24"/>
                <w:lang w:bidi="ar"/>
              </w:rPr>
              <w:t>2018）</w:t>
            </w:r>
            <w:r>
              <w:rPr>
                <w:rFonts w:hint="default" w:ascii="Times New Roman" w:hAnsi="Times New Roman" w:eastAsia="宋体"/>
                <w:color w:val="auto"/>
                <w:kern w:val="0"/>
                <w:sz w:val="24"/>
                <w:szCs w:val="24"/>
                <w:lang w:bidi="ar"/>
              </w:rPr>
              <w:t>及《关于进一步加强环境影响评价管理防范环境风险的通知》（环发</w:t>
            </w:r>
            <w:r>
              <w:rPr>
                <w:rFonts w:hint="eastAsia" w:ascii="Times New Roman" w:hAnsi="Times New Roman" w:eastAsia="宋体"/>
                <w:color w:val="auto"/>
                <w:kern w:val="0"/>
                <w:sz w:val="24"/>
                <w:szCs w:val="24"/>
                <w:lang w:eastAsia="zh-CN" w:bidi="ar"/>
              </w:rPr>
              <w:t>〔</w:t>
            </w:r>
            <w:r>
              <w:rPr>
                <w:rFonts w:hint="default" w:ascii="Times New Roman" w:hAnsi="Times New Roman" w:eastAsia="宋体"/>
                <w:color w:val="auto"/>
                <w:kern w:val="0"/>
                <w:sz w:val="24"/>
                <w:szCs w:val="24"/>
                <w:lang w:bidi="ar"/>
              </w:rPr>
              <w:t>2012</w:t>
            </w:r>
            <w:r>
              <w:rPr>
                <w:rFonts w:hint="eastAsia" w:ascii="Times New Roman" w:hAnsi="Times New Roman" w:eastAsia="宋体"/>
                <w:color w:val="auto"/>
                <w:kern w:val="0"/>
                <w:sz w:val="24"/>
                <w:szCs w:val="24"/>
                <w:lang w:eastAsia="zh-CN" w:bidi="ar"/>
              </w:rPr>
              <w:t>〕</w:t>
            </w:r>
            <w:r>
              <w:rPr>
                <w:rFonts w:hint="default" w:ascii="Times New Roman" w:hAnsi="Times New Roman" w:eastAsia="宋体"/>
                <w:color w:val="auto"/>
                <w:kern w:val="0"/>
                <w:sz w:val="24"/>
                <w:szCs w:val="24"/>
                <w:lang w:bidi="ar"/>
              </w:rPr>
              <w:t>77号），本次风险评价拟通过分析拟建项目生产中主要物料的危险性和毒性，找出存在的环境风险问题，识别主要的危害单元，并重点分析拟建项目风险事故原因及环境影响，从而提出防范措施和应急预案是</w:t>
            </w:r>
            <w:r>
              <w:rPr>
                <w:rFonts w:hint="eastAsia" w:ascii="Times New Roman" w:hAnsi="Times New Roman" w:eastAsia="宋体"/>
                <w:color w:val="auto"/>
                <w:kern w:val="0"/>
                <w:sz w:val="24"/>
                <w:szCs w:val="24"/>
                <w:lang w:val="en-US" w:eastAsia="zh-CN" w:bidi="ar"/>
              </w:rPr>
              <w:t>本</w:t>
            </w:r>
            <w:r>
              <w:rPr>
                <w:rFonts w:hint="default" w:ascii="Times New Roman" w:hAnsi="Times New Roman" w:eastAsia="宋体"/>
                <w:color w:val="auto"/>
                <w:kern w:val="0"/>
                <w:sz w:val="24"/>
                <w:szCs w:val="24"/>
                <w:lang w:bidi="ar"/>
              </w:rPr>
              <w:t>项目环境风险评价的重点。</w:t>
            </w:r>
          </w:p>
          <w:p w14:paraId="500F1112">
            <w:pPr>
              <w:keepNext w:val="0"/>
              <w:keepLines w:val="0"/>
              <w:pageBreakBefore w:val="0"/>
              <w:widowControl/>
              <w:suppressLineNumbers w:val="0"/>
              <w:kinsoku/>
              <w:wordWrap/>
              <w:overflowPunct/>
              <w:topLinePunct w:val="0"/>
              <w:bidi w:val="0"/>
              <w:snapToGrid w:val="0"/>
              <w:spacing w:before="0" w:beforeAutospacing="0" w:after="0" w:afterAutospacing="0" w:line="360" w:lineRule="auto"/>
              <w:ind w:left="0" w:right="0" w:firstLine="482" w:firstLineChars="200"/>
              <w:jc w:val="left"/>
              <w:textAlignment w:val="auto"/>
              <w:rPr>
                <w:rFonts w:hint="eastAsia" w:ascii="Times New Roman" w:hAnsi="Times New Roman" w:eastAsia="宋体"/>
                <w:b/>
                <w:bCs/>
                <w:color w:val="auto"/>
                <w:sz w:val="24"/>
                <w:szCs w:val="24"/>
                <w:lang w:val="en-US" w:eastAsia="zh-CN"/>
              </w:rPr>
            </w:pPr>
            <w:r>
              <w:rPr>
                <w:rFonts w:hint="eastAsia" w:ascii="Times New Roman" w:hAnsi="Times New Roman" w:eastAsia="宋体"/>
                <w:b/>
                <w:bCs/>
                <w:color w:val="auto"/>
                <w:sz w:val="24"/>
                <w:szCs w:val="24"/>
                <w:lang w:val="en-US" w:eastAsia="zh-CN"/>
              </w:rPr>
              <w:t>6.2 评级依据</w:t>
            </w:r>
          </w:p>
          <w:p w14:paraId="715DD689">
            <w:pPr>
              <w:pStyle w:val="2"/>
              <w:keepNext w:val="0"/>
              <w:keepLines w:val="0"/>
              <w:pageBreakBefore w:val="0"/>
              <w:suppressLineNumbers w:val="0"/>
              <w:kinsoku/>
              <w:wordWrap/>
              <w:overflowPunct/>
              <w:topLinePunct w:val="0"/>
              <w:bidi w:val="0"/>
              <w:snapToGrid w:val="0"/>
              <w:spacing w:before="0" w:beforeAutospacing="0" w:after="0" w:afterAutospacing="0" w:line="360" w:lineRule="auto"/>
              <w:ind w:left="0" w:right="0" w:firstLine="480" w:firstLineChars="200"/>
              <w:textAlignment w:val="auto"/>
              <w:rPr>
                <w:rFonts w:hint="default"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①风险调查</w:t>
            </w:r>
          </w:p>
          <w:p w14:paraId="4350F7CD">
            <w:pPr>
              <w:keepNext w:val="0"/>
              <w:keepLines w:val="0"/>
              <w:pageBreakBefore w:val="0"/>
              <w:widowControl/>
              <w:suppressLineNumbers w:val="0"/>
              <w:kinsoku/>
              <w:wordWrap/>
              <w:overflowPunct/>
              <w:topLinePunct w:val="0"/>
              <w:bidi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olor w:val="auto"/>
                <w:kern w:val="0"/>
                <w:sz w:val="24"/>
                <w:szCs w:val="24"/>
                <w:lang w:bidi="ar"/>
              </w:rPr>
            </w:pPr>
            <w:r>
              <w:rPr>
                <w:rFonts w:hint="eastAsia" w:ascii="Times New Roman" w:hAnsi="Times New Roman" w:eastAsia="宋体"/>
                <w:color w:val="auto"/>
                <w:kern w:val="0"/>
                <w:sz w:val="24"/>
                <w:szCs w:val="24"/>
                <w:lang w:val="en-US" w:eastAsia="zh-CN" w:bidi="ar"/>
              </w:rPr>
              <w:t>本</w:t>
            </w:r>
            <w:r>
              <w:rPr>
                <w:rFonts w:hint="default" w:ascii="Times New Roman" w:hAnsi="Times New Roman" w:eastAsia="宋体"/>
                <w:color w:val="auto"/>
                <w:kern w:val="0"/>
                <w:sz w:val="24"/>
                <w:szCs w:val="24"/>
                <w:lang w:bidi="ar"/>
              </w:rPr>
              <w:t>项目</w:t>
            </w:r>
            <w:r>
              <w:rPr>
                <w:rFonts w:hint="eastAsia" w:ascii="Times New Roman" w:hAnsi="Times New Roman" w:eastAsia="宋体"/>
                <w:color w:val="auto"/>
                <w:kern w:val="0"/>
                <w:sz w:val="24"/>
                <w:szCs w:val="24"/>
                <w:lang w:val="en-US" w:eastAsia="zh-CN" w:bidi="ar"/>
              </w:rPr>
              <w:t>涉及</w:t>
            </w:r>
            <w:r>
              <w:rPr>
                <w:rFonts w:hint="eastAsia"/>
                <w:color w:val="auto"/>
                <w:kern w:val="0"/>
                <w:sz w:val="24"/>
                <w:szCs w:val="24"/>
                <w:lang w:val="en-US" w:eastAsia="zh-CN" w:bidi="ar"/>
              </w:rPr>
              <w:t>的</w:t>
            </w:r>
            <w:r>
              <w:rPr>
                <w:rFonts w:hint="eastAsia" w:ascii="Times New Roman" w:hAnsi="Times New Roman" w:eastAsia="宋体"/>
                <w:color w:val="auto"/>
                <w:kern w:val="0"/>
                <w:sz w:val="24"/>
                <w:szCs w:val="24"/>
                <w:lang w:val="en-US" w:eastAsia="zh-CN" w:bidi="ar"/>
              </w:rPr>
              <w:t>危险物质</w:t>
            </w:r>
            <w:r>
              <w:rPr>
                <w:rFonts w:hint="eastAsia"/>
                <w:color w:val="auto"/>
                <w:kern w:val="0"/>
                <w:sz w:val="24"/>
                <w:szCs w:val="24"/>
                <w:lang w:val="en-US" w:eastAsia="zh-CN" w:bidi="ar"/>
              </w:rPr>
              <w:t>主要为危废库暂存的废机油、废机油桶、含油废抹布和含油废手套</w:t>
            </w:r>
            <w:r>
              <w:rPr>
                <w:rFonts w:hint="eastAsia" w:ascii="Times New Roman" w:hAnsi="Times New Roman" w:eastAsia="宋体"/>
                <w:color w:val="auto"/>
                <w:kern w:val="0"/>
                <w:sz w:val="24"/>
                <w:szCs w:val="24"/>
                <w:lang w:val="en-US" w:eastAsia="zh-CN" w:bidi="ar"/>
              </w:rPr>
              <w:t>，</w:t>
            </w:r>
            <w:r>
              <w:rPr>
                <w:rFonts w:hint="default" w:ascii="Times New Roman" w:hAnsi="Times New Roman" w:eastAsia="宋体"/>
                <w:color w:val="auto"/>
                <w:kern w:val="0"/>
                <w:sz w:val="24"/>
                <w:szCs w:val="24"/>
                <w:lang w:bidi="ar"/>
              </w:rPr>
              <w:t>存在的主要环境风险为</w:t>
            </w:r>
            <w:r>
              <w:rPr>
                <w:rFonts w:hint="eastAsia"/>
                <w:color w:val="auto"/>
                <w:kern w:val="0"/>
                <w:sz w:val="24"/>
                <w:szCs w:val="24"/>
                <w:lang w:val="en-US" w:eastAsia="zh-CN" w:bidi="ar"/>
              </w:rPr>
              <w:t>危险废物泄漏污染及</w:t>
            </w:r>
            <w:r>
              <w:rPr>
                <w:rFonts w:hint="eastAsia" w:ascii="Times New Roman" w:hAnsi="Times New Roman" w:eastAsia="宋体"/>
                <w:color w:val="auto"/>
                <w:kern w:val="0"/>
                <w:sz w:val="24"/>
                <w:szCs w:val="24"/>
                <w:lang w:val="en-US" w:eastAsia="zh-CN" w:bidi="ar"/>
              </w:rPr>
              <w:t>生物质颗粒发生火灾。</w:t>
            </w:r>
          </w:p>
          <w:p w14:paraId="7BDEA36A">
            <w:pPr>
              <w:pStyle w:val="2"/>
              <w:keepNext w:val="0"/>
              <w:keepLines w:val="0"/>
              <w:pageBreakBefore w:val="0"/>
              <w:suppressLineNumbers w:val="0"/>
              <w:kinsoku/>
              <w:wordWrap/>
              <w:overflowPunct/>
              <w:topLinePunct w:val="0"/>
              <w:bidi w:val="0"/>
              <w:snapToGrid w:val="0"/>
              <w:spacing w:before="0" w:beforeAutospacing="0" w:after="0" w:afterAutospacing="0" w:line="360" w:lineRule="auto"/>
              <w:ind w:left="0" w:right="0" w:firstLine="480" w:firstLineChars="200"/>
              <w:textAlignment w:val="auto"/>
              <w:rPr>
                <w:rFonts w:hint="eastAsia" w:ascii="Times New Roman" w:hAnsi="Times New Roman" w:eastAsia="宋体"/>
                <w:color w:val="auto"/>
                <w:kern w:val="0"/>
                <w:sz w:val="24"/>
                <w:szCs w:val="24"/>
                <w:lang w:val="en-US" w:eastAsia="zh-CN" w:bidi="ar"/>
              </w:rPr>
            </w:pPr>
            <w:r>
              <w:rPr>
                <w:rFonts w:hint="eastAsia" w:ascii="Times New Roman" w:hAnsi="Times New Roman" w:eastAsia="宋体"/>
                <w:color w:val="auto"/>
                <w:kern w:val="0"/>
                <w:sz w:val="24"/>
                <w:szCs w:val="24"/>
                <w:lang w:val="en-US" w:eastAsia="zh-CN" w:bidi="ar"/>
              </w:rPr>
              <w:t>②风险潜势初判</w:t>
            </w:r>
          </w:p>
          <w:p w14:paraId="4F28017A">
            <w:pPr>
              <w:keepNext w:val="0"/>
              <w:keepLines w:val="0"/>
              <w:pageBreakBefore w:val="0"/>
              <w:suppressLineNumbers w:val="0"/>
              <w:kinsoku/>
              <w:wordWrap/>
              <w:overflowPunct/>
              <w:topLinePunct w:val="0"/>
              <w:bidi w:val="0"/>
              <w:snapToGrid w:val="0"/>
              <w:spacing w:before="0" w:beforeAutospacing="0" w:after="0" w:afterAutospacing="0" w:line="360" w:lineRule="auto"/>
              <w:ind w:left="0" w:right="0" w:firstLine="480" w:firstLineChars="200"/>
              <w:contextualSpacing/>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根据《建设项目环境风险评价技术导则》（HJ</w:t>
            </w:r>
            <w:r>
              <w:rPr>
                <w:rFonts w:hint="eastAsia" w:ascii="Times New Roman" w:hAnsi="Times New Roman" w:eastAsia="宋体" w:cs="Times New Roman"/>
                <w:color w:val="auto"/>
                <w:spacing w:val="0"/>
                <w:position w:val="0"/>
                <w:sz w:val="24"/>
                <w:szCs w:val="24"/>
                <w:lang w:val="en-US" w:eastAsia="zh-CN"/>
              </w:rPr>
              <w:t xml:space="preserve"> </w:t>
            </w:r>
            <w:r>
              <w:rPr>
                <w:rFonts w:hint="default" w:ascii="Times New Roman" w:hAnsi="Times New Roman" w:eastAsia="宋体" w:cs="Times New Roman"/>
                <w:color w:val="auto"/>
                <w:spacing w:val="0"/>
                <w:position w:val="0"/>
                <w:sz w:val="24"/>
                <w:szCs w:val="24"/>
              </w:rPr>
              <w:t>169-2018）附录C中</w:t>
            </w:r>
            <w:r>
              <w:rPr>
                <w:rFonts w:hint="eastAsia"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rPr>
              <w:t>C.1.1危险物质数量与临界量比值</w:t>
            </w:r>
            <w:r>
              <w:rPr>
                <w:rFonts w:hint="eastAsia"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rPr>
              <w:t>，计算本项目的危险物质数量与临界量比值，计算方法如下：</w:t>
            </w:r>
          </w:p>
          <w:p w14:paraId="04E54052">
            <w:pPr>
              <w:keepNext w:val="0"/>
              <w:keepLines w:val="0"/>
              <w:pageBreakBefore w:val="0"/>
              <w:suppressLineNumbers w:val="0"/>
              <w:kinsoku/>
              <w:wordWrap/>
              <w:overflowPunct/>
              <w:topLinePunct w:val="0"/>
              <w:bidi w:val="0"/>
              <w:snapToGrid w:val="0"/>
              <w:spacing w:before="0" w:beforeAutospacing="0" w:after="0" w:afterAutospacing="0" w:line="360" w:lineRule="auto"/>
              <w:ind w:left="0" w:right="0" w:firstLine="480" w:firstLineChars="200"/>
              <w:contextualSpacing/>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计算所涉及的每种危险物质在厂界内的最大存在总量与其在附录B中对应临界量的比值Q。在不同厂区的同一种物质，按其在厂界内的最大存在总量计算。</w:t>
            </w:r>
          </w:p>
          <w:p w14:paraId="663814AB">
            <w:pPr>
              <w:keepNext w:val="0"/>
              <w:keepLines w:val="0"/>
              <w:pageBreakBefore w:val="0"/>
              <w:suppressLineNumbers w:val="0"/>
              <w:kinsoku/>
              <w:wordWrap/>
              <w:overflowPunct/>
              <w:topLinePunct w:val="0"/>
              <w:bidi w:val="0"/>
              <w:snapToGrid w:val="0"/>
              <w:spacing w:before="0" w:beforeAutospacing="0" w:after="0" w:afterAutospacing="0" w:line="360" w:lineRule="auto"/>
              <w:ind w:left="0" w:right="0" w:firstLine="480" w:firstLineChars="200"/>
              <w:contextualSpacing/>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当只涉及一种危险物质时，计算该物质的总量与其临界量比值，即为Q；当存在多种危险物质时，则按下式计算物质总量与其临界量比值（Q）；</w:t>
            </w:r>
          </w:p>
          <w:p w14:paraId="59C6AB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contextualSpacing/>
              <w:jc w:val="center"/>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object>
                <v:shape id="_x0000_i1034" o:spt="75" type="#_x0000_t75" style="height:33.25pt;width:104.6pt;" o:ole="t" filled="f" o:preferrelative="t" stroked="f" coordsize="21600,21600">
                  <v:path/>
                  <v:fill on="f" focussize="0,0"/>
                  <v:stroke on="f"/>
                  <v:imagedata r:id="rId48" o:title=""/>
                  <o:lock v:ext="edit" aspectratio="t"/>
                  <w10:wrap type="none"/>
                  <w10:anchorlock/>
                </v:shape>
                <o:OLEObject Type="Embed" ProgID="Equation.KSEE3" ShapeID="_x0000_i1034" DrawAspect="Content" ObjectID="_1468075734" r:id="rId47">
                  <o:LockedField>false</o:LockedField>
                </o:OLEObject>
              </w:object>
            </w:r>
          </w:p>
          <w:p w14:paraId="0B2E6001">
            <w:pPr>
              <w:keepNext w:val="0"/>
              <w:keepLines w:val="0"/>
              <w:pageBreakBefore w:val="0"/>
              <w:suppressLineNumbers w:val="0"/>
              <w:kinsoku/>
              <w:wordWrap/>
              <w:overflowPunct/>
              <w:topLinePunct w:val="0"/>
              <w:bidi w:val="0"/>
              <w:snapToGrid w:val="0"/>
              <w:spacing w:before="0" w:beforeAutospacing="0" w:after="0" w:afterAutospacing="0" w:line="360" w:lineRule="auto"/>
              <w:ind w:left="0" w:right="0" w:firstLine="480" w:firstLineChars="200"/>
              <w:contextualSpacing/>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式中：q</w:t>
            </w:r>
            <w:r>
              <w:rPr>
                <w:rFonts w:hint="default" w:ascii="Times New Roman" w:hAnsi="Times New Roman" w:eastAsia="宋体" w:cs="Times New Roman"/>
                <w:color w:val="auto"/>
                <w:spacing w:val="0"/>
                <w:position w:val="0"/>
                <w:sz w:val="24"/>
                <w:szCs w:val="24"/>
                <w:vertAlign w:val="subscript"/>
              </w:rPr>
              <w:t>1</w:t>
            </w:r>
            <w:r>
              <w:rPr>
                <w:rFonts w:hint="default" w:ascii="Times New Roman" w:hAnsi="Times New Roman" w:eastAsia="宋体" w:cs="Times New Roman"/>
                <w:color w:val="auto"/>
                <w:spacing w:val="0"/>
                <w:position w:val="0"/>
                <w:sz w:val="24"/>
                <w:szCs w:val="24"/>
              </w:rPr>
              <w:t>，q</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，.....q</w:t>
            </w:r>
            <w:r>
              <w:rPr>
                <w:rFonts w:hint="default" w:ascii="Times New Roman" w:hAnsi="Times New Roman" w:eastAsia="宋体" w:cs="Times New Roman"/>
                <w:color w:val="auto"/>
                <w:spacing w:val="0"/>
                <w:position w:val="0"/>
                <w:sz w:val="24"/>
                <w:szCs w:val="24"/>
                <w:vertAlign w:val="subscript"/>
              </w:rPr>
              <w:t>n</w:t>
            </w:r>
            <w:r>
              <w:rPr>
                <w:rFonts w:hint="default" w:ascii="Times New Roman" w:hAnsi="Times New Roman" w:eastAsia="宋体" w:cs="Times New Roman"/>
                <w:color w:val="auto"/>
                <w:spacing w:val="0"/>
                <w:position w:val="0"/>
                <w:sz w:val="24"/>
                <w:szCs w:val="24"/>
              </w:rPr>
              <w:t>—每种危险物质的最大存在总量，t；</w:t>
            </w:r>
          </w:p>
          <w:p w14:paraId="412E6DCF">
            <w:pPr>
              <w:keepNext w:val="0"/>
              <w:keepLines w:val="0"/>
              <w:pageBreakBefore w:val="0"/>
              <w:suppressLineNumbers w:val="0"/>
              <w:kinsoku/>
              <w:wordWrap/>
              <w:overflowPunct/>
              <w:topLinePunct w:val="0"/>
              <w:bidi w:val="0"/>
              <w:snapToGrid w:val="0"/>
              <w:spacing w:before="0" w:beforeAutospacing="0" w:after="0" w:afterAutospacing="0" w:line="360" w:lineRule="auto"/>
              <w:ind w:left="0" w:right="0" w:firstLine="960" w:firstLineChars="400"/>
              <w:contextualSpacing/>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Q</w:t>
            </w:r>
            <w:r>
              <w:rPr>
                <w:rFonts w:hint="default" w:ascii="Times New Roman" w:hAnsi="Times New Roman" w:eastAsia="宋体" w:cs="Times New Roman"/>
                <w:color w:val="auto"/>
                <w:spacing w:val="0"/>
                <w:position w:val="0"/>
                <w:sz w:val="24"/>
                <w:szCs w:val="24"/>
                <w:vertAlign w:val="subscript"/>
              </w:rPr>
              <w:t>1</w:t>
            </w:r>
            <w:r>
              <w:rPr>
                <w:rFonts w:hint="default" w:ascii="Times New Roman" w:hAnsi="Times New Roman" w:eastAsia="宋体" w:cs="Times New Roman"/>
                <w:color w:val="auto"/>
                <w:spacing w:val="0"/>
                <w:position w:val="0"/>
                <w:sz w:val="24"/>
                <w:szCs w:val="24"/>
              </w:rPr>
              <w:t>，Q</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，........Q</w:t>
            </w:r>
            <w:r>
              <w:rPr>
                <w:rFonts w:hint="default" w:ascii="Times New Roman" w:hAnsi="Times New Roman" w:eastAsia="宋体" w:cs="Times New Roman"/>
                <w:color w:val="auto"/>
                <w:spacing w:val="0"/>
                <w:position w:val="0"/>
                <w:sz w:val="24"/>
                <w:szCs w:val="24"/>
                <w:vertAlign w:val="subscript"/>
              </w:rPr>
              <w:t>n</w:t>
            </w:r>
            <w:r>
              <w:rPr>
                <w:rFonts w:hint="default" w:ascii="Times New Roman" w:hAnsi="Times New Roman" w:eastAsia="宋体" w:cs="Times New Roman"/>
                <w:color w:val="auto"/>
                <w:spacing w:val="0"/>
                <w:position w:val="0"/>
                <w:sz w:val="24"/>
                <w:szCs w:val="24"/>
              </w:rPr>
              <w:t>—每种危险物质的临界量，t。</w:t>
            </w:r>
          </w:p>
          <w:p w14:paraId="33FAA145">
            <w:pPr>
              <w:keepNext w:val="0"/>
              <w:keepLines w:val="0"/>
              <w:pageBreakBefore w:val="0"/>
              <w:suppressLineNumbers w:val="0"/>
              <w:kinsoku/>
              <w:wordWrap/>
              <w:overflowPunct/>
              <w:topLinePunct w:val="0"/>
              <w:bidi w:val="0"/>
              <w:snapToGrid w:val="0"/>
              <w:spacing w:before="0" w:beforeAutospacing="0" w:after="0" w:afterAutospacing="0" w:line="360" w:lineRule="auto"/>
              <w:ind w:left="0" w:right="0" w:firstLine="960" w:firstLineChars="400"/>
              <w:contextualSpacing/>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当Q＜1时，该项目环境风险潜势为I。</w:t>
            </w:r>
          </w:p>
          <w:p w14:paraId="7F5FEB13">
            <w:pPr>
              <w:pStyle w:val="2"/>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960" w:firstLineChars="400"/>
              <w:textAlignment w:val="auto"/>
              <w:rPr>
                <w:rFonts w:hint="default" w:ascii="Times New Roman" w:hAnsi="Times New Roman" w:eastAsia="宋体" w:cs="Times New Roman"/>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rPr>
              <w:t>当Q≥1时，将Q值划分为：（1）1≤Q</w:t>
            </w:r>
            <w:r>
              <w:rPr>
                <w:rFonts w:hint="eastAsia" w:ascii="Times New Roman" w:hAnsi="Times New Roman" w:eastAsia="宋体" w:cs="Times New Roman"/>
                <w:color w:val="auto"/>
                <w:spacing w:val="0"/>
                <w:position w:val="0"/>
                <w:sz w:val="24"/>
                <w:szCs w:val="24"/>
                <w:lang w:val="en-US" w:eastAsia="zh-CN"/>
              </w:rPr>
              <w:t>&lt;</w:t>
            </w:r>
            <w:r>
              <w:rPr>
                <w:rFonts w:hint="default" w:ascii="Times New Roman" w:hAnsi="Times New Roman" w:eastAsia="宋体" w:cs="Times New Roman"/>
                <w:color w:val="auto"/>
                <w:spacing w:val="0"/>
                <w:position w:val="0"/>
                <w:sz w:val="24"/>
                <w:szCs w:val="24"/>
              </w:rPr>
              <w:t>10；（2）10≤Q</w:t>
            </w:r>
            <w:r>
              <w:rPr>
                <w:rFonts w:hint="eastAsia" w:ascii="Times New Roman" w:hAnsi="Times New Roman" w:eastAsia="宋体" w:cs="Times New Roman"/>
                <w:color w:val="auto"/>
                <w:spacing w:val="0"/>
                <w:position w:val="0"/>
                <w:sz w:val="24"/>
                <w:szCs w:val="24"/>
                <w:lang w:val="en-US" w:eastAsia="zh-CN"/>
              </w:rPr>
              <w:t>&lt;</w:t>
            </w:r>
            <w:r>
              <w:rPr>
                <w:rFonts w:hint="default" w:ascii="Times New Roman" w:hAnsi="Times New Roman" w:eastAsia="宋体" w:cs="Times New Roman"/>
                <w:color w:val="auto"/>
                <w:spacing w:val="0"/>
                <w:position w:val="0"/>
                <w:sz w:val="24"/>
                <w:szCs w:val="24"/>
              </w:rPr>
              <w:t>100；（3）Q≥100。本项目</w:t>
            </w:r>
            <w:r>
              <w:rPr>
                <w:rFonts w:hint="eastAsia" w:ascii="Times New Roman" w:hAnsi="Times New Roman" w:cs="Times New Roman"/>
                <w:color w:val="auto"/>
                <w:spacing w:val="0"/>
                <w:position w:val="0"/>
                <w:sz w:val="24"/>
                <w:szCs w:val="24"/>
                <w:lang w:val="en-US" w:eastAsia="zh-CN"/>
              </w:rPr>
              <w:t>涉及的</w:t>
            </w:r>
            <w:r>
              <w:rPr>
                <w:rFonts w:hint="eastAsia" w:ascii="Times New Roman" w:hAnsi="Times New Roman" w:eastAsia="宋体" w:cs="Times New Roman"/>
                <w:color w:val="auto"/>
                <w:spacing w:val="0"/>
                <w:position w:val="0"/>
                <w:sz w:val="24"/>
                <w:szCs w:val="24"/>
                <w:lang w:val="en-US" w:eastAsia="zh-CN"/>
              </w:rPr>
              <w:t>危险物质</w:t>
            </w:r>
            <w:r>
              <w:rPr>
                <w:rFonts w:hint="eastAsia" w:ascii="Times New Roman" w:hAnsi="Times New Roman" w:cs="Times New Roman"/>
                <w:color w:val="auto"/>
                <w:spacing w:val="0"/>
                <w:position w:val="0"/>
                <w:sz w:val="24"/>
                <w:szCs w:val="24"/>
                <w:lang w:val="en-US" w:eastAsia="zh-CN"/>
              </w:rPr>
              <w:t>为废机油、废机油桶、含油废抹布和含油废手套，最大存储量为0.05t/a</w:t>
            </w:r>
            <w:r>
              <w:rPr>
                <w:rFonts w:hint="eastAsia" w:ascii="Times New Roman" w:hAnsi="Times New Roman" w:eastAsia="宋体" w:cs="Times New Roman"/>
                <w:color w:val="auto"/>
                <w:spacing w:val="0"/>
                <w:position w:val="0"/>
                <w:sz w:val="24"/>
                <w:szCs w:val="24"/>
                <w:lang w:val="en-US" w:eastAsia="zh-CN"/>
              </w:rPr>
              <w:t>，</w:t>
            </w:r>
            <w:r>
              <w:rPr>
                <w:rFonts w:hint="default" w:ascii="Times New Roman" w:hAnsi="Times New Roman" w:eastAsia="宋体" w:cs="Times New Roman"/>
                <w:color w:val="auto"/>
                <w:spacing w:val="0"/>
                <w:position w:val="0"/>
                <w:sz w:val="24"/>
                <w:szCs w:val="24"/>
              </w:rPr>
              <w:t>根据《建设项目环境风险评价技术导则》（HJ</w:t>
            </w:r>
            <w:r>
              <w:rPr>
                <w:rFonts w:hint="eastAsia" w:ascii="Times New Roman" w:hAnsi="Times New Roman" w:eastAsia="宋体" w:cs="Times New Roman"/>
                <w:color w:val="auto"/>
                <w:spacing w:val="0"/>
                <w:position w:val="0"/>
                <w:sz w:val="24"/>
                <w:szCs w:val="24"/>
                <w:lang w:val="en-US" w:eastAsia="zh-CN"/>
              </w:rPr>
              <w:t xml:space="preserve"> </w:t>
            </w:r>
            <w:r>
              <w:rPr>
                <w:rFonts w:hint="default" w:ascii="Times New Roman" w:hAnsi="Times New Roman" w:eastAsia="宋体" w:cs="Times New Roman"/>
                <w:color w:val="auto"/>
                <w:spacing w:val="0"/>
                <w:position w:val="0"/>
                <w:sz w:val="24"/>
                <w:szCs w:val="24"/>
              </w:rPr>
              <w:t>169-2018）</w:t>
            </w:r>
            <w:r>
              <w:rPr>
                <w:rFonts w:hint="eastAsia" w:ascii="Times New Roman" w:hAnsi="Times New Roman" w:eastAsia="宋体" w:cs="Times New Roman"/>
                <w:color w:val="auto"/>
                <w:spacing w:val="0"/>
                <w:position w:val="0"/>
                <w:sz w:val="24"/>
                <w:szCs w:val="24"/>
                <w:lang w:val="en-US" w:eastAsia="zh-CN"/>
              </w:rPr>
              <w:t>附录B，</w:t>
            </w:r>
            <w:r>
              <w:rPr>
                <w:rFonts w:hint="eastAsia" w:ascii="Times New Roman" w:hAnsi="Times New Roman" w:cs="Times New Roman"/>
                <w:color w:val="auto"/>
                <w:spacing w:val="0"/>
                <w:position w:val="0"/>
                <w:sz w:val="24"/>
                <w:szCs w:val="24"/>
                <w:lang w:val="en-US" w:eastAsia="zh-CN"/>
              </w:rPr>
              <w:t>矿物油的临界值为2500t，故</w:t>
            </w:r>
            <w:r>
              <w:rPr>
                <w:rFonts w:hint="default" w:ascii="Times New Roman" w:hAnsi="Times New Roman" w:eastAsia="宋体" w:cs="Times New Roman"/>
                <w:color w:val="auto"/>
                <w:spacing w:val="0"/>
                <w:position w:val="0"/>
                <w:sz w:val="24"/>
                <w:szCs w:val="24"/>
              </w:rPr>
              <w:t>Q</w:t>
            </w:r>
            <w:r>
              <w:rPr>
                <w:rFonts w:hint="eastAsia" w:ascii="Times New Roman" w:hAnsi="Times New Roman" w:eastAsia="宋体" w:cs="Times New Roman"/>
                <w:color w:val="auto"/>
                <w:spacing w:val="0"/>
                <w:position w:val="0"/>
                <w:sz w:val="24"/>
                <w:szCs w:val="24"/>
                <w:lang w:val="en-US" w:eastAsia="zh-CN"/>
              </w:rPr>
              <w:t>&lt;</w:t>
            </w:r>
            <w:r>
              <w:rPr>
                <w:rFonts w:hint="default" w:ascii="Times New Roman" w:hAnsi="Times New Roman" w:eastAsia="宋体" w:cs="Times New Roman"/>
                <w:color w:val="auto"/>
                <w:spacing w:val="0"/>
                <w:position w:val="0"/>
                <w:sz w:val="24"/>
                <w:szCs w:val="24"/>
              </w:rPr>
              <w:t>1</w:t>
            </w:r>
            <w:r>
              <w:rPr>
                <w:rFonts w:hint="eastAsia"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rPr>
              <w:t>因此，该项目环境风险潜势为I。</w:t>
            </w:r>
          </w:p>
          <w:p w14:paraId="410FC15A">
            <w:pPr>
              <w:pStyle w:val="2"/>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pacing w:val="0"/>
                <w:position w:val="0"/>
                <w:sz w:val="24"/>
                <w:szCs w:val="24"/>
                <w:lang w:val="en-US" w:eastAsia="zh-CN"/>
              </w:rPr>
            </w:pPr>
            <w:r>
              <w:rPr>
                <w:rFonts w:hint="eastAsia" w:ascii="Times New Roman" w:hAnsi="Times New Roman" w:eastAsia="宋体" w:cs="Times New Roman"/>
                <w:color w:val="auto"/>
                <w:spacing w:val="0"/>
                <w:position w:val="0"/>
                <w:sz w:val="24"/>
                <w:szCs w:val="24"/>
                <w:lang w:val="en-US" w:eastAsia="zh-CN"/>
              </w:rPr>
              <w:t>③评价等级</w:t>
            </w:r>
          </w:p>
          <w:p w14:paraId="24A2C536">
            <w:pPr>
              <w:pStyle w:val="2"/>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lang w:val="en-US" w:eastAsia="zh-CN"/>
              </w:rPr>
            </w:pPr>
            <w:r>
              <w:rPr>
                <w:rFonts w:hint="default" w:ascii="Times New Roman" w:hAnsi="Times New Roman" w:eastAsia="宋体" w:cs="Times New Roman"/>
                <w:color w:val="auto"/>
                <w:spacing w:val="0"/>
                <w:position w:val="0"/>
                <w:sz w:val="24"/>
                <w:szCs w:val="24"/>
              </w:rPr>
              <w:t>根据《建设项目环境风险评价技术导则》（HJ</w:t>
            </w:r>
            <w:r>
              <w:rPr>
                <w:rFonts w:hint="eastAsia" w:ascii="Times New Roman" w:hAnsi="Times New Roman" w:eastAsia="宋体" w:cs="Times New Roman"/>
                <w:color w:val="auto"/>
                <w:spacing w:val="0"/>
                <w:position w:val="0"/>
                <w:sz w:val="24"/>
                <w:szCs w:val="24"/>
                <w:lang w:val="en-US" w:eastAsia="zh-CN"/>
              </w:rPr>
              <w:t xml:space="preserve"> </w:t>
            </w:r>
            <w:r>
              <w:rPr>
                <w:rFonts w:hint="default" w:ascii="Times New Roman" w:hAnsi="Times New Roman" w:eastAsia="宋体" w:cs="Times New Roman"/>
                <w:color w:val="auto"/>
                <w:spacing w:val="0"/>
                <w:position w:val="0"/>
                <w:sz w:val="24"/>
                <w:szCs w:val="24"/>
              </w:rPr>
              <w:t>169-2018）</w:t>
            </w:r>
            <w:r>
              <w:rPr>
                <w:rFonts w:hint="eastAsia" w:ascii="Times New Roman" w:hAnsi="Times New Roman" w:eastAsia="宋体" w:cs="Times New Roman"/>
                <w:color w:val="auto"/>
                <w:spacing w:val="0"/>
                <w:position w:val="0"/>
                <w:sz w:val="24"/>
                <w:szCs w:val="24"/>
                <w:lang w:eastAsia="zh-CN"/>
              </w:rPr>
              <w:t>，</w:t>
            </w:r>
            <w:r>
              <w:rPr>
                <w:rFonts w:hint="eastAsia" w:ascii="Times New Roman" w:hAnsi="Times New Roman" w:eastAsia="宋体" w:cs="Times New Roman"/>
                <w:color w:val="auto"/>
                <w:spacing w:val="0"/>
                <w:position w:val="0"/>
                <w:sz w:val="24"/>
                <w:szCs w:val="24"/>
                <w:lang w:val="en-US" w:eastAsia="zh-CN"/>
              </w:rPr>
              <w:t>环境风险评价工作等级为简单分析，评价深度以定性说明为主，划分依据见下表。</w:t>
            </w:r>
          </w:p>
          <w:p w14:paraId="4190EC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表</w:t>
            </w:r>
            <w:r>
              <w:rPr>
                <w:rFonts w:hint="default"/>
                <w:b/>
                <w:bCs/>
                <w:color w:val="auto"/>
                <w:sz w:val="21"/>
                <w:szCs w:val="21"/>
                <w:highlight w:val="none"/>
                <w:lang w:val="en-US" w:eastAsia="zh-CN"/>
              </w:rPr>
              <w:t>4-</w:t>
            </w:r>
            <w:r>
              <w:rPr>
                <w:rFonts w:hint="eastAsia"/>
                <w:b/>
                <w:bCs/>
                <w:color w:val="auto"/>
                <w:sz w:val="21"/>
                <w:szCs w:val="21"/>
                <w:highlight w:val="none"/>
                <w:lang w:val="en-US" w:eastAsia="zh-CN"/>
              </w:rPr>
              <w:t>19  环境风险评价工作等级划分表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4"/>
              <w:gridCol w:w="1711"/>
              <w:gridCol w:w="1259"/>
              <w:gridCol w:w="1288"/>
              <w:gridCol w:w="1641"/>
            </w:tblGrid>
            <w:tr w14:paraId="1BAF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91" w:type="pct"/>
                  <w:vAlign w:val="center"/>
                </w:tcPr>
                <w:p w14:paraId="0BAB0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t>环境风险潜势</w:t>
                  </w:r>
                </w:p>
              </w:tc>
              <w:tc>
                <w:tcPr>
                  <w:tcW w:w="1047" w:type="pct"/>
                  <w:vAlign w:val="center"/>
                </w:tcPr>
                <w:p w14:paraId="25CB0A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fldChar w:fldCharType="begin"/>
                  </w:r>
                  <w:r>
                    <w:rPr>
                      <w:rFonts w:hint="default"/>
                      <w:b/>
                      <w:bCs/>
                      <w:color w:val="auto"/>
                      <w:sz w:val="21"/>
                      <w:szCs w:val="21"/>
                      <w:vertAlign w:val="baseline"/>
                      <w:lang w:val="en-US" w:eastAsia="zh-CN"/>
                    </w:rPr>
                    <w:instrText xml:space="preserve"> = 4 \* ROMAN \* MERGEFORMAT </w:instrText>
                  </w:r>
                  <w:r>
                    <w:rPr>
                      <w:rFonts w:hint="default"/>
                      <w:b/>
                      <w:bCs/>
                      <w:color w:val="auto"/>
                      <w:sz w:val="21"/>
                      <w:szCs w:val="21"/>
                      <w:vertAlign w:val="baseline"/>
                      <w:lang w:val="en-US" w:eastAsia="zh-CN"/>
                    </w:rPr>
                    <w:fldChar w:fldCharType="separate"/>
                  </w:r>
                  <w:r>
                    <w:rPr>
                      <w:rFonts w:hint="default"/>
                      <w:b/>
                      <w:bCs/>
                      <w:color w:val="auto"/>
                      <w:sz w:val="21"/>
                      <w:szCs w:val="21"/>
                    </w:rPr>
                    <w:t>IV</w:t>
                  </w:r>
                  <w:r>
                    <w:rPr>
                      <w:rFonts w:hint="default"/>
                      <w:b/>
                      <w:bCs/>
                      <w:color w:val="auto"/>
                      <w:sz w:val="21"/>
                      <w:szCs w:val="21"/>
                      <w:vertAlign w:val="baseline"/>
                      <w:lang w:val="en-US" w:eastAsia="zh-CN"/>
                    </w:rPr>
                    <w:fldChar w:fldCharType="end"/>
                  </w:r>
                  <w:r>
                    <w:rPr>
                      <w:rFonts w:hint="eastAsia"/>
                      <w:b/>
                      <w:bCs/>
                      <w:color w:val="auto"/>
                      <w:sz w:val="21"/>
                      <w:szCs w:val="21"/>
                      <w:vertAlign w:val="superscript"/>
                      <w:lang w:val="en-US" w:eastAsia="zh-CN"/>
                    </w:rPr>
                    <w:t>+</w:t>
                  </w:r>
                  <w:r>
                    <w:rPr>
                      <w:rFonts w:hint="eastAsia"/>
                      <w:b/>
                      <w:bCs/>
                      <w:color w:val="auto"/>
                      <w:sz w:val="21"/>
                      <w:szCs w:val="21"/>
                      <w:vertAlign w:val="baseline"/>
                      <w:lang w:val="en-US" w:eastAsia="zh-CN"/>
                    </w:rPr>
                    <w:t>、</w:t>
                  </w:r>
                  <w:r>
                    <w:rPr>
                      <w:rFonts w:hint="default"/>
                      <w:b/>
                      <w:bCs/>
                      <w:color w:val="auto"/>
                      <w:sz w:val="21"/>
                      <w:szCs w:val="21"/>
                      <w:vertAlign w:val="baseline"/>
                      <w:lang w:val="en-US" w:eastAsia="zh-CN"/>
                    </w:rPr>
                    <w:fldChar w:fldCharType="begin"/>
                  </w:r>
                  <w:r>
                    <w:rPr>
                      <w:rFonts w:hint="default"/>
                      <w:b/>
                      <w:bCs/>
                      <w:color w:val="auto"/>
                      <w:sz w:val="21"/>
                      <w:szCs w:val="21"/>
                      <w:vertAlign w:val="baseline"/>
                      <w:lang w:val="en-US" w:eastAsia="zh-CN"/>
                    </w:rPr>
                    <w:instrText xml:space="preserve"> = 4 \* ROMAN \* MERGEFORMAT </w:instrText>
                  </w:r>
                  <w:r>
                    <w:rPr>
                      <w:rFonts w:hint="default"/>
                      <w:b/>
                      <w:bCs/>
                      <w:color w:val="auto"/>
                      <w:sz w:val="21"/>
                      <w:szCs w:val="21"/>
                      <w:vertAlign w:val="baseline"/>
                      <w:lang w:val="en-US" w:eastAsia="zh-CN"/>
                    </w:rPr>
                    <w:fldChar w:fldCharType="separate"/>
                  </w:r>
                  <w:r>
                    <w:rPr>
                      <w:rFonts w:hint="default"/>
                      <w:b/>
                      <w:bCs/>
                      <w:color w:val="auto"/>
                      <w:sz w:val="21"/>
                      <w:szCs w:val="21"/>
                    </w:rPr>
                    <w:t>IV</w:t>
                  </w:r>
                  <w:r>
                    <w:rPr>
                      <w:rFonts w:hint="default"/>
                      <w:b/>
                      <w:bCs/>
                      <w:color w:val="auto"/>
                      <w:sz w:val="21"/>
                      <w:szCs w:val="21"/>
                      <w:vertAlign w:val="baseline"/>
                      <w:lang w:val="en-US" w:eastAsia="zh-CN"/>
                    </w:rPr>
                    <w:fldChar w:fldCharType="end"/>
                  </w:r>
                </w:p>
              </w:tc>
              <w:tc>
                <w:tcPr>
                  <w:tcW w:w="770" w:type="pct"/>
                  <w:vAlign w:val="center"/>
                </w:tcPr>
                <w:p w14:paraId="005544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fldChar w:fldCharType="begin"/>
                  </w:r>
                  <w:r>
                    <w:rPr>
                      <w:rFonts w:hint="default"/>
                      <w:b/>
                      <w:bCs/>
                      <w:color w:val="auto"/>
                      <w:sz w:val="21"/>
                      <w:szCs w:val="21"/>
                      <w:vertAlign w:val="baseline"/>
                      <w:lang w:val="en-US" w:eastAsia="zh-CN"/>
                    </w:rPr>
                    <w:instrText xml:space="preserve"> = 3 \* ROMAN \* MERGEFORMAT </w:instrText>
                  </w:r>
                  <w:r>
                    <w:rPr>
                      <w:rFonts w:hint="default"/>
                      <w:b/>
                      <w:bCs/>
                      <w:color w:val="auto"/>
                      <w:sz w:val="21"/>
                      <w:szCs w:val="21"/>
                      <w:vertAlign w:val="baseline"/>
                      <w:lang w:val="en-US" w:eastAsia="zh-CN"/>
                    </w:rPr>
                    <w:fldChar w:fldCharType="separate"/>
                  </w:r>
                  <w:r>
                    <w:rPr>
                      <w:rFonts w:hint="default"/>
                      <w:b/>
                      <w:bCs/>
                      <w:color w:val="auto"/>
                      <w:sz w:val="21"/>
                      <w:szCs w:val="21"/>
                    </w:rPr>
                    <w:t>III</w:t>
                  </w:r>
                  <w:r>
                    <w:rPr>
                      <w:rFonts w:hint="default"/>
                      <w:b/>
                      <w:bCs/>
                      <w:color w:val="auto"/>
                      <w:sz w:val="21"/>
                      <w:szCs w:val="21"/>
                      <w:vertAlign w:val="baseline"/>
                      <w:lang w:val="en-US" w:eastAsia="zh-CN"/>
                    </w:rPr>
                    <w:fldChar w:fldCharType="end"/>
                  </w:r>
                </w:p>
              </w:tc>
              <w:tc>
                <w:tcPr>
                  <w:tcW w:w="788" w:type="pct"/>
                  <w:vAlign w:val="center"/>
                </w:tcPr>
                <w:p w14:paraId="63DC18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auto"/>
                      <w:sz w:val="21"/>
                      <w:szCs w:val="21"/>
                      <w:vertAlign w:val="baseline"/>
                      <w:lang w:val="en-US" w:eastAsia="zh-CN"/>
                    </w:rPr>
                  </w:pPr>
                  <w:r>
                    <w:rPr>
                      <w:rFonts w:hint="default"/>
                      <w:b/>
                      <w:bCs/>
                      <w:color w:val="auto"/>
                      <w:sz w:val="21"/>
                      <w:szCs w:val="21"/>
                      <w:vertAlign w:val="baseline"/>
                      <w:lang w:val="en-US" w:eastAsia="zh-CN"/>
                    </w:rPr>
                    <w:fldChar w:fldCharType="begin"/>
                  </w:r>
                  <w:r>
                    <w:rPr>
                      <w:rFonts w:hint="default"/>
                      <w:b/>
                      <w:bCs/>
                      <w:color w:val="auto"/>
                      <w:sz w:val="21"/>
                      <w:szCs w:val="21"/>
                      <w:vertAlign w:val="baseline"/>
                      <w:lang w:val="en-US" w:eastAsia="zh-CN"/>
                    </w:rPr>
                    <w:instrText xml:space="preserve"> = 2 \* ROMAN \* MERGEFORMAT </w:instrText>
                  </w:r>
                  <w:r>
                    <w:rPr>
                      <w:rFonts w:hint="default"/>
                      <w:b/>
                      <w:bCs/>
                      <w:color w:val="auto"/>
                      <w:sz w:val="21"/>
                      <w:szCs w:val="21"/>
                      <w:vertAlign w:val="baseline"/>
                      <w:lang w:val="en-US" w:eastAsia="zh-CN"/>
                    </w:rPr>
                    <w:fldChar w:fldCharType="separate"/>
                  </w:r>
                  <w:r>
                    <w:rPr>
                      <w:rFonts w:hint="default"/>
                      <w:b/>
                      <w:bCs/>
                      <w:color w:val="auto"/>
                      <w:sz w:val="21"/>
                      <w:szCs w:val="21"/>
                    </w:rPr>
                    <w:t>II</w:t>
                  </w:r>
                  <w:r>
                    <w:rPr>
                      <w:rFonts w:hint="default"/>
                      <w:b/>
                      <w:bCs/>
                      <w:color w:val="auto"/>
                      <w:sz w:val="21"/>
                      <w:szCs w:val="21"/>
                      <w:vertAlign w:val="baseline"/>
                      <w:lang w:val="en-US" w:eastAsia="zh-CN"/>
                    </w:rPr>
                    <w:fldChar w:fldCharType="end"/>
                  </w:r>
                </w:p>
              </w:tc>
              <w:tc>
                <w:tcPr>
                  <w:tcW w:w="1003" w:type="pct"/>
                  <w:vAlign w:val="center"/>
                </w:tcPr>
                <w:p w14:paraId="75D1E2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color w:val="auto"/>
                      <w:sz w:val="21"/>
                      <w:szCs w:val="21"/>
                      <w:vertAlign w:val="baseline"/>
                      <w:lang w:val="en-US" w:eastAsia="zh-CN"/>
                    </w:rPr>
                  </w:pPr>
                  <w:r>
                    <w:rPr>
                      <w:rFonts w:hint="eastAsia"/>
                      <w:b/>
                      <w:bCs/>
                      <w:color w:val="auto"/>
                      <w:sz w:val="21"/>
                      <w:szCs w:val="21"/>
                      <w:vertAlign w:val="baseline"/>
                      <w:lang w:val="en-US" w:eastAsia="zh-CN"/>
                    </w:rPr>
                    <w:fldChar w:fldCharType="begin"/>
                  </w:r>
                  <w:r>
                    <w:rPr>
                      <w:rFonts w:hint="eastAsia"/>
                      <w:b/>
                      <w:bCs/>
                      <w:color w:val="auto"/>
                      <w:sz w:val="21"/>
                      <w:szCs w:val="21"/>
                      <w:vertAlign w:val="baseline"/>
                      <w:lang w:val="en-US" w:eastAsia="zh-CN"/>
                    </w:rPr>
                    <w:instrText xml:space="preserve"> = 1 \* ROMAN \* MERGEFORMAT </w:instrText>
                  </w:r>
                  <w:r>
                    <w:rPr>
                      <w:rFonts w:hint="eastAsia"/>
                      <w:b/>
                      <w:bCs/>
                      <w:color w:val="auto"/>
                      <w:sz w:val="21"/>
                      <w:szCs w:val="21"/>
                      <w:vertAlign w:val="baseline"/>
                      <w:lang w:val="en-US" w:eastAsia="zh-CN"/>
                    </w:rPr>
                    <w:fldChar w:fldCharType="separate"/>
                  </w:r>
                  <w:r>
                    <w:rPr>
                      <w:rFonts w:hint="default"/>
                      <w:b/>
                      <w:bCs/>
                      <w:color w:val="auto"/>
                      <w:sz w:val="21"/>
                      <w:szCs w:val="21"/>
                    </w:rPr>
                    <w:t>I</w:t>
                  </w:r>
                  <w:r>
                    <w:rPr>
                      <w:rFonts w:hint="eastAsia"/>
                      <w:b/>
                      <w:bCs/>
                      <w:color w:val="auto"/>
                      <w:sz w:val="21"/>
                      <w:szCs w:val="21"/>
                      <w:vertAlign w:val="baseline"/>
                      <w:lang w:val="en-US" w:eastAsia="zh-CN"/>
                    </w:rPr>
                    <w:fldChar w:fldCharType="end"/>
                  </w:r>
                </w:p>
              </w:tc>
            </w:tr>
            <w:tr w14:paraId="6CBE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91" w:type="pct"/>
                  <w:vAlign w:val="center"/>
                </w:tcPr>
                <w:p w14:paraId="2B892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评价工作等级</w:t>
                  </w:r>
                </w:p>
              </w:tc>
              <w:tc>
                <w:tcPr>
                  <w:tcW w:w="1047" w:type="pct"/>
                  <w:vAlign w:val="center"/>
                </w:tcPr>
                <w:p w14:paraId="50081F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一</w:t>
                  </w:r>
                </w:p>
              </w:tc>
              <w:tc>
                <w:tcPr>
                  <w:tcW w:w="770" w:type="pct"/>
                  <w:vAlign w:val="center"/>
                </w:tcPr>
                <w:p w14:paraId="6D2ECD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二</w:t>
                  </w:r>
                </w:p>
              </w:tc>
              <w:tc>
                <w:tcPr>
                  <w:tcW w:w="788" w:type="pct"/>
                  <w:vAlign w:val="center"/>
                </w:tcPr>
                <w:p w14:paraId="55F0B4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三</w:t>
                  </w:r>
                </w:p>
              </w:tc>
              <w:tc>
                <w:tcPr>
                  <w:tcW w:w="1003" w:type="pct"/>
                  <w:vAlign w:val="center"/>
                </w:tcPr>
                <w:p w14:paraId="5AF638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简单分析a</w:t>
                  </w:r>
                </w:p>
              </w:tc>
            </w:tr>
            <w:tr w14:paraId="6AFA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5"/>
                  <w:vAlign w:val="center"/>
                </w:tcPr>
                <w:p w14:paraId="3D8511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a是相对于详细评价工作内容而言，在描述危险物质、环境影响途径、环境危害后果、风险防范措施等方面给出定性的说明。</w:t>
                  </w:r>
                </w:p>
              </w:tc>
            </w:tr>
          </w:tbl>
          <w:p w14:paraId="2670495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2" w:firstLineChars="200"/>
              <w:jc w:val="left"/>
              <w:textAlignment w:val="auto"/>
              <w:rPr>
                <w:rFonts w:hint="eastAsia" w:ascii="Times New Roman" w:hAnsi="Times New Roman" w:eastAsia="宋体"/>
                <w:b/>
                <w:bCs/>
                <w:color w:val="auto"/>
                <w:kern w:val="0"/>
                <w:sz w:val="24"/>
                <w:lang w:val="en-US" w:eastAsia="zh-CN" w:bidi="ar"/>
              </w:rPr>
            </w:pPr>
            <w:r>
              <w:rPr>
                <w:rFonts w:hint="eastAsia" w:ascii="Times New Roman" w:hAnsi="Times New Roman" w:eastAsia="宋体"/>
                <w:b/>
                <w:bCs/>
                <w:color w:val="auto"/>
                <w:kern w:val="0"/>
                <w:sz w:val="24"/>
                <w:lang w:val="en-US" w:eastAsia="zh-CN" w:bidi="ar"/>
              </w:rPr>
              <w:t>6</w:t>
            </w:r>
            <w:r>
              <w:rPr>
                <w:rFonts w:hint="eastAsia" w:ascii="Times New Roman" w:hAnsi="Times New Roman" w:eastAsia="宋体"/>
                <w:b/>
                <w:bCs/>
                <w:color w:val="auto"/>
                <w:kern w:val="0"/>
                <w:sz w:val="24"/>
                <w:lang w:bidi="ar"/>
              </w:rPr>
              <w:t>.3</w:t>
            </w:r>
            <w:r>
              <w:rPr>
                <w:rFonts w:hint="eastAsia" w:ascii="Times New Roman" w:hAnsi="Times New Roman" w:eastAsia="宋体"/>
                <w:b/>
                <w:bCs/>
                <w:color w:val="auto"/>
                <w:kern w:val="0"/>
                <w:sz w:val="24"/>
                <w:lang w:val="en-US" w:eastAsia="zh-CN" w:bidi="ar"/>
              </w:rPr>
              <w:t xml:space="preserve"> 环境敏感目标概况</w:t>
            </w:r>
          </w:p>
          <w:p w14:paraId="5431653F">
            <w:pPr>
              <w:pStyle w:val="2"/>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pacing w:val="0"/>
                <w:position w:val="0"/>
                <w:sz w:val="24"/>
                <w:lang w:val="en-US" w:eastAsia="zh-CN"/>
              </w:rPr>
            </w:pPr>
            <w:r>
              <w:rPr>
                <w:rFonts w:hint="eastAsia" w:ascii="Times New Roman" w:hAnsi="Times New Roman" w:eastAsia="宋体" w:cs="Times New Roman"/>
                <w:color w:val="auto"/>
                <w:spacing w:val="0"/>
                <w:position w:val="0"/>
                <w:sz w:val="24"/>
                <w:lang w:val="en-US" w:eastAsia="zh-CN"/>
              </w:rPr>
              <w:t>本项目周边500m范围内人口总数小于500人，根据项目不涉及危险物质和所在区域的实际环境特点，本项目周边500m范围不存在环境保护目标。</w:t>
            </w:r>
          </w:p>
          <w:p w14:paraId="25D366F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2" w:firstLineChars="200"/>
              <w:jc w:val="left"/>
              <w:textAlignment w:val="auto"/>
              <w:rPr>
                <w:rFonts w:hint="default" w:ascii="Times New Roman" w:hAnsi="Times New Roman" w:eastAsia="宋体"/>
                <w:b/>
                <w:bCs/>
                <w:color w:val="auto"/>
                <w:kern w:val="0"/>
                <w:sz w:val="24"/>
                <w:lang w:val="en-US" w:eastAsia="zh-CN" w:bidi="ar"/>
              </w:rPr>
            </w:pPr>
            <w:r>
              <w:rPr>
                <w:rFonts w:hint="eastAsia" w:ascii="Times New Roman" w:hAnsi="Times New Roman" w:eastAsia="宋体"/>
                <w:b/>
                <w:bCs/>
                <w:color w:val="auto"/>
                <w:kern w:val="0"/>
                <w:sz w:val="24"/>
                <w:lang w:val="en-US" w:eastAsia="zh-CN" w:bidi="ar"/>
              </w:rPr>
              <w:t>6.4 环境风险识别</w:t>
            </w:r>
          </w:p>
          <w:p w14:paraId="300ECCB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textAlignment w:val="auto"/>
              <w:rPr>
                <w:rFonts w:hint="default"/>
                <w:color w:val="auto"/>
                <w:kern w:val="0"/>
                <w:sz w:val="24"/>
                <w:szCs w:val="24"/>
                <w:lang w:val="en-US" w:eastAsia="zh-CN" w:bidi="ar"/>
              </w:rPr>
            </w:pPr>
            <w:r>
              <w:rPr>
                <w:rFonts w:hint="eastAsia"/>
                <w:color w:val="auto"/>
                <w:kern w:val="0"/>
                <w:sz w:val="24"/>
                <w:szCs w:val="24"/>
                <w:lang w:val="en-US" w:eastAsia="zh-CN" w:bidi="ar"/>
              </w:rPr>
              <w:t>危险废物泄漏污染：油类污染泄漏有污染地下水及土壤的风险，遇明火易燃。</w:t>
            </w:r>
          </w:p>
          <w:p w14:paraId="3C20CE9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b w:val="0"/>
                <w:bCs w:val="0"/>
                <w:color w:val="auto"/>
                <w:kern w:val="0"/>
                <w:sz w:val="24"/>
                <w:lang w:val="en-US" w:eastAsia="zh-CN" w:bidi="ar"/>
              </w:rPr>
            </w:pPr>
            <w:r>
              <w:rPr>
                <w:rFonts w:hint="eastAsia" w:ascii="Times New Roman" w:hAnsi="Times New Roman" w:eastAsia="宋体"/>
                <w:b w:val="0"/>
                <w:bCs w:val="0"/>
                <w:color w:val="auto"/>
                <w:kern w:val="0"/>
                <w:sz w:val="24"/>
                <w:lang w:val="en-US" w:eastAsia="zh-CN" w:bidi="ar"/>
              </w:rPr>
              <w:t>物料发生火灾：生物质颗粒</w:t>
            </w:r>
            <w:r>
              <w:rPr>
                <w:rFonts w:hint="eastAsia"/>
                <w:b w:val="0"/>
                <w:bCs w:val="0"/>
                <w:color w:val="auto"/>
                <w:kern w:val="0"/>
                <w:sz w:val="24"/>
                <w:lang w:val="en-US" w:eastAsia="zh-CN" w:bidi="ar"/>
              </w:rPr>
              <w:t>燃烧导致环境污染，影响环境空气，危害人体健康。</w:t>
            </w:r>
          </w:p>
          <w:p w14:paraId="415DDF0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b w:val="0"/>
                <w:bCs w:val="0"/>
                <w:color w:val="auto"/>
                <w:kern w:val="0"/>
                <w:sz w:val="24"/>
                <w:lang w:val="en-US" w:eastAsia="zh-CN" w:bidi="ar"/>
              </w:rPr>
            </w:pPr>
            <w:r>
              <w:rPr>
                <w:rFonts w:hint="eastAsia" w:ascii="Times New Roman" w:hAnsi="Times New Roman" w:eastAsia="宋体"/>
                <w:b w:val="0"/>
                <w:bCs w:val="0"/>
                <w:color w:val="auto"/>
                <w:kern w:val="0"/>
                <w:sz w:val="24"/>
                <w:lang w:val="en-US" w:eastAsia="zh-CN" w:bidi="ar"/>
              </w:rPr>
              <w:t>超标排放：通过对风险识别并结合本工程实际情况，本项目风险主要是配套环保设施未能正常运行，导致颗粒物在无处理的情况下全部逸散至大气环境中。</w:t>
            </w:r>
          </w:p>
          <w:p w14:paraId="75B997E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b/>
                <w:bCs/>
                <w:color w:val="auto"/>
                <w:kern w:val="0"/>
                <w:sz w:val="24"/>
                <w:lang w:val="en-US" w:eastAsia="zh-CN" w:bidi="ar"/>
              </w:rPr>
            </w:pPr>
            <w:r>
              <w:rPr>
                <w:rFonts w:hint="eastAsia" w:ascii="Times New Roman" w:hAnsi="Times New Roman" w:eastAsia="宋体"/>
                <w:b/>
                <w:bCs/>
                <w:color w:val="auto"/>
                <w:kern w:val="0"/>
                <w:sz w:val="24"/>
                <w:lang w:val="en-US" w:eastAsia="zh-CN" w:bidi="ar"/>
              </w:rPr>
              <w:t>6.5 环境风险分析</w:t>
            </w:r>
          </w:p>
          <w:p w14:paraId="4DBE1782">
            <w:pPr>
              <w:pStyle w:val="2"/>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b w:val="0"/>
                <w:bCs w:val="0"/>
                <w:color w:val="auto"/>
                <w:kern w:val="0"/>
                <w:sz w:val="24"/>
                <w:lang w:val="en-US" w:eastAsia="zh-CN" w:bidi="ar"/>
              </w:rPr>
            </w:pPr>
            <w:r>
              <w:rPr>
                <w:rFonts w:hint="eastAsia" w:ascii="Times New Roman" w:hAnsi="Times New Roman" w:eastAsia="宋体"/>
                <w:b w:val="0"/>
                <w:bCs w:val="0"/>
                <w:color w:val="auto"/>
                <w:kern w:val="0"/>
                <w:sz w:val="24"/>
                <w:lang w:val="en-US" w:eastAsia="zh-CN" w:bidi="ar"/>
              </w:rPr>
              <w:t>本项目事故情况下，事故情况最不利气象条件下</w:t>
            </w:r>
            <w:r>
              <w:rPr>
                <w:rFonts w:hint="eastAsia" w:ascii="Times New Roman" w:hAnsi="Times New Roman"/>
                <w:b w:val="0"/>
                <w:bCs w:val="0"/>
                <w:color w:val="auto"/>
                <w:kern w:val="0"/>
                <w:sz w:val="24"/>
                <w:lang w:val="en-US" w:eastAsia="zh-CN" w:bidi="ar"/>
              </w:rPr>
              <w:t>：</w:t>
            </w:r>
          </w:p>
          <w:p w14:paraId="6144B150">
            <w:pPr>
              <w:pStyle w:val="2"/>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b w:val="0"/>
                <w:bCs w:val="0"/>
                <w:color w:val="auto"/>
                <w:kern w:val="0"/>
                <w:sz w:val="24"/>
                <w:lang w:val="en-US" w:eastAsia="zh-CN" w:bidi="ar"/>
              </w:rPr>
            </w:pPr>
            <w:r>
              <w:rPr>
                <w:rFonts w:hint="eastAsia" w:ascii="Times New Roman" w:hAnsi="Times New Roman" w:eastAsia="宋体"/>
                <w:b w:val="0"/>
                <w:bCs w:val="0"/>
                <w:color w:val="auto"/>
                <w:kern w:val="0"/>
                <w:sz w:val="24"/>
                <w:lang w:val="en-US" w:eastAsia="zh-CN" w:bidi="ar"/>
              </w:rPr>
              <w:t>粉尘主要会扩散至下风向，生产线有专人负责，发生大量粉尘逸散情况均能在10min内发现，并在30min内完成处理。</w:t>
            </w:r>
          </w:p>
          <w:p w14:paraId="07FA4717">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auto"/>
                <w:lang w:val="en-US" w:eastAsia="zh-CN"/>
              </w:rPr>
            </w:pPr>
            <w:r>
              <w:rPr>
                <w:rFonts w:hint="eastAsia"/>
                <w:b w:val="0"/>
                <w:bCs w:val="0"/>
                <w:color w:val="auto"/>
                <w:kern w:val="0"/>
                <w:sz w:val="24"/>
                <w:lang w:val="en-US" w:eastAsia="zh-CN" w:bidi="ar"/>
              </w:rPr>
              <w:t>生物质颗粒为易燃物，</w:t>
            </w:r>
            <w:r>
              <w:rPr>
                <w:rFonts w:hint="eastAsia" w:ascii="Times New Roman" w:hAnsi="Times New Roman" w:eastAsia="宋体" w:cs="Times New Roman"/>
                <w:b w:val="0"/>
                <w:bCs w:val="0"/>
                <w:color w:val="auto"/>
                <w:sz w:val="24"/>
                <w:szCs w:val="24"/>
                <w:lang w:val="en-US" w:eastAsia="zh-CN"/>
              </w:rPr>
              <w:t>如遇火发生火灾，引发次生污染物，可能对环境造成污染影响。</w:t>
            </w:r>
          </w:p>
          <w:p w14:paraId="13D0FEE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2" w:firstLineChars="200"/>
              <w:jc w:val="left"/>
              <w:textAlignment w:val="auto"/>
              <w:rPr>
                <w:rFonts w:hint="default" w:ascii="Times New Roman" w:hAnsi="Times New Roman" w:eastAsia="宋体"/>
                <w:color w:val="auto"/>
                <w:kern w:val="0"/>
                <w:sz w:val="24"/>
                <w:lang w:bidi="ar"/>
              </w:rPr>
            </w:pPr>
            <w:r>
              <w:rPr>
                <w:rFonts w:hint="eastAsia" w:ascii="Times New Roman" w:hAnsi="Times New Roman" w:eastAsia="宋体"/>
                <w:b/>
                <w:bCs/>
                <w:color w:val="auto"/>
                <w:kern w:val="0"/>
                <w:sz w:val="24"/>
                <w:lang w:val="en-US" w:eastAsia="zh-CN" w:bidi="ar"/>
              </w:rPr>
              <w:t xml:space="preserve">6.6 </w:t>
            </w:r>
            <w:r>
              <w:rPr>
                <w:rFonts w:hint="default" w:ascii="Times New Roman" w:hAnsi="Times New Roman" w:eastAsia="宋体"/>
                <w:b/>
                <w:bCs/>
                <w:color w:val="auto"/>
                <w:kern w:val="0"/>
                <w:sz w:val="24"/>
                <w:lang w:bidi="ar"/>
              </w:rPr>
              <w:t>风险防范措施</w:t>
            </w:r>
          </w:p>
          <w:p w14:paraId="7BB53CF7">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rPr>
              <w:t>企业需组建安全环保管理机构，配备管理人员，通过技能培训，承担该公司运行中的环保安全工作。</w:t>
            </w:r>
          </w:p>
          <w:p w14:paraId="2929DD7B">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rPr>
              <w:t>安全环保机构将根据相关的环境管理要求，结合具体情况，制定企业的各项安全生产管理制度、严格的生产操作规则和完善的事故应急计划及相应的应急处理手段和设施，同时加强安全教育，以提高职工的安全意识和安全防范能力。</w:t>
            </w:r>
          </w:p>
          <w:p w14:paraId="33CB30D7">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eastAsia" w:ascii="Times New Roman" w:hAnsi="Times New Roman" w:eastAsia="宋体"/>
                <w:color w:val="auto"/>
                <w:sz w:val="24"/>
                <w:lang w:eastAsia="zh-CN"/>
              </w:rPr>
              <w:t>（</w:t>
            </w:r>
            <w:r>
              <w:rPr>
                <w:rFonts w:hint="eastAsia" w:ascii="Times New Roman" w:hAnsi="Times New Roman" w:eastAsia="宋体"/>
                <w:color w:val="auto"/>
                <w:sz w:val="24"/>
                <w:lang w:val="en-US" w:eastAsia="zh-CN"/>
              </w:rPr>
              <w:t>1</w:t>
            </w:r>
            <w:r>
              <w:rPr>
                <w:rFonts w:hint="eastAsia" w:ascii="Times New Roman" w:hAnsi="Times New Roman" w:eastAsia="宋体"/>
                <w:color w:val="auto"/>
                <w:sz w:val="24"/>
                <w:lang w:eastAsia="zh-CN"/>
              </w:rPr>
              <w:t>）</w:t>
            </w:r>
            <w:r>
              <w:rPr>
                <w:rFonts w:hint="default" w:ascii="Times New Roman" w:hAnsi="Times New Roman" w:eastAsia="宋体"/>
                <w:color w:val="auto"/>
                <w:sz w:val="24"/>
              </w:rPr>
              <w:t>总图布置和建筑安全防范措施</w:t>
            </w:r>
          </w:p>
          <w:p w14:paraId="420DE66A">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rPr>
              <w:t>①总图布置</w:t>
            </w:r>
          </w:p>
          <w:p w14:paraId="45D704A1">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rPr>
              <w:t>在厂区总平面布置方面，严格执行相关规范要求，所有建、构筑物之间或</w:t>
            </w:r>
            <w:r>
              <w:rPr>
                <w:rFonts w:hint="eastAsia" w:ascii="Times New Roman" w:hAnsi="Times New Roman" w:eastAsia="宋体"/>
                <w:color w:val="auto"/>
                <w:sz w:val="24"/>
                <w:lang w:eastAsia="zh-CN"/>
              </w:rPr>
              <w:t>与其他</w:t>
            </w:r>
            <w:r>
              <w:rPr>
                <w:rFonts w:hint="default" w:ascii="Times New Roman" w:hAnsi="Times New Roman" w:eastAsia="宋体"/>
                <w:color w:val="auto"/>
                <w:sz w:val="24"/>
              </w:rPr>
              <w:t>场所之间留有足够的防火间距，防止在火灾或爆炸时相互影响；严格按工艺处理物料特性，对厂区进行危险区划分。</w:t>
            </w:r>
          </w:p>
          <w:p w14:paraId="319156DF">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rPr>
              <w:t>厂区道路实行人、货流分开</w:t>
            </w:r>
            <w:r>
              <w:rPr>
                <w:rFonts w:hint="eastAsia" w:ascii="Times New Roman" w:hAnsi="Times New Roman" w:eastAsia="宋体"/>
                <w:color w:val="auto"/>
                <w:sz w:val="24"/>
                <w:lang w:eastAsia="zh-CN"/>
              </w:rPr>
              <w:t>（</w:t>
            </w:r>
            <w:r>
              <w:rPr>
                <w:rFonts w:hint="default" w:ascii="Times New Roman" w:hAnsi="Times New Roman" w:eastAsia="宋体"/>
                <w:color w:val="auto"/>
                <w:sz w:val="24"/>
              </w:rPr>
              <w:t>划分人行区域和车辆行驶区域、不重叠</w:t>
            </w:r>
            <w:r>
              <w:rPr>
                <w:rFonts w:hint="eastAsia" w:ascii="Times New Roman" w:hAnsi="Times New Roman" w:eastAsia="宋体"/>
                <w:color w:val="auto"/>
                <w:sz w:val="24"/>
                <w:lang w:eastAsia="zh-CN"/>
              </w:rPr>
              <w:t>），</w:t>
            </w:r>
            <w:r>
              <w:rPr>
                <w:rFonts w:hint="default" w:ascii="Times New Roman" w:hAnsi="Times New Roman" w:eastAsia="宋体"/>
                <w:color w:val="auto"/>
                <w:sz w:val="24"/>
              </w:rPr>
              <w:t>严禁烟火标志等并严格执行：在厂区总平面布置中配套建设应急救援设施、救援通道、应急疏散避难所等防护设施。按《安全标志》规定在装置区设置有关的安全标志。厂区内道路形成环状，建筑间距符合要求，设置大门。</w:t>
            </w:r>
          </w:p>
          <w:p w14:paraId="59115EE2">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rPr>
              <w:t>②建筑安全防范</w:t>
            </w:r>
          </w:p>
          <w:p w14:paraId="00BA076A">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rPr>
              <w:t>根据火灾危险性等级和防火要求，建筑物的防火等级均采用国家现行规范要求的耐火等级设计，满足建筑防火要求。凡禁火区均设置明显标志牌。各种易燃物料均储存在阴凉、通风处，远离火源。安全出口及安全疏散距离应符合《建筑设计防火规范》</w:t>
            </w:r>
            <w:r>
              <w:rPr>
                <w:rFonts w:hint="eastAsia" w:ascii="Times New Roman" w:hAnsi="Times New Roman" w:eastAsia="宋体"/>
                <w:color w:val="auto"/>
                <w:sz w:val="24"/>
                <w:lang w:eastAsia="zh-CN"/>
              </w:rPr>
              <w:t>（</w:t>
            </w:r>
            <w:r>
              <w:rPr>
                <w:rFonts w:hint="default" w:ascii="Times New Roman" w:hAnsi="Times New Roman" w:eastAsia="宋体"/>
                <w:color w:val="auto"/>
                <w:sz w:val="24"/>
              </w:rPr>
              <w:t>GB</w:t>
            </w:r>
            <w:r>
              <w:rPr>
                <w:rFonts w:hint="eastAsia" w:ascii="Times New Roman" w:hAnsi="Times New Roman" w:eastAsia="宋体"/>
                <w:color w:val="auto"/>
                <w:sz w:val="24"/>
                <w:lang w:val="en-US" w:eastAsia="zh-CN"/>
              </w:rPr>
              <w:t xml:space="preserve"> </w:t>
            </w:r>
            <w:r>
              <w:rPr>
                <w:rFonts w:hint="default" w:ascii="Times New Roman" w:hAnsi="Times New Roman" w:eastAsia="宋体"/>
                <w:color w:val="auto"/>
                <w:sz w:val="24"/>
              </w:rPr>
              <w:t>50016-2006</w:t>
            </w:r>
            <w:r>
              <w:rPr>
                <w:rFonts w:hint="eastAsia" w:ascii="Times New Roman" w:hAnsi="Times New Roman" w:eastAsia="宋体"/>
                <w:color w:val="auto"/>
                <w:sz w:val="24"/>
                <w:lang w:eastAsia="zh-CN"/>
              </w:rPr>
              <w:t>）</w:t>
            </w:r>
            <w:r>
              <w:rPr>
                <w:rFonts w:hint="default" w:ascii="Times New Roman" w:hAnsi="Times New Roman" w:eastAsia="宋体"/>
                <w:color w:val="auto"/>
                <w:sz w:val="24"/>
              </w:rPr>
              <w:t>的要求。</w:t>
            </w:r>
          </w:p>
          <w:p w14:paraId="7F477608">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rPr>
              <w:t>根据生产工序的特点，在生产区设置救护箱。工作人员配备必要的个人防护用品。</w:t>
            </w:r>
          </w:p>
          <w:p w14:paraId="52451DE8">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lang w:val="en-US" w:eastAsia="zh-CN"/>
              </w:rPr>
            </w:pPr>
            <w:r>
              <w:rPr>
                <w:rFonts w:hint="eastAsia" w:ascii="Times New Roman" w:hAnsi="Times New Roman" w:eastAsia="宋体"/>
                <w:color w:val="auto"/>
                <w:sz w:val="24"/>
                <w:lang w:eastAsia="zh-CN"/>
              </w:rPr>
              <w:t>（</w:t>
            </w:r>
            <w:r>
              <w:rPr>
                <w:rFonts w:hint="eastAsia" w:ascii="Times New Roman" w:hAnsi="Times New Roman" w:eastAsia="宋体"/>
                <w:color w:val="auto"/>
                <w:sz w:val="24"/>
                <w:lang w:val="en-US" w:eastAsia="zh-CN"/>
              </w:rPr>
              <w:t>2</w:t>
            </w:r>
            <w:r>
              <w:rPr>
                <w:rFonts w:hint="eastAsia" w:ascii="Times New Roman" w:hAnsi="Times New Roman" w:eastAsia="宋体"/>
                <w:color w:val="auto"/>
                <w:sz w:val="24"/>
                <w:lang w:eastAsia="zh-CN"/>
              </w:rPr>
              <w:t>）</w:t>
            </w:r>
            <w:r>
              <w:rPr>
                <w:rFonts w:hint="eastAsia" w:ascii="Times New Roman" w:hAnsi="Times New Roman" w:eastAsia="宋体"/>
                <w:color w:val="auto"/>
                <w:sz w:val="24"/>
                <w:lang w:val="en-US" w:eastAsia="zh-CN"/>
              </w:rPr>
              <w:t>污染治理系统事故预防措施</w:t>
            </w:r>
          </w:p>
          <w:p w14:paraId="0C04B205">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项目的废气治理设施在设计、施工时，应严格按照工程设计规范要求进行。</w:t>
            </w:r>
          </w:p>
          <w:p w14:paraId="5215909B">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（3）加强运输管理</w:t>
            </w:r>
          </w:p>
          <w:p w14:paraId="5A13CD52">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运输过程要及时上报交通管理部门，含对运输路线、运输车辆、运输量、运输时间等，经交通管理部门认可后方可运输。不得使用</w:t>
            </w:r>
            <w:r>
              <w:rPr>
                <w:rFonts w:hint="eastAsia" w:ascii="Times New Roman" w:hAnsi="Times New Roman" w:eastAsia="宋体"/>
                <w:color w:val="auto"/>
                <w:sz w:val="24"/>
                <w:lang w:val="en-US" w:eastAsia="zh-CN"/>
              </w:rPr>
              <w:t>“</w:t>
            </w:r>
            <w:r>
              <w:rPr>
                <w:rFonts w:hint="default" w:ascii="Times New Roman" w:hAnsi="Times New Roman" w:eastAsia="宋体"/>
                <w:color w:val="auto"/>
                <w:sz w:val="24"/>
                <w:lang w:val="en-US" w:eastAsia="zh-CN"/>
              </w:rPr>
              <w:t>带病</w:t>
            </w:r>
            <w:r>
              <w:rPr>
                <w:rFonts w:hint="eastAsia" w:ascii="Times New Roman" w:hAnsi="Times New Roman" w:eastAsia="宋体"/>
                <w:color w:val="auto"/>
                <w:sz w:val="24"/>
                <w:lang w:val="en-US" w:eastAsia="zh-CN"/>
              </w:rPr>
              <w:t>”</w:t>
            </w:r>
            <w:r>
              <w:rPr>
                <w:rFonts w:hint="default" w:ascii="Times New Roman" w:hAnsi="Times New Roman" w:eastAsia="宋体"/>
                <w:color w:val="auto"/>
                <w:sz w:val="24"/>
                <w:lang w:val="en-US" w:eastAsia="zh-CN"/>
              </w:rPr>
              <w:t>车辆。加强驾驶人员的安全教育。对路过居民区、危险路段应限制车速，防止交通事故。</w:t>
            </w:r>
          </w:p>
          <w:p w14:paraId="2530390A">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（4）其他事故风险防范措施</w:t>
            </w:r>
          </w:p>
          <w:p w14:paraId="719889D3">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lang w:val="en-US" w:eastAsia="zh-CN"/>
              </w:rPr>
            </w:pPr>
            <w:r>
              <w:rPr>
                <w:rFonts w:hint="default" w:ascii="Times New Roman" w:hAnsi="Times New Roman" w:eastAsia="宋体"/>
                <w:color w:val="auto"/>
                <w:sz w:val="24"/>
                <w:lang w:val="en-US" w:eastAsia="zh-CN"/>
              </w:rPr>
              <w:t>①组建风险管理小组，完善管理制度，将风险管理纳入日常管理之中，防患于未然</w:t>
            </w:r>
            <w:r>
              <w:rPr>
                <w:rFonts w:hint="eastAsia" w:ascii="Times New Roman" w:hAnsi="Times New Roman" w:eastAsia="宋体"/>
                <w:color w:val="auto"/>
                <w:sz w:val="24"/>
                <w:lang w:val="en-US" w:eastAsia="zh-CN"/>
              </w:rPr>
              <w:t>；</w:t>
            </w:r>
          </w:p>
          <w:p w14:paraId="22F43344">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val="en-US" w:eastAsia="zh-CN"/>
              </w:rPr>
              <w:t>②</w:t>
            </w:r>
            <w:r>
              <w:rPr>
                <w:rFonts w:hint="eastAsia" w:ascii="Times New Roman" w:hAnsi="Times New Roman" w:eastAsia="宋体"/>
                <w:color w:val="auto"/>
                <w:sz w:val="24"/>
                <w:lang w:val="en-US" w:eastAsia="zh-CN"/>
              </w:rPr>
              <w:t>增强</w:t>
            </w:r>
            <w:r>
              <w:rPr>
                <w:rFonts w:hint="default" w:ascii="Times New Roman" w:hAnsi="Times New Roman" w:eastAsia="宋体"/>
                <w:color w:val="auto"/>
                <w:sz w:val="24"/>
              </w:rPr>
              <w:t>职工风险意识，加强职工安全教育，提高突发环境事件应对能力；</w:t>
            </w:r>
          </w:p>
          <w:p w14:paraId="2EABBBDC">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olor w:val="auto"/>
                <w:sz w:val="24"/>
                <w:lang w:eastAsia="zh-CN"/>
              </w:rPr>
            </w:pPr>
            <w:r>
              <w:rPr>
                <w:rFonts w:hint="default" w:ascii="Times New Roman" w:hAnsi="Times New Roman" w:eastAsia="宋体"/>
                <w:color w:val="auto"/>
                <w:sz w:val="24"/>
              </w:rPr>
              <w:t>③设立应急指挥机构，负责事故状态下通讯联络、应急监测、警戒疏散、事故控制及善后处理等工作；设立专人负责应急救援物资、设备、器材和设施的管理和维护，定期进行检查</w:t>
            </w:r>
            <w:r>
              <w:rPr>
                <w:rFonts w:hint="eastAsia" w:ascii="Times New Roman" w:hAnsi="Times New Roman" w:eastAsia="宋体"/>
                <w:color w:val="auto"/>
                <w:sz w:val="24"/>
                <w:lang w:eastAsia="zh-CN"/>
              </w:rPr>
              <w:t>；</w:t>
            </w:r>
          </w:p>
          <w:p w14:paraId="78772998">
            <w:pPr>
              <w:pStyle w:val="34"/>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eastAsia" w:ascii="Times New Roman" w:hAnsi="Times New Roman" w:eastAsia="宋体"/>
                <w:color w:val="auto"/>
                <w:sz w:val="24"/>
                <w:lang w:val="en-US" w:eastAsia="zh-CN"/>
              </w:rPr>
              <w:t>④</w:t>
            </w:r>
            <w:r>
              <w:rPr>
                <w:rFonts w:hint="default" w:ascii="Times New Roman" w:hAnsi="Times New Roman" w:eastAsia="宋体"/>
                <w:color w:val="auto"/>
                <w:sz w:val="24"/>
              </w:rPr>
              <w:t>制定完善可行的</w:t>
            </w:r>
            <w:r>
              <w:rPr>
                <w:rFonts w:hint="eastAsia" w:ascii="Times New Roman" w:hAnsi="Times New Roman"/>
                <w:color w:val="auto"/>
                <w:sz w:val="24"/>
                <w:lang w:val="en-US" w:eastAsia="zh-CN"/>
              </w:rPr>
              <w:t>突发环境事件</w:t>
            </w:r>
            <w:r>
              <w:rPr>
                <w:rFonts w:hint="default" w:ascii="Times New Roman" w:hAnsi="Times New Roman" w:eastAsia="宋体"/>
                <w:color w:val="auto"/>
                <w:sz w:val="24"/>
              </w:rPr>
              <w:t>应急预案，并定期对预案进行演练。</w:t>
            </w:r>
          </w:p>
          <w:p w14:paraId="2A6B82F6">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⑤</w:t>
            </w:r>
            <w:r>
              <w:rPr>
                <w:rFonts w:hint="eastAsia" w:ascii="Times New Roman" w:hAnsi="Times New Roman" w:eastAsia="宋体" w:cs="Times New Roman"/>
                <w:b w:val="0"/>
                <w:bCs w:val="0"/>
                <w:color w:val="auto"/>
                <w:sz w:val="24"/>
                <w:szCs w:val="24"/>
                <w:lang w:val="en-US" w:eastAsia="zh-CN"/>
              </w:rPr>
              <w:t>燃料</w:t>
            </w:r>
            <w:r>
              <w:rPr>
                <w:rFonts w:hint="eastAsia" w:ascii="Times New Roman" w:hAnsi="Times New Roman" w:cs="Times New Roman"/>
                <w:b w:val="0"/>
                <w:bCs w:val="0"/>
                <w:color w:val="auto"/>
                <w:sz w:val="24"/>
                <w:szCs w:val="24"/>
                <w:lang w:val="en-US" w:eastAsia="zh-CN"/>
              </w:rPr>
              <w:t>、原料</w:t>
            </w:r>
            <w:r>
              <w:rPr>
                <w:rFonts w:hint="eastAsia" w:ascii="Times New Roman" w:hAnsi="Times New Roman" w:eastAsia="宋体" w:cs="Times New Roman"/>
                <w:b w:val="0"/>
                <w:bCs w:val="0"/>
                <w:color w:val="auto"/>
                <w:sz w:val="24"/>
                <w:szCs w:val="24"/>
                <w:lang w:val="en-US" w:eastAsia="zh-CN"/>
              </w:rPr>
              <w:t>堆棚周围禁止吸烟、使用明火；在燃料</w:t>
            </w:r>
            <w:r>
              <w:rPr>
                <w:rFonts w:hint="eastAsia" w:ascii="Times New Roman" w:hAnsi="Times New Roman" w:cs="Times New Roman"/>
                <w:b w:val="0"/>
                <w:bCs w:val="0"/>
                <w:color w:val="auto"/>
                <w:sz w:val="24"/>
                <w:szCs w:val="24"/>
                <w:lang w:val="en-US" w:eastAsia="zh-CN"/>
              </w:rPr>
              <w:t>、原料</w:t>
            </w:r>
            <w:r>
              <w:rPr>
                <w:rFonts w:hint="eastAsia" w:ascii="Times New Roman" w:hAnsi="Times New Roman" w:eastAsia="宋体" w:cs="Times New Roman"/>
                <w:b w:val="0"/>
                <w:bCs w:val="0"/>
                <w:color w:val="auto"/>
                <w:sz w:val="24"/>
                <w:szCs w:val="24"/>
                <w:lang w:val="en-US" w:eastAsia="zh-CN"/>
              </w:rPr>
              <w:t>堆棚口处设置灭火器等安全设施。</w:t>
            </w:r>
          </w:p>
          <w:p w14:paraId="20EA84CA">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olor w:val="auto"/>
                <w:sz w:val="24"/>
              </w:rPr>
            </w:pPr>
            <w:r>
              <w:rPr>
                <w:rFonts w:hint="eastAsia" w:ascii="Times New Roman" w:hAnsi="Times New Roman" w:cs="Times New Roman"/>
                <w:b w:val="0"/>
                <w:bCs w:val="0"/>
                <w:color w:val="auto"/>
                <w:sz w:val="24"/>
                <w:szCs w:val="24"/>
                <w:lang w:val="en-US" w:eastAsia="zh-CN"/>
              </w:rPr>
              <w:t>⑥</w:t>
            </w:r>
            <w:r>
              <w:rPr>
                <w:rFonts w:hint="eastAsia" w:ascii="Times New Roman" w:hAnsi="Times New Roman" w:eastAsia="宋体" w:cs="Times New Roman"/>
                <w:b w:val="0"/>
                <w:bCs w:val="0"/>
                <w:color w:val="auto"/>
                <w:sz w:val="24"/>
                <w:szCs w:val="24"/>
                <w:lang w:val="en-US" w:eastAsia="zh-CN"/>
              </w:rPr>
              <w:t>在生产过程中加强对废气处理设施的检修工作，确保其正常运行。</w:t>
            </w:r>
          </w:p>
          <w:p w14:paraId="09AEBFC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2" w:firstLineChars="200"/>
              <w:jc w:val="left"/>
              <w:textAlignment w:val="auto"/>
              <w:rPr>
                <w:rFonts w:hint="default" w:ascii="Times New Roman" w:hAnsi="Times New Roman" w:eastAsia="宋体"/>
                <w:color w:val="auto"/>
                <w:kern w:val="0"/>
                <w:sz w:val="24"/>
                <w:lang w:bidi="ar"/>
              </w:rPr>
            </w:pPr>
            <w:r>
              <w:rPr>
                <w:rFonts w:hint="eastAsia" w:ascii="Times New Roman" w:hAnsi="Times New Roman" w:eastAsia="宋体"/>
                <w:b/>
                <w:bCs/>
                <w:color w:val="auto"/>
                <w:kern w:val="0"/>
                <w:sz w:val="24"/>
                <w:lang w:val="en-US" w:eastAsia="zh-CN" w:bidi="ar"/>
              </w:rPr>
              <w:t>6</w:t>
            </w:r>
            <w:r>
              <w:rPr>
                <w:rFonts w:hint="eastAsia" w:ascii="Times New Roman" w:hAnsi="Times New Roman" w:eastAsia="宋体"/>
                <w:b/>
                <w:bCs/>
                <w:color w:val="auto"/>
                <w:kern w:val="0"/>
                <w:sz w:val="24"/>
                <w:lang w:bidi="ar"/>
              </w:rPr>
              <w:t>.</w:t>
            </w:r>
            <w:r>
              <w:rPr>
                <w:rFonts w:hint="eastAsia" w:ascii="Times New Roman" w:hAnsi="Times New Roman" w:eastAsia="宋体"/>
                <w:b/>
                <w:bCs/>
                <w:color w:val="auto"/>
                <w:kern w:val="0"/>
                <w:sz w:val="24"/>
                <w:lang w:val="en-US" w:eastAsia="zh-CN" w:bidi="ar"/>
              </w:rPr>
              <w:t xml:space="preserve">7 </w:t>
            </w:r>
            <w:r>
              <w:rPr>
                <w:rFonts w:hint="default" w:ascii="Times New Roman" w:hAnsi="Times New Roman" w:eastAsia="宋体"/>
                <w:b/>
                <w:bCs/>
                <w:color w:val="auto"/>
                <w:kern w:val="0"/>
                <w:sz w:val="24"/>
                <w:lang w:bidi="ar"/>
              </w:rPr>
              <w:t>风险评价结论</w:t>
            </w:r>
          </w:p>
          <w:p w14:paraId="7457B41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olor w:val="auto"/>
                <w:kern w:val="0"/>
                <w:sz w:val="24"/>
                <w:lang w:bidi="ar"/>
              </w:rPr>
            </w:pPr>
            <w:r>
              <w:rPr>
                <w:rFonts w:hint="default" w:ascii="Times New Roman" w:hAnsi="Times New Roman" w:eastAsia="宋体"/>
                <w:color w:val="auto"/>
                <w:kern w:val="0"/>
                <w:sz w:val="24"/>
                <w:lang w:bidi="ar"/>
              </w:rPr>
              <w:t>建设单位应按相关规定建设和完善消防设施，加强员工的思想教育工作和安全生产意识，加强</w:t>
            </w:r>
            <w:r>
              <w:rPr>
                <w:rFonts w:hint="eastAsia" w:ascii="Times New Roman" w:hAnsi="Times New Roman" w:eastAsia="宋体"/>
                <w:color w:val="auto"/>
                <w:kern w:val="0"/>
                <w:sz w:val="24"/>
                <w:lang w:val="en-US" w:eastAsia="zh-CN" w:bidi="ar"/>
              </w:rPr>
              <w:t>生产线</w:t>
            </w:r>
            <w:r>
              <w:rPr>
                <w:rFonts w:hint="default" w:ascii="Times New Roman" w:hAnsi="Times New Roman" w:eastAsia="宋体"/>
                <w:color w:val="auto"/>
                <w:kern w:val="0"/>
                <w:sz w:val="24"/>
                <w:lang w:bidi="ar"/>
              </w:rPr>
              <w:t>管理，定期检查，消除安全隐患，以保证其正常工作。采取以上措施后，</w:t>
            </w:r>
            <w:r>
              <w:rPr>
                <w:rFonts w:hint="eastAsia" w:ascii="Times New Roman" w:hAnsi="Times New Roman" w:eastAsia="宋体"/>
                <w:color w:val="auto"/>
                <w:kern w:val="0"/>
                <w:sz w:val="24"/>
                <w:lang w:eastAsia="zh-CN" w:bidi="ar"/>
              </w:rPr>
              <w:t>一般</w:t>
            </w:r>
            <w:r>
              <w:rPr>
                <w:rFonts w:hint="default" w:ascii="Times New Roman" w:hAnsi="Times New Roman" w:eastAsia="宋体"/>
                <w:color w:val="auto"/>
                <w:kern w:val="0"/>
                <w:sz w:val="24"/>
                <w:lang w:bidi="ar"/>
              </w:rPr>
              <w:t>认为各种事故发生的概率很小，环境风险可接受。</w:t>
            </w:r>
          </w:p>
          <w:p w14:paraId="5508078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2" w:firstLineChars="200"/>
              <w:jc w:val="left"/>
              <w:textAlignment w:val="auto"/>
              <w:rPr>
                <w:rFonts w:hint="default" w:ascii="Times New Roman" w:hAnsi="Times New Roman" w:eastAsia="宋体"/>
                <w:color w:val="auto"/>
                <w:kern w:val="0"/>
                <w:sz w:val="24"/>
                <w:lang w:bidi="ar"/>
              </w:rPr>
            </w:pPr>
            <w:r>
              <w:rPr>
                <w:rFonts w:hint="eastAsia" w:ascii="Times New Roman" w:hAnsi="Times New Roman" w:eastAsia="宋体"/>
                <w:b/>
                <w:bCs/>
                <w:color w:val="auto"/>
                <w:kern w:val="0"/>
                <w:sz w:val="24"/>
                <w:lang w:val="en-US" w:eastAsia="zh-CN" w:bidi="ar"/>
              </w:rPr>
              <w:t>6</w:t>
            </w:r>
            <w:r>
              <w:rPr>
                <w:rFonts w:hint="eastAsia" w:ascii="Times New Roman" w:hAnsi="Times New Roman" w:eastAsia="宋体"/>
                <w:b/>
                <w:bCs/>
                <w:color w:val="auto"/>
                <w:kern w:val="0"/>
                <w:sz w:val="24"/>
                <w:lang w:bidi="ar"/>
              </w:rPr>
              <w:t>.</w:t>
            </w:r>
            <w:r>
              <w:rPr>
                <w:rFonts w:hint="eastAsia" w:ascii="Times New Roman" w:hAnsi="Times New Roman" w:eastAsia="宋体"/>
                <w:b/>
                <w:bCs/>
                <w:color w:val="auto"/>
                <w:kern w:val="0"/>
                <w:sz w:val="24"/>
                <w:lang w:val="en-US" w:eastAsia="zh-CN" w:bidi="ar"/>
              </w:rPr>
              <w:t xml:space="preserve">8 </w:t>
            </w:r>
            <w:r>
              <w:rPr>
                <w:rFonts w:hint="default" w:ascii="Times New Roman" w:hAnsi="Times New Roman" w:eastAsia="宋体"/>
                <w:b/>
                <w:bCs/>
                <w:color w:val="auto"/>
                <w:kern w:val="0"/>
                <w:sz w:val="24"/>
                <w:lang w:bidi="ar"/>
              </w:rPr>
              <w:t>应急预案</w:t>
            </w:r>
          </w:p>
          <w:p w14:paraId="6CB4DCE0">
            <w:pPr>
              <w:pStyle w:val="6"/>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b/>
                <w:bCs w:val="0"/>
                <w:color w:val="auto"/>
                <w:sz w:val="21"/>
                <w:szCs w:val="21"/>
              </w:rPr>
            </w:pPr>
            <w:r>
              <w:rPr>
                <w:rFonts w:hint="default" w:ascii="Times New Roman" w:hAnsi="Times New Roman" w:eastAsia="宋体"/>
                <w:b w:val="0"/>
                <w:bCs w:val="0"/>
                <w:color w:val="auto"/>
                <w:kern w:val="0"/>
                <w:sz w:val="24"/>
                <w:szCs w:val="24"/>
                <w:lang w:bidi="ar"/>
              </w:rPr>
              <w:t>针对项目可能造成环境风险事故，本次评价建议项目建设单位建立事故应急预案，将事故时对环境的污染程度</w:t>
            </w:r>
            <w:r>
              <w:rPr>
                <w:rFonts w:hint="eastAsia" w:ascii="Times New Roman" w:hAnsi="Times New Roman" w:eastAsia="宋体"/>
                <w:b w:val="0"/>
                <w:bCs w:val="0"/>
                <w:color w:val="auto"/>
                <w:kern w:val="0"/>
                <w:sz w:val="24"/>
                <w:szCs w:val="24"/>
                <w:lang w:val="en-US" w:eastAsia="zh-CN" w:bidi="ar"/>
              </w:rPr>
              <w:t>减少</w:t>
            </w:r>
            <w:r>
              <w:rPr>
                <w:rFonts w:hint="default" w:ascii="Times New Roman" w:hAnsi="Times New Roman" w:eastAsia="宋体"/>
                <w:b w:val="0"/>
                <w:bCs w:val="0"/>
                <w:color w:val="auto"/>
                <w:kern w:val="0"/>
                <w:sz w:val="24"/>
                <w:szCs w:val="24"/>
                <w:lang w:bidi="ar"/>
              </w:rPr>
              <w:t>到最低。建设单位将严格按照国家有关规范标准要求，认真落实本环评提出对策措施，在采取以上风险防范措施及制定应急预案之后，环境风险事故对周围环境影响可以接受</w:t>
            </w:r>
            <w:r>
              <w:rPr>
                <w:rFonts w:hint="eastAsia" w:ascii="Times New Roman" w:hAnsi="Times New Roman" w:eastAsia="宋体" w:cs="宋体"/>
                <w:b w:val="0"/>
                <w:bCs w:val="0"/>
                <w:color w:val="auto"/>
                <w:kern w:val="0"/>
                <w:sz w:val="24"/>
                <w:szCs w:val="24"/>
                <w:lang w:bidi="ar"/>
              </w:rPr>
              <w:t>。</w:t>
            </w:r>
          </w:p>
          <w:p w14:paraId="1CB0DBF9">
            <w:pPr>
              <w:pStyle w:val="7"/>
              <w:numPr>
                <w:ilvl w:val="3"/>
                <w:numId w:val="0"/>
              </w:numPr>
              <w:suppressLineNumbers w:val="0"/>
              <w:spacing w:beforeAutospacing="0" w:afterAutospacing="0"/>
              <w:ind w:left="0" w:leftChars="0" w:right="0" w:firstLine="0" w:firstLineChars="0"/>
              <w:jc w:val="center"/>
              <w:rPr>
                <w:rFonts w:hint="default"/>
                <w:b/>
                <w:bCs w:val="0"/>
                <w:color w:val="auto"/>
                <w:sz w:val="21"/>
                <w:szCs w:val="21"/>
                <w:lang w:val="en-US"/>
              </w:rPr>
            </w:pPr>
            <w:r>
              <w:rPr>
                <w:rFonts w:hint="default"/>
                <w:b/>
                <w:bCs w:val="0"/>
                <w:color w:val="auto"/>
                <w:sz w:val="21"/>
                <w:szCs w:val="21"/>
              </w:rPr>
              <w:t>表</w:t>
            </w:r>
            <w:r>
              <w:rPr>
                <w:rFonts w:hint="eastAsia"/>
                <w:b/>
                <w:bCs w:val="0"/>
                <w:color w:val="auto"/>
                <w:sz w:val="21"/>
                <w:szCs w:val="21"/>
              </w:rPr>
              <w:t>4-</w:t>
            </w:r>
            <w:r>
              <w:rPr>
                <w:rFonts w:hint="eastAsia"/>
                <w:b/>
                <w:bCs w:val="0"/>
                <w:color w:val="auto"/>
                <w:sz w:val="21"/>
                <w:szCs w:val="21"/>
                <w:lang w:val="en-US" w:eastAsia="zh-CN"/>
              </w:rPr>
              <w:t>20  建设项目环境风险简单分析内容表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646"/>
              <w:gridCol w:w="2382"/>
              <w:gridCol w:w="705"/>
              <w:gridCol w:w="2204"/>
            </w:tblGrid>
            <w:tr w14:paraId="5656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8" w:type="pct"/>
                  <w:vAlign w:val="center"/>
                </w:tcPr>
                <w:p w14:paraId="06CECE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建设项目名称</w:t>
                  </w:r>
                </w:p>
              </w:tc>
              <w:tc>
                <w:tcPr>
                  <w:tcW w:w="3631" w:type="pct"/>
                  <w:gridSpan w:val="4"/>
                  <w:vAlign w:val="center"/>
                </w:tcPr>
                <w:p w14:paraId="1265AB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u w:val="none"/>
                      <w:vertAlign w:val="baseline"/>
                    </w:rPr>
                  </w:pPr>
                  <w:r>
                    <w:rPr>
                      <w:rFonts w:hint="eastAsia" w:cs="Times New Roman"/>
                      <w:color w:val="auto"/>
                      <w:sz w:val="21"/>
                      <w:szCs w:val="21"/>
                      <w:u w:val="none"/>
                      <w:lang w:eastAsia="zh-CN"/>
                    </w:rPr>
                    <w:t>年产5万吨玉米压片、3万吨饲料、1万吨玉米杂粮建设项目</w:t>
                  </w:r>
                </w:p>
              </w:tc>
            </w:tr>
            <w:tr w14:paraId="6F44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8" w:type="pct"/>
                  <w:vAlign w:val="center"/>
                </w:tcPr>
                <w:p w14:paraId="62383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建设地点</w:t>
                  </w:r>
                </w:p>
              </w:tc>
              <w:tc>
                <w:tcPr>
                  <w:tcW w:w="3631" w:type="pct"/>
                  <w:gridSpan w:val="4"/>
                  <w:vAlign w:val="center"/>
                </w:tcPr>
                <w:p w14:paraId="2D96CD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u w:val="none"/>
                      <w:vertAlign w:val="baseline"/>
                      <w:lang w:val="en-US" w:eastAsia="zh-CN"/>
                    </w:rPr>
                  </w:pPr>
                  <w:r>
                    <w:rPr>
                      <w:rFonts w:hint="eastAsia" w:cs="Times New Roman"/>
                      <w:color w:val="auto"/>
                      <w:sz w:val="21"/>
                      <w:szCs w:val="21"/>
                      <w:highlight w:val="none"/>
                      <w:u w:val="none"/>
                      <w:lang w:val="en-US" w:eastAsia="zh-CN"/>
                    </w:rPr>
                    <w:t>新疆生产建设兵团第七师131团1连漠河大道以东，217国道以西</w:t>
                  </w:r>
                </w:p>
              </w:tc>
            </w:tr>
            <w:tr w14:paraId="0389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368" w:type="pct"/>
                  <w:vAlign w:val="center"/>
                </w:tcPr>
                <w:p w14:paraId="527EF9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vertAlign w:val="baseline"/>
                      <w:lang w:val="en-US" w:eastAsia="zh-CN"/>
                    </w:rPr>
                  </w:pPr>
                  <w:r>
                    <w:rPr>
                      <w:rFonts w:hint="eastAsia"/>
                      <w:color w:val="auto"/>
                      <w:sz w:val="21"/>
                      <w:szCs w:val="21"/>
                      <w:vertAlign w:val="baseline"/>
                      <w:lang w:val="en-US" w:eastAsia="zh-CN"/>
                    </w:rPr>
                    <w:t>地理坐标</w:t>
                  </w:r>
                </w:p>
              </w:tc>
              <w:tc>
                <w:tcPr>
                  <w:tcW w:w="395" w:type="pct"/>
                  <w:vAlign w:val="center"/>
                </w:tcPr>
                <w:p w14:paraId="73AE97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经度</w:t>
                  </w:r>
                </w:p>
              </w:tc>
              <w:tc>
                <w:tcPr>
                  <w:tcW w:w="1457" w:type="pct"/>
                  <w:vAlign w:val="center"/>
                </w:tcPr>
                <w:p w14:paraId="12C60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u w:val="none"/>
                      <w:vertAlign w:val="baseline"/>
                    </w:rPr>
                  </w:pPr>
                  <w:r>
                    <w:rPr>
                      <w:rFonts w:hint="eastAsia" w:cs="Times New Roman"/>
                      <w:color w:val="auto"/>
                      <w:sz w:val="21"/>
                      <w:szCs w:val="21"/>
                      <w:highlight w:val="none"/>
                      <w:u w:val="none"/>
                      <w:lang w:val="en-US" w:eastAsia="zh-CN"/>
                    </w:rPr>
                    <w:t>84</w:t>
                  </w:r>
                  <w:r>
                    <w:rPr>
                      <w:rFonts w:hint="default" w:ascii="Times New Roman" w:hAnsi="Times New Roman" w:eastAsia="宋体" w:cs="Times New Roman"/>
                      <w:color w:val="auto"/>
                      <w:sz w:val="21"/>
                      <w:szCs w:val="21"/>
                      <w:highlight w:val="none"/>
                      <w:u w:val="none"/>
                    </w:rPr>
                    <w:t>度</w:t>
                  </w:r>
                  <w:r>
                    <w:rPr>
                      <w:rFonts w:hint="eastAsia" w:ascii="Times New Roman" w:hAnsi="Times New Roman" w:eastAsia="宋体" w:cs="Times New Roman"/>
                      <w:color w:val="auto"/>
                      <w:sz w:val="21"/>
                      <w:szCs w:val="21"/>
                      <w:highlight w:val="none"/>
                      <w:u w:val="none"/>
                      <w:lang w:val="en-US" w:eastAsia="zh-CN"/>
                    </w:rPr>
                    <w:t>52</w:t>
                  </w:r>
                  <w:r>
                    <w:rPr>
                      <w:rFonts w:hint="default" w:ascii="Times New Roman" w:hAnsi="Times New Roman" w:eastAsia="宋体" w:cs="Times New Roman"/>
                      <w:color w:val="auto"/>
                      <w:sz w:val="21"/>
                      <w:szCs w:val="21"/>
                      <w:highlight w:val="none"/>
                      <w:u w:val="none"/>
                    </w:rPr>
                    <w:t>分</w:t>
                  </w:r>
                  <w:r>
                    <w:rPr>
                      <w:rFonts w:hint="eastAsia" w:cs="Times New Roman"/>
                      <w:color w:val="auto"/>
                      <w:sz w:val="21"/>
                      <w:szCs w:val="21"/>
                      <w:highlight w:val="none"/>
                      <w:u w:val="none"/>
                      <w:lang w:val="en-US" w:eastAsia="zh-CN"/>
                    </w:rPr>
                    <w:t>08.977</w:t>
                  </w:r>
                  <w:r>
                    <w:rPr>
                      <w:rFonts w:hint="default" w:ascii="Times New Roman" w:hAnsi="Times New Roman" w:eastAsia="宋体" w:cs="Times New Roman"/>
                      <w:color w:val="auto"/>
                      <w:sz w:val="21"/>
                      <w:szCs w:val="21"/>
                      <w:highlight w:val="none"/>
                      <w:u w:val="none"/>
                    </w:rPr>
                    <w:t>秒</w:t>
                  </w:r>
                </w:p>
              </w:tc>
              <w:tc>
                <w:tcPr>
                  <w:tcW w:w="431" w:type="pct"/>
                  <w:vAlign w:val="center"/>
                </w:tcPr>
                <w:p w14:paraId="62BD8E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纬度</w:t>
                  </w:r>
                </w:p>
              </w:tc>
              <w:tc>
                <w:tcPr>
                  <w:tcW w:w="1346" w:type="pct"/>
                  <w:vAlign w:val="center"/>
                </w:tcPr>
                <w:p w14:paraId="257781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 w:val="21"/>
                      <w:szCs w:val="21"/>
                      <w:u w:val="none"/>
                      <w:vertAlign w:val="baseline"/>
                    </w:rPr>
                  </w:pPr>
                  <w:r>
                    <w:rPr>
                      <w:rFonts w:hint="default" w:ascii="Times New Roman" w:hAnsi="Times New Roman" w:eastAsia="宋体" w:cs="Times New Roman"/>
                      <w:color w:val="auto"/>
                      <w:sz w:val="21"/>
                      <w:szCs w:val="21"/>
                      <w:highlight w:val="none"/>
                      <w:u w:val="none"/>
                    </w:rPr>
                    <w:t>4</w:t>
                  </w:r>
                  <w:r>
                    <w:rPr>
                      <w:rFonts w:hint="eastAsia" w:cs="Times New Roman"/>
                      <w:color w:val="auto"/>
                      <w:sz w:val="21"/>
                      <w:szCs w:val="21"/>
                      <w:highlight w:val="none"/>
                      <w:u w:val="none"/>
                      <w:lang w:val="en-US" w:eastAsia="zh-CN"/>
                    </w:rPr>
                    <w:t>4</w:t>
                  </w:r>
                  <w:r>
                    <w:rPr>
                      <w:rFonts w:hint="default" w:ascii="Times New Roman" w:hAnsi="Times New Roman" w:eastAsia="宋体" w:cs="Times New Roman"/>
                      <w:color w:val="auto"/>
                      <w:sz w:val="21"/>
                      <w:szCs w:val="21"/>
                      <w:highlight w:val="none"/>
                      <w:u w:val="none"/>
                    </w:rPr>
                    <w:t>度</w:t>
                  </w:r>
                  <w:r>
                    <w:rPr>
                      <w:rFonts w:hint="eastAsia" w:cs="Times New Roman"/>
                      <w:color w:val="auto"/>
                      <w:sz w:val="21"/>
                      <w:szCs w:val="21"/>
                      <w:highlight w:val="none"/>
                      <w:u w:val="none"/>
                      <w:lang w:val="en-US" w:eastAsia="zh-CN"/>
                    </w:rPr>
                    <w:t>29</w:t>
                  </w:r>
                  <w:r>
                    <w:rPr>
                      <w:rFonts w:hint="default" w:ascii="Times New Roman" w:hAnsi="Times New Roman" w:eastAsia="宋体" w:cs="Times New Roman"/>
                      <w:color w:val="auto"/>
                      <w:sz w:val="21"/>
                      <w:szCs w:val="21"/>
                      <w:highlight w:val="none"/>
                      <w:u w:val="none"/>
                    </w:rPr>
                    <w:t>分</w:t>
                  </w:r>
                  <w:r>
                    <w:rPr>
                      <w:rFonts w:hint="eastAsia" w:cs="Times New Roman"/>
                      <w:color w:val="auto"/>
                      <w:sz w:val="21"/>
                      <w:szCs w:val="21"/>
                      <w:highlight w:val="none"/>
                      <w:u w:val="none"/>
                      <w:lang w:val="en-US" w:eastAsia="zh-CN"/>
                    </w:rPr>
                    <w:t>08.333</w:t>
                  </w:r>
                  <w:r>
                    <w:rPr>
                      <w:rFonts w:hint="default" w:ascii="Times New Roman" w:hAnsi="Times New Roman" w:eastAsia="宋体" w:cs="Times New Roman"/>
                      <w:color w:val="auto"/>
                      <w:sz w:val="21"/>
                      <w:szCs w:val="21"/>
                      <w:highlight w:val="none"/>
                      <w:u w:val="none"/>
                    </w:rPr>
                    <w:t>秒</w:t>
                  </w:r>
                </w:p>
              </w:tc>
            </w:tr>
            <w:tr w14:paraId="4E60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8" w:type="pct"/>
                  <w:vAlign w:val="center"/>
                </w:tcPr>
                <w:p w14:paraId="6DFDC6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主要危险物质及分布</w:t>
                  </w:r>
                </w:p>
              </w:tc>
              <w:tc>
                <w:tcPr>
                  <w:tcW w:w="3631" w:type="pct"/>
                  <w:gridSpan w:val="4"/>
                  <w:vAlign w:val="center"/>
                </w:tcPr>
                <w:p w14:paraId="73C733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lang w:val="en-US"/>
                    </w:rPr>
                  </w:pPr>
                  <w:r>
                    <w:rPr>
                      <w:rFonts w:hint="eastAsia"/>
                      <w:color w:val="auto"/>
                      <w:sz w:val="21"/>
                      <w:szCs w:val="21"/>
                      <w:vertAlign w:val="baseline"/>
                      <w:lang w:val="en-US" w:eastAsia="zh-CN"/>
                    </w:rPr>
                    <w:t>生物质颗粒燃料；</w:t>
                  </w:r>
                  <w:r>
                    <w:rPr>
                      <w:rFonts w:hint="eastAsia" w:ascii="Times New Roman" w:hAnsi="Times New Roman" w:eastAsia="宋体" w:cs="Times New Roman"/>
                      <w:color w:val="auto"/>
                      <w:sz w:val="21"/>
                      <w:szCs w:val="21"/>
                      <w:vertAlign w:val="baseline"/>
                      <w:lang w:val="en-US" w:eastAsia="zh-CN"/>
                    </w:rPr>
                    <w:t>危险废物泄漏污染，位于危废库中。</w:t>
                  </w:r>
                </w:p>
              </w:tc>
            </w:tr>
            <w:tr w14:paraId="2F6F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8" w:type="pct"/>
                  <w:vAlign w:val="center"/>
                </w:tcPr>
                <w:p w14:paraId="622C63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环境影响途径及危害后果（大气、地表水和地下水等）</w:t>
                  </w:r>
                </w:p>
              </w:tc>
              <w:tc>
                <w:tcPr>
                  <w:tcW w:w="3631" w:type="pct"/>
                  <w:gridSpan w:val="4"/>
                  <w:vAlign w:val="center"/>
                </w:tcPr>
                <w:p w14:paraId="244583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主要影响途径：</w:t>
                  </w:r>
                  <w:r>
                    <w:rPr>
                      <w:rFonts w:hint="eastAsia" w:ascii="Times New Roman" w:hAnsi="Times New Roman" w:eastAsia="宋体" w:cs="Times New Roman"/>
                      <w:color w:val="auto"/>
                      <w:sz w:val="21"/>
                      <w:szCs w:val="21"/>
                      <w:vertAlign w:val="baseline"/>
                      <w:lang w:val="en-US" w:eastAsia="zh-CN"/>
                    </w:rPr>
                    <w:t>危险废物泄漏污染、</w:t>
                  </w:r>
                  <w:r>
                    <w:rPr>
                      <w:rFonts w:hint="eastAsia"/>
                      <w:color w:val="auto"/>
                      <w:sz w:val="21"/>
                      <w:szCs w:val="21"/>
                      <w:vertAlign w:val="baseline"/>
                      <w:lang w:val="en-US" w:eastAsia="zh-CN"/>
                    </w:rPr>
                    <w:t>生物质颗粒燃料发生火灾；</w:t>
                  </w:r>
                </w:p>
                <w:p w14:paraId="1FE06323">
                  <w:pPr>
                    <w:pStyle w:val="2"/>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0" w:firstLineChars="0"/>
                    <w:jc w:val="left"/>
                    <w:textAlignment w:val="auto"/>
                    <w:rPr>
                      <w:rFonts w:hint="default"/>
                      <w:color w:val="auto"/>
                      <w:lang w:val="en-US" w:eastAsia="zh-CN"/>
                    </w:rPr>
                  </w:pPr>
                  <w:r>
                    <w:rPr>
                      <w:rFonts w:hint="eastAsia"/>
                      <w:color w:val="auto"/>
                      <w:sz w:val="21"/>
                      <w:szCs w:val="21"/>
                      <w:vertAlign w:val="baseline"/>
                      <w:lang w:val="en-US" w:eastAsia="zh-CN"/>
                    </w:rPr>
                    <w:t>危害后果：</w:t>
                  </w:r>
                  <w:r>
                    <w:rPr>
                      <w:rFonts w:hint="eastAsia" w:ascii="Times New Roman" w:hAnsi="Times New Roman" w:eastAsia="宋体" w:cs="Times New Roman"/>
                      <w:color w:val="auto"/>
                      <w:sz w:val="21"/>
                      <w:szCs w:val="21"/>
                      <w:vertAlign w:val="baseline"/>
                      <w:lang w:val="en-US" w:eastAsia="zh-CN"/>
                    </w:rPr>
                    <w:t>危险废物泄漏污染土壤及地下水、</w:t>
                  </w:r>
                  <w:r>
                    <w:rPr>
                      <w:rFonts w:hint="eastAsia"/>
                      <w:color w:val="auto"/>
                      <w:sz w:val="21"/>
                      <w:szCs w:val="21"/>
                      <w:vertAlign w:val="baseline"/>
                      <w:lang w:val="en-US" w:eastAsia="zh-CN"/>
                    </w:rPr>
                    <w:t>颗粒物大量排放，造成环境污染，及时采取应急措施，不会对环境产生显著不利影响。</w:t>
                  </w:r>
                </w:p>
              </w:tc>
            </w:tr>
            <w:tr w14:paraId="2A9E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8" w:type="pct"/>
                  <w:vAlign w:val="center"/>
                </w:tcPr>
                <w:p w14:paraId="5154F0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风险防范措施要求</w:t>
                  </w:r>
                </w:p>
              </w:tc>
              <w:tc>
                <w:tcPr>
                  <w:tcW w:w="3631" w:type="pct"/>
                  <w:gridSpan w:val="4"/>
                  <w:vAlign w:val="center"/>
                </w:tcPr>
                <w:p w14:paraId="39902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eastAsia="宋体"/>
                      <w:color w:val="auto"/>
                      <w:sz w:val="21"/>
                      <w:szCs w:val="21"/>
                      <w:vertAlign w:val="baseline"/>
                      <w:lang w:eastAsia="zh-CN"/>
                    </w:rPr>
                  </w:pPr>
                  <w:r>
                    <w:rPr>
                      <w:rFonts w:hint="eastAsia"/>
                      <w:color w:val="auto"/>
                      <w:sz w:val="21"/>
                      <w:szCs w:val="21"/>
                      <w:vertAlign w:val="baseline"/>
                    </w:rPr>
                    <w:t>①制定突发事件环境应急预案并定期演练</w:t>
                  </w:r>
                  <w:r>
                    <w:rPr>
                      <w:rFonts w:hint="eastAsia"/>
                      <w:color w:val="auto"/>
                      <w:sz w:val="21"/>
                      <w:szCs w:val="21"/>
                      <w:vertAlign w:val="baseline"/>
                      <w:lang w:eastAsia="zh-CN"/>
                    </w:rPr>
                    <w:t>；</w:t>
                  </w:r>
                </w:p>
                <w:p w14:paraId="1B03E3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color w:val="auto"/>
                      <w:sz w:val="21"/>
                      <w:szCs w:val="21"/>
                      <w:vertAlign w:val="baseline"/>
                    </w:rPr>
                  </w:pPr>
                  <w:r>
                    <w:rPr>
                      <w:rFonts w:hint="eastAsia"/>
                      <w:color w:val="auto"/>
                      <w:sz w:val="21"/>
                      <w:szCs w:val="21"/>
                      <w:vertAlign w:val="baseline"/>
                    </w:rPr>
                    <w:t>②建设单位从总图布置、工艺控制系统安全设置、电器安全措施、防雷防静电、制定应急预案等方面完善了环境风险防范措施；</w:t>
                  </w:r>
                </w:p>
                <w:p w14:paraId="347193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color w:val="auto"/>
                      <w:sz w:val="21"/>
                      <w:szCs w:val="21"/>
                      <w:vertAlign w:val="baseline"/>
                    </w:rPr>
                  </w:pPr>
                  <w:r>
                    <w:rPr>
                      <w:rFonts w:hint="eastAsia"/>
                      <w:color w:val="auto"/>
                      <w:sz w:val="21"/>
                      <w:szCs w:val="21"/>
                      <w:vertAlign w:val="baseline"/>
                    </w:rPr>
                    <w:t>③采取基础防渗，定期监督进行风险防范。</w:t>
                  </w:r>
                </w:p>
              </w:tc>
            </w:tr>
            <w:tr w14:paraId="22E4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8" w:type="pct"/>
                  <w:vAlign w:val="center"/>
                </w:tcPr>
                <w:p w14:paraId="51C7C6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填表说明（列出项目相关信息及评价说明）</w:t>
                  </w:r>
                </w:p>
              </w:tc>
              <w:tc>
                <w:tcPr>
                  <w:tcW w:w="3631" w:type="pct"/>
                  <w:gridSpan w:val="4"/>
                  <w:vAlign w:val="center"/>
                </w:tcPr>
                <w:p w14:paraId="4DB053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color w:val="auto"/>
                      <w:sz w:val="21"/>
                      <w:szCs w:val="21"/>
                      <w:vertAlign w:val="baseline"/>
                    </w:rPr>
                  </w:pPr>
                  <w:r>
                    <w:rPr>
                      <w:rFonts w:hint="eastAsia"/>
                      <w:color w:val="auto"/>
                      <w:sz w:val="21"/>
                      <w:szCs w:val="21"/>
                      <w:vertAlign w:val="baseline"/>
                    </w:rPr>
                    <w:t>本项目生产过程中并未使用有毒物质。根据物质危险性识别确定各环境要素环境风险潜势等级均为I</w:t>
                  </w:r>
                  <w:r>
                    <w:rPr>
                      <w:rFonts w:hint="eastAsia"/>
                      <w:color w:val="auto"/>
                      <w:sz w:val="21"/>
                      <w:szCs w:val="21"/>
                      <w:vertAlign w:val="baseline"/>
                      <w:lang w:eastAsia="zh-CN"/>
                    </w:rPr>
                    <w:t>，</w:t>
                  </w:r>
                  <w:r>
                    <w:rPr>
                      <w:rFonts w:hint="eastAsia"/>
                      <w:color w:val="auto"/>
                      <w:sz w:val="21"/>
                      <w:szCs w:val="21"/>
                      <w:vertAlign w:val="baseline"/>
                    </w:rPr>
                    <w:t>根据《建设项目环境风险评价技术导则》</w:t>
                  </w:r>
                  <w:r>
                    <w:rPr>
                      <w:rFonts w:hint="eastAsia"/>
                      <w:color w:val="auto"/>
                      <w:sz w:val="21"/>
                      <w:szCs w:val="21"/>
                      <w:vertAlign w:val="baseline"/>
                      <w:lang w:eastAsia="zh-CN"/>
                    </w:rPr>
                    <w:t>（</w:t>
                  </w:r>
                  <w:r>
                    <w:rPr>
                      <w:rFonts w:hint="eastAsia"/>
                      <w:color w:val="auto"/>
                      <w:sz w:val="21"/>
                      <w:szCs w:val="21"/>
                      <w:vertAlign w:val="baseline"/>
                    </w:rPr>
                    <w:t>HJ/T</w:t>
                  </w:r>
                  <w:r>
                    <w:rPr>
                      <w:rFonts w:hint="eastAsia"/>
                      <w:color w:val="auto"/>
                      <w:sz w:val="21"/>
                      <w:szCs w:val="21"/>
                      <w:vertAlign w:val="baseline"/>
                      <w:lang w:val="en-US" w:eastAsia="zh-CN"/>
                    </w:rPr>
                    <w:t xml:space="preserve"> </w:t>
                  </w:r>
                  <w:r>
                    <w:rPr>
                      <w:rFonts w:hint="eastAsia"/>
                      <w:color w:val="auto"/>
                      <w:sz w:val="21"/>
                      <w:szCs w:val="21"/>
                      <w:vertAlign w:val="baseline"/>
                    </w:rPr>
                    <w:t>169-2018</w:t>
                  </w:r>
                  <w:r>
                    <w:rPr>
                      <w:rFonts w:hint="eastAsia"/>
                      <w:color w:val="auto"/>
                      <w:sz w:val="21"/>
                      <w:szCs w:val="21"/>
                      <w:vertAlign w:val="baseline"/>
                      <w:lang w:eastAsia="zh-CN"/>
                    </w:rPr>
                    <w:t>），</w:t>
                  </w:r>
                  <w:r>
                    <w:rPr>
                      <w:rFonts w:hint="eastAsia"/>
                      <w:color w:val="auto"/>
                      <w:sz w:val="21"/>
                      <w:szCs w:val="21"/>
                      <w:vertAlign w:val="baseline"/>
                    </w:rPr>
                    <w:t>环境风险评价工作等级为简单分析，评价深度以定性说明为主，环境风险评价对其进行了简要定性分析。最终确定环境风险可控，</w:t>
                  </w:r>
                  <w:r>
                    <w:rPr>
                      <w:rFonts w:hint="eastAsia"/>
                      <w:color w:val="auto"/>
                      <w:sz w:val="21"/>
                      <w:szCs w:val="21"/>
                      <w:vertAlign w:val="baseline"/>
                      <w:lang w:val="en-US" w:eastAsia="zh-CN"/>
                    </w:rPr>
                    <w:t>为</w:t>
                  </w:r>
                  <w:r>
                    <w:rPr>
                      <w:rFonts w:hint="eastAsia"/>
                      <w:color w:val="auto"/>
                      <w:sz w:val="21"/>
                      <w:szCs w:val="21"/>
                      <w:vertAlign w:val="baseline"/>
                    </w:rPr>
                    <w:t>可接受水平。</w:t>
                  </w:r>
                </w:p>
              </w:tc>
            </w:tr>
          </w:tbl>
          <w:p w14:paraId="5F1AD6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b/>
                <w:color w:val="auto"/>
                <w:kern w:val="28"/>
                <w:sz w:val="24"/>
              </w:rPr>
            </w:pPr>
            <w:r>
              <w:rPr>
                <w:rFonts w:hint="eastAsia" w:ascii="Times New Roman" w:hAnsi="Times New Roman" w:eastAsia="宋体"/>
                <w:b/>
                <w:color w:val="auto"/>
                <w:kern w:val="28"/>
                <w:sz w:val="24"/>
                <w:lang w:val="en-US" w:eastAsia="zh-CN" w:bidi="ar"/>
              </w:rPr>
              <w:t>7</w:t>
            </w:r>
            <w:r>
              <w:rPr>
                <w:rFonts w:hint="default" w:ascii="Times New Roman" w:hAnsi="Times New Roman" w:eastAsia="宋体"/>
                <w:b/>
                <w:color w:val="auto"/>
                <w:kern w:val="28"/>
                <w:sz w:val="24"/>
                <w:lang w:bidi="ar"/>
              </w:rPr>
              <w:t>、环境管理</w:t>
            </w:r>
          </w:p>
          <w:p w14:paraId="52DAE5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color w:val="auto"/>
                <w:sz w:val="24"/>
              </w:rPr>
            </w:pPr>
            <w:r>
              <w:rPr>
                <w:rFonts w:hint="eastAsia" w:ascii="Times New Roman" w:hAnsi="Times New Roman" w:eastAsia="宋体"/>
                <w:b/>
                <w:color w:val="auto"/>
                <w:sz w:val="24"/>
                <w:lang w:val="en-US" w:eastAsia="zh-CN" w:bidi="ar"/>
              </w:rPr>
              <w:t>7</w:t>
            </w:r>
            <w:r>
              <w:rPr>
                <w:rFonts w:hint="default" w:ascii="Times New Roman" w:hAnsi="Times New Roman" w:eastAsia="宋体"/>
                <w:b/>
                <w:color w:val="auto"/>
                <w:sz w:val="24"/>
                <w:lang w:bidi="ar"/>
              </w:rPr>
              <w:t>.1 环境体制与机构</w:t>
            </w:r>
          </w:p>
          <w:p w14:paraId="587788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lang w:bidi="ar"/>
              </w:rPr>
            </w:pPr>
            <w:r>
              <w:rPr>
                <w:rFonts w:hint="default" w:ascii="Times New Roman" w:hAnsi="Times New Roman" w:eastAsia="宋体"/>
                <w:color w:val="auto"/>
                <w:sz w:val="24"/>
                <w:lang w:bidi="ar"/>
              </w:rPr>
              <w:t>本项目建成后，由建设单位主管环保工作，</w:t>
            </w:r>
            <w:r>
              <w:rPr>
                <w:rFonts w:hint="eastAsia"/>
                <w:color w:val="auto"/>
                <w:sz w:val="24"/>
                <w:lang w:val="en-US" w:eastAsia="zh-CN" w:bidi="ar"/>
              </w:rPr>
              <w:t>建设单位负责人</w:t>
            </w:r>
            <w:r>
              <w:rPr>
                <w:rFonts w:hint="default" w:ascii="Times New Roman" w:hAnsi="Times New Roman" w:eastAsia="宋体"/>
                <w:color w:val="auto"/>
                <w:sz w:val="24"/>
                <w:lang w:bidi="ar"/>
              </w:rPr>
              <w:t>直接负责项目的环保工作。应成立专</w:t>
            </w:r>
            <w:r>
              <w:rPr>
                <w:rFonts w:hint="eastAsia"/>
                <w:color w:val="auto"/>
                <w:sz w:val="24"/>
                <w:lang w:eastAsia="zh-CN" w:bidi="ar"/>
              </w:rPr>
              <w:t>门的</w:t>
            </w:r>
            <w:r>
              <w:rPr>
                <w:rFonts w:hint="default" w:ascii="Times New Roman" w:hAnsi="Times New Roman" w:eastAsia="宋体"/>
                <w:color w:val="auto"/>
                <w:sz w:val="24"/>
                <w:lang w:bidi="ar"/>
              </w:rPr>
              <w:t>环境管理办公室负责环境档案的建立和环境制度的落实。环境监测由当地环境监测站或具备环境监测资质的单位进行监测，监控污染物排放及环保设施的运转状况。</w:t>
            </w:r>
          </w:p>
          <w:p w14:paraId="05FDC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color w:val="auto"/>
                <w:sz w:val="24"/>
              </w:rPr>
            </w:pPr>
            <w:r>
              <w:rPr>
                <w:rFonts w:hint="eastAsia" w:ascii="Times New Roman" w:hAnsi="Times New Roman" w:eastAsia="宋体"/>
                <w:b/>
                <w:color w:val="auto"/>
                <w:sz w:val="24"/>
                <w:lang w:val="en-US" w:eastAsia="zh-CN" w:bidi="ar"/>
              </w:rPr>
              <w:t>7</w:t>
            </w:r>
            <w:r>
              <w:rPr>
                <w:rFonts w:hint="default" w:ascii="Times New Roman" w:hAnsi="Times New Roman" w:eastAsia="宋体"/>
                <w:b/>
                <w:color w:val="auto"/>
                <w:sz w:val="24"/>
                <w:lang w:bidi="ar"/>
              </w:rPr>
              <w:t>.2 管理职责</w:t>
            </w:r>
          </w:p>
          <w:p w14:paraId="79ABD6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bidi="ar"/>
              </w:rPr>
              <w:t>（1</w:t>
            </w:r>
            <w:r>
              <w:rPr>
                <w:rFonts w:hint="eastAsia"/>
                <w:color w:val="auto"/>
                <w:sz w:val="24"/>
                <w:lang w:eastAsia="zh-CN" w:bidi="ar"/>
              </w:rPr>
              <w:t>）</w:t>
            </w:r>
            <w:r>
              <w:rPr>
                <w:rFonts w:hint="default" w:ascii="Times New Roman" w:hAnsi="Times New Roman" w:eastAsia="宋体"/>
                <w:color w:val="auto"/>
                <w:sz w:val="24"/>
                <w:lang w:bidi="ar"/>
              </w:rPr>
              <w:t>贯彻执行国家、省级、地方各项环保政策、法规、标准，根据</w:t>
            </w:r>
            <w:r>
              <w:rPr>
                <w:rFonts w:hint="eastAsia" w:ascii="Times New Roman" w:hAnsi="Times New Roman" w:eastAsia="宋体"/>
                <w:color w:val="auto"/>
                <w:sz w:val="24"/>
                <w:lang w:bidi="ar"/>
              </w:rPr>
              <w:t>本项目</w:t>
            </w:r>
            <w:r>
              <w:rPr>
                <w:rFonts w:hint="default" w:ascii="Times New Roman" w:hAnsi="Times New Roman" w:eastAsia="宋体"/>
                <w:color w:val="auto"/>
                <w:sz w:val="24"/>
                <w:lang w:bidi="ar"/>
              </w:rPr>
              <w:t>实际，编制环境保护规划和实施细则，并组织实施，监督执行。</w:t>
            </w:r>
          </w:p>
          <w:p w14:paraId="5F5A6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bidi="ar"/>
              </w:rPr>
              <w:t>（2</w:t>
            </w:r>
            <w:r>
              <w:rPr>
                <w:rFonts w:hint="eastAsia"/>
                <w:color w:val="auto"/>
                <w:sz w:val="24"/>
                <w:lang w:eastAsia="zh-CN" w:bidi="ar"/>
              </w:rPr>
              <w:t>）</w:t>
            </w:r>
            <w:r>
              <w:rPr>
                <w:rFonts w:hint="default" w:ascii="Times New Roman" w:hAnsi="Times New Roman" w:eastAsia="宋体"/>
                <w:color w:val="auto"/>
                <w:sz w:val="24"/>
                <w:lang w:bidi="ar"/>
              </w:rPr>
              <w:t>组织和管理污染治理工作，负责环保治理设施的运行及管理工作，建立污染物浓度和排放总量双项控制制度，并彻底做到各项污染物达标排放</w:t>
            </w:r>
            <w:r>
              <w:rPr>
                <w:rFonts w:hint="eastAsia" w:ascii="Times New Roman" w:hAnsi="Times New Roman" w:eastAsia="宋体"/>
                <w:color w:val="auto"/>
                <w:sz w:val="24"/>
                <w:lang w:bidi="ar"/>
              </w:rPr>
              <w:t>。</w:t>
            </w:r>
          </w:p>
          <w:p w14:paraId="1968F8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bidi="ar"/>
              </w:rPr>
              <w:t>（3</w:t>
            </w:r>
            <w:r>
              <w:rPr>
                <w:rFonts w:hint="eastAsia"/>
                <w:color w:val="auto"/>
                <w:sz w:val="24"/>
                <w:lang w:eastAsia="zh-CN" w:bidi="ar"/>
              </w:rPr>
              <w:t>）</w:t>
            </w:r>
            <w:r>
              <w:rPr>
                <w:rFonts w:hint="default" w:ascii="Times New Roman" w:hAnsi="Times New Roman" w:eastAsia="宋体"/>
                <w:color w:val="auto"/>
                <w:sz w:val="24"/>
                <w:lang w:bidi="ar"/>
              </w:rPr>
              <w:t>定期进行环境管理人员的环保知识和技术培训工作。</w:t>
            </w:r>
          </w:p>
          <w:p w14:paraId="24F623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bidi="ar"/>
              </w:rPr>
              <w:t>（4</w:t>
            </w:r>
            <w:r>
              <w:rPr>
                <w:rFonts w:hint="eastAsia"/>
                <w:color w:val="auto"/>
                <w:sz w:val="24"/>
                <w:lang w:eastAsia="zh-CN" w:bidi="ar"/>
              </w:rPr>
              <w:t>）</w:t>
            </w:r>
            <w:r>
              <w:rPr>
                <w:rFonts w:hint="default" w:ascii="Times New Roman" w:hAnsi="Times New Roman" w:eastAsia="宋体"/>
                <w:color w:val="auto"/>
                <w:sz w:val="24"/>
                <w:lang w:bidi="ar"/>
              </w:rPr>
              <w:t>通过技术培训，不断提高治理设施的处理水平和可操作性。</w:t>
            </w:r>
          </w:p>
          <w:p w14:paraId="1AF14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bidi="ar"/>
              </w:rPr>
              <w:t>（5</w:t>
            </w:r>
            <w:r>
              <w:rPr>
                <w:rFonts w:hint="eastAsia"/>
                <w:color w:val="auto"/>
                <w:sz w:val="24"/>
                <w:lang w:eastAsia="zh-CN" w:bidi="ar"/>
              </w:rPr>
              <w:t>）</w:t>
            </w:r>
            <w:r>
              <w:rPr>
                <w:rFonts w:hint="default" w:ascii="Times New Roman" w:hAnsi="Times New Roman" w:eastAsia="宋体"/>
                <w:color w:val="auto"/>
                <w:sz w:val="24"/>
                <w:lang w:bidi="ar"/>
              </w:rPr>
              <w:t>做好常规环境统计工作，掌握各项治理设施的运行状况。</w:t>
            </w:r>
          </w:p>
          <w:p w14:paraId="12C933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bidi="ar"/>
              </w:rPr>
              <w:t>（6</w:t>
            </w:r>
            <w:r>
              <w:rPr>
                <w:rFonts w:hint="eastAsia"/>
                <w:color w:val="auto"/>
                <w:sz w:val="24"/>
                <w:lang w:eastAsia="zh-CN" w:bidi="ar"/>
              </w:rPr>
              <w:t>）</w:t>
            </w:r>
            <w:r>
              <w:rPr>
                <w:rFonts w:hint="default" w:ascii="Times New Roman" w:hAnsi="Times New Roman" w:eastAsia="宋体"/>
                <w:color w:val="auto"/>
                <w:sz w:val="24"/>
                <w:lang w:bidi="ar"/>
              </w:rPr>
              <w:t>科学组织生产调度。通过及时全面了解生产情况，均衡组织生产，使生产各环节协调进行，加强环境保护工作调度，做好突发事故时防止污染的应急措施，使生产过程的污染物排放达到最低限度。</w:t>
            </w:r>
          </w:p>
          <w:p w14:paraId="46490D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bidi="ar"/>
              </w:rPr>
              <w:t>（</w:t>
            </w:r>
            <w:r>
              <w:rPr>
                <w:rFonts w:hint="eastAsia" w:ascii="Times New Roman" w:hAnsi="Times New Roman" w:eastAsia="宋体"/>
                <w:color w:val="auto"/>
                <w:sz w:val="24"/>
                <w:lang w:val="en-US" w:eastAsia="zh-CN" w:bidi="ar"/>
              </w:rPr>
              <w:t>7</w:t>
            </w:r>
            <w:r>
              <w:rPr>
                <w:rFonts w:hint="eastAsia"/>
                <w:color w:val="auto"/>
                <w:sz w:val="24"/>
                <w:lang w:eastAsia="zh-CN" w:bidi="ar"/>
              </w:rPr>
              <w:t>）</w:t>
            </w:r>
            <w:r>
              <w:rPr>
                <w:rFonts w:hint="default" w:ascii="Times New Roman" w:hAnsi="Times New Roman" w:eastAsia="宋体"/>
                <w:color w:val="auto"/>
                <w:sz w:val="24"/>
                <w:lang w:bidi="ar"/>
              </w:rPr>
              <w:t>设备管理。合理使用设备，加强对设备的维护和修理，改造设备的结构，杜绝设备和管道的跑、冒、漏现象，防止有害物质的泄漏。</w:t>
            </w:r>
          </w:p>
          <w:p w14:paraId="5FCDB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lang w:bidi="ar"/>
              </w:rPr>
            </w:pPr>
            <w:r>
              <w:rPr>
                <w:rFonts w:hint="default" w:ascii="Times New Roman" w:hAnsi="Times New Roman" w:eastAsia="宋体"/>
                <w:color w:val="auto"/>
                <w:sz w:val="24"/>
                <w:lang w:bidi="ar"/>
              </w:rPr>
              <w:t>（</w:t>
            </w:r>
            <w:r>
              <w:rPr>
                <w:rFonts w:hint="eastAsia" w:ascii="Times New Roman" w:hAnsi="Times New Roman" w:eastAsia="宋体"/>
                <w:color w:val="auto"/>
                <w:sz w:val="24"/>
                <w:lang w:val="en-US" w:eastAsia="zh-CN" w:bidi="ar"/>
              </w:rPr>
              <w:t>8</w:t>
            </w:r>
            <w:r>
              <w:rPr>
                <w:rFonts w:hint="eastAsia"/>
                <w:color w:val="auto"/>
                <w:sz w:val="24"/>
                <w:lang w:eastAsia="zh-CN" w:bidi="ar"/>
              </w:rPr>
              <w:t>）</w:t>
            </w:r>
            <w:r>
              <w:rPr>
                <w:rFonts w:hint="default" w:ascii="Times New Roman" w:hAnsi="Times New Roman" w:eastAsia="宋体"/>
                <w:color w:val="auto"/>
                <w:sz w:val="24"/>
                <w:lang w:bidi="ar"/>
              </w:rPr>
              <w:t>废弃物管理。针对项目营运期产生的生活垃圾及</w:t>
            </w:r>
            <w:r>
              <w:rPr>
                <w:rFonts w:hint="eastAsia" w:ascii="Times New Roman" w:hAnsi="Times New Roman" w:eastAsia="宋体"/>
                <w:color w:val="auto"/>
                <w:sz w:val="24"/>
                <w:lang w:bidi="ar"/>
              </w:rPr>
              <w:t>固废</w:t>
            </w:r>
            <w:r>
              <w:rPr>
                <w:rFonts w:hint="default" w:ascii="Times New Roman" w:hAnsi="Times New Roman" w:eastAsia="宋体"/>
                <w:color w:val="auto"/>
                <w:sz w:val="24"/>
                <w:lang w:bidi="ar"/>
              </w:rPr>
              <w:t>，应集中收集及时处理，严禁长时间在厂区堆存污染环境。</w:t>
            </w:r>
          </w:p>
          <w:p w14:paraId="76F79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olor w:val="auto"/>
                <w:sz w:val="24"/>
              </w:rPr>
            </w:pPr>
            <w:r>
              <w:rPr>
                <w:rFonts w:hint="default" w:ascii="Times New Roman" w:hAnsi="Times New Roman" w:eastAsia="宋体"/>
                <w:color w:val="auto"/>
                <w:sz w:val="24"/>
                <w:lang w:bidi="ar"/>
              </w:rPr>
              <w:t>（</w:t>
            </w:r>
            <w:r>
              <w:rPr>
                <w:rFonts w:hint="eastAsia"/>
                <w:color w:val="auto"/>
                <w:sz w:val="24"/>
                <w:lang w:val="en-US" w:eastAsia="zh-CN" w:bidi="ar"/>
              </w:rPr>
              <w:t>9</w:t>
            </w:r>
            <w:r>
              <w:rPr>
                <w:rFonts w:hint="eastAsia"/>
                <w:color w:val="auto"/>
                <w:sz w:val="24"/>
                <w:lang w:eastAsia="zh-CN" w:bidi="ar"/>
              </w:rPr>
              <w:t>）</w:t>
            </w:r>
            <w:r>
              <w:rPr>
                <w:rFonts w:hint="default" w:ascii="Times New Roman" w:hAnsi="Times New Roman" w:eastAsia="宋体"/>
                <w:color w:val="auto"/>
                <w:sz w:val="24"/>
                <w:lang w:bidi="ar"/>
              </w:rPr>
              <w:t>加强物资管理。加强物资管理实行无害保管、无害运输、限额发放、控制消耗定额、保证原材料质量也会对减少排污量起一定作用。</w:t>
            </w:r>
          </w:p>
          <w:p w14:paraId="7A0805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color w:val="auto"/>
                <w:sz w:val="24"/>
                <w:lang w:bidi="ar"/>
              </w:rPr>
            </w:pPr>
            <w:r>
              <w:rPr>
                <w:rFonts w:hint="eastAsia" w:ascii="Times New Roman" w:hAnsi="Times New Roman" w:eastAsia="宋体"/>
                <w:b/>
                <w:color w:val="auto"/>
                <w:sz w:val="24"/>
                <w:lang w:val="en-US" w:eastAsia="zh-CN" w:bidi="ar"/>
              </w:rPr>
              <w:t>7</w:t>
            </w:r>
            <w:r>
              <w:rPr>
                <w:rFonts w:hint="default" w:ascii="Times New Roman" w:hAnsi="Times New Roman" w:eastAsia="宋体"/>
                <w:b/>
                <w:color w:val="auto"/>
                <w:sz w:val="24"/>
                <w:lang w:bidi="ar"/>
              </w:rPr>
              <w:t>.3</w:t>
            </w:r>
            <w:r>
              <w:rPr>
                <w:rFonts w:hint="eastAsia"/>
                <w:b/>
                <w:color w:val="auto"/>
                <w:sz w:val="24"/>
                <w:lang w:val="en-US" w:eastAsia="zh-CN" w:bidi="ar"/>
              </w:rPr>
              <w:t xml:space="preserve"> </w:t>
            </w:r>
            <w:r>
              <w:rPr>
                <w:rFonts w:hint="default" w:ascii="Times New Roman" w:hAnsi="Times New Roman" w:eastAsia="宋体"/>
                <w:b/>
                <w:color w:val="auto"/>
                <w:sz w:val="24"/>
                <w:lang w:bidi="ar"/>
              </w:rPr>
              <w:t>废气排放管理要求</w:t>
            </w:r>
          </w:p>
          <w:p w14:paraId="0B4297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根据《排污许可证申请与核发技术规范</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锅炉》</w:t>
            </w:r>
            <w:r>
              <w:rPr>
                <w:rFonts w:hint="eastAsia"/>
                <w:b w:val="0"/>
                <w:bCs/>
                <w:color w:val="auto"/>
                <w:sz w:val="24"/>
                <w:lang w:eastAsia="zh-CN" w:bidi="ar"/>
              </w:rPr>
              <w:t>（</w:t>
            </w:r>
            <w:r>
              <w:rPr>
                <w:rFonts w:hint="default" w:ascii="Times New Roman" w:hAnsi="Times New Roman" w:eastAsia="宋体"/>
                <w:b w:val="0"/>
                <w:bCs/>
                <w:color w:val="auto"/>
                <w:sz w:val="24"/>
                <w:lang w:bidi="ar"/>
              </w:rPr>
              <w:t>HJ</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953-2018</w:t>
            </w:r>
            <w:r>
              <w:rPr>
                <w:rFonts w:hint="eastAsia"/>
                <w:b w:val="0"/>
                <w:bCs/>
                <w:color w:val="auto"/>
                <w:sz w:val="24"/>
                <w:lang w:eastAsia="zh-CN" w:bidi="ar"/>
              </w:rPr>
              <w:t>），</w:t>
            </w:r>
            <w:r>
              <w:rPr>
                <w:rFonts w:hint="default" w:ascii="Times New Roman" w:hAnsi="Times New Roman" w:eastAsia="宋体"/>
                <w:b w:val="0"/>
                <w:bCs/>
                <w:color w:val="auto"/>
                <w:sz w:val="24"/>
                <w:lang w:bidi="ar"/>
              </w:rPr>
              <w:t>本项目废气排放管理要求如下：</w:t>
            </w:r>
          </w:p>
          <w:p w14:paraId="2ADA46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eastAsia="zh-CN" w:bidi="ar"/>
              </w:rPr>
              <w:t>（</w:t>
            </w:r>
            <w:r>
              <w:rPr>
                <w:rFonts w:hint="default" w:ascii="Times New Roman" w:hAnsi="Times New Roman" w:eastAsia="宋体"/>
                <w:b w:val="0"/>
                <w:bCs/>
                <w:color w:val="auto"/>
                <w:sz w:val="24"/>
                <w:lang w:bidi="ar"/>
              </w:rPr>
              <w:t>1</w:t>
            </w:r>
            <w:r>
              <w:rPr>
                <w:rFonts w:hint="eastAsia"/>
                <w:b w:val="0"/>
                <w:bCs/>
                <w:color w:val="auto"/>
                <w:sz w:val="24"/>
                <w:lang w:eastAsia="zh-CN" w:bidi="ar"/>
              </w:rPr>
              <w:t>）</w:t>
            </w:r>
            <w:r>
              <w:rPr>
                <w:rFonts w:hint="default" w:ascii="Times New Roman" w:hAnsi="Times New Roman" w:eastAsia="宋体"/>
                <w:b w:val="0"/>
                <w:bCs/>
                <w:color w:val="auto"/>
                <w:sz w:val="24"/>
                <w:lang w:bidi="ar"/>
              </w:rPr>
              <w:t>有组织排放控制要求</w:t>
            </w:r>
          </w:p>
          <w:p w14:paraId="18E6D7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①</w:t>
            </w:r>
            <w:r>
              <w:rPr>
                <w:rFonts w:hint="default" w:ascii="Times New Roman" w:hAnsi="Times New Roman" w:eastAsia="宋体"/>
                <w:b w:val="0"/>
                <w:bCs/>
                <w:color w:val="auto"/>
                <w:sz w:val="24"/>
                <w:lang w:bidi="ar"/>
              </w:rPr>
              <w:t>环保设施应与锅炉同步运行，并保证在锅炉负荷波动情况下仍能正常运行，实现达标排放。由于事故或设备维修等原因造成治理设施停止运行时，应立即报告当地生态环境主管部门。</w:t>
            </w:r>
          </w:p>
          <w:p w14:paraId="0F6EC1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②</w:t>
            </w:r>
            <w:r>
              <w:rPr>
                <w:rFonts w:hint="default" w:ascii="Times New Roman" w:hAnsi="Times New Roman" w:eastAsia="宋体"/>
                <w:b w:val="0"/>
                <w:bCs/>
                <w:color w:val="auto"/>
                <w:sz w:val="24"/>
                <w:lang w:bidi="ar"/>
              </w:rPr>
              <w:t>废气治理设施运行应尽可能在满足设计工况的条件下进行，并根据工艺要求，定期对设备、电气、自控仪表及锅炉间进行检查维护，确保可靠稳定运行。</w:t>
            </w:r>
          </w:p>
          <w:p w14:paraId="1627F0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③</w:t>
            </w:r>
            <w:r>
              <w:rPr>
                <w:rFonts w:hint="default" w:ascii="Times New Roman" w:hAnsi="Times New Roman" w:eastAsia="宋体"/>
                <w:b w:val="0"/>
                <w:bCs/>
                <w:color w:val="auto"/>
                <w:sz w:val="24"/>
                <w:lang w:bidi="ar"/>
              </w:rPr>
              <w:t>加强废气治理设施巡检，消除设施隐患，保证设施正常稳定运行。</w:t>
            </w:r>
          </w:p>
          <w:p w14:paraId="14BE4E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④</w:t>
            </w:r>
            <w:r>
              <w:rPr>
                <w:rFonts w:hint="default" w:ascii="Times New Roman" w:hAnsi="Times New Roman" w:eastAsia="宋体"/>
                <w:b w:val="0"/>
                <w:bCs/>
                <w:color w:val="auto"/>
                <w:sz w:val="24"/>
                <w:lang w:bidi="ar"/>
              </w:rPr>
              <w:t>规范治理设施开停机记录、维修巡检记录、原辅料及燃料使用记录、设备部件更换记录、固废产生量及处置去向记录、治理前后烟气监测记录等，要求记录规范，内容完整。</w:t>
            </w:r>
          </w:p>
          <w:p w14:paraId="5B017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color w:val="auto"/>
                <w:sz w:val="24"/>
                <w:lang w:val="en-US" w:eastAsia="zh-CN" w:bidi="ar"/>
              </w:rPr>
            </w:pPr>
            <w:r>
              <w:rPr>
                <w:rFonts w:hint="eastAsia" w:ascii="Times New Roman" w:hAnsi="Times New Roman" w:eastAsia="宋体" w:cs="Times New Roman"/>
                <w:b w:val="0"/>
                <w:bCs/>
                <w:color w:val="auto"/>
                <w:sz w:val="24"/>
                <w:lang w:val="en-US" w:eastAsia="zh-CN" w:bidi="ar"/>
              </w:rPr>
              <w:t>⑤按规范设计、建设、维护永久性采样口、采样测试平台和排污口标志。</w:t>
            </w:r>
          </w:p>
          <w:p w14:paraId="7E4D18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eastAsia="zh-CN" w:bidi="ar"/>
              </w:rPr>
              <w:t>（</w:t>
            </w:r>
            <w:r>
              <w:rPr>
                <w:rFonts w:hint="default" w:ascii="Times New Roman" w:hAnsi="Times New Roman" w:eastAsia="宋体"/>
                <w:b w:val="0"/>
                <w:bCs/>
                <w:color w:val="auto"/>
                <w:sz w:val="24"/>
                <w:lang w:bidi="ar"/>
              </w:rPr>
              <w:t>2</w:t>
            </w:r>
            <w:r>
              <w:rPr>
                <w:rFonts w:hint="eastAsia"/>
                <w:b w:val="0"/>
                <w:bCs/>
                <w:color w:val="auto"/>
                <w:sz w:val="24"/>
                <w:lang w:eastAsia="zh-CN" w:bidi="ar"/>
              </w:rPr>
              <w:t>）</w:t>
            </w:r>
            <w:r>
              <w:rPr>
                <w:rFonts w:hint="default" w:ascii="Times New Roman" w:hAnsi="Times New Roman" w:eastAsia="宋体"/>
                <w:b w:val="0"/>
                <w:bCs/>
                <w:color w:val="auto"/>
                <w:sz w:val="24"/>
                <w:lang w:bidi="ar"/>
              </w:rPr>
              <w:t>无组织排放控制要求</w:t>
            </w:r>
          </w:p>
          <w:p w14:paraId="202FEB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①储料间</w:t>
            </w:r>
            <w:r>
              <w:rPr>
                <w:rFonts w:hint="default" w:ascii="Times New Roman" w:hAnsi="Times New Roman" w:eastAsia="宋体"/>
                <w:b w:val="0"/>
                <w:bCs/>
                <w:color w:val="auto"/>
                <w:sz w:val="24"/>
                <w:lang w:bidi="ar"/>
              </w:rPr>
              <w:t>定期洒水</w:t>
            </w:r>
            <w:r>
              <w:rPr>
                <w:rFonts w:hint="eastAsia"/>
                <w:b w:val="0"/>
                <w:bCs/>
                <w:color w:val="auto"/>
                <w:sz w:val="24"/>
                <w:lang w:eastAsia="zh-CN" w:bidi="ar"/>
              </w:rPr>
              <w:t>；</w:t>
            </w:r>
            <w:r>
              <w:rPr>
                <w:rFonts w:hint="eastAsia"/>
                <w:b w:val="0"/>
                <w:bCs/>
                <w:color w:val="auto"/>
                <w:sz w:val="24"/>
                <w:lang w:val="en-US" w:eastAsia="zh-CN" w:bidi="ar"/>
              </w:rPr>
              <w:t>②</w:t>
            </w:r>
            <w:r>
              <w:rPr>
                <w:rFonts w:hint="default" w:ascii="Times New Roman" w:hAnsi="Times New Roman" w:eastAsia="宋体"/>
                <w:b w:val="0"/>
                <w:bCs/>
                <w:color w:val="auto"/>
                <w:sz w:val="24"/>
                <w:lang w:bidi="ar"/>
              </w:rPr>
              <w:t>采用</w:t>
            </w:r>
            <w:r>
              <w:rPr>
                <w:rFonts w:hint="eastAsia"/>
                <w:b w:val="0"/>
                <w:bCs/>
                <w:color w:val="auto"/>
                <w:sz w:val="24"/>
                <w:lang w:val="en-US" w:eastAsia="zh-CN" w:bidi="ar"/>
              </w:rPr>
              <w:t>厂房阻</w:t>
            </w:r>
            <w:r>
              <w:rPr>
                <w:rFonts w:hint="default" w:ascii="Times New Roman" w:hAnsi="Times New Roman" w:eastAsia="宋体"/>
                <w:b w:val="0"/>
                <w:bCs/>
                <w:color w:val="auto"/>
                <w:sz w:val="24"/>
                <w:lang w:bidi="ar"/>
              </w:rPr>
              <w:t>挡</w:t>
            </w:r>
            <w:r>
              <w:rPr>
                <w:rFonts w:hint="eastAsia"/>
                <w:b w:val="0"/>
                <w:bCs/>
                <w:color w:val="auto"/>
                <w:sz w:val="24"/>
                <w:lang w:eastAsia="zh-CN" w:bidi="ar"/>
              </w:rPr>
              <w:t>、</w:t>
            </w:r>
            <w:r>
              <w:rPr>
                <w:rFonts w:hint="eastAsia"/>
                <w:b w:val="0"/>
                <w:bCs/>
                <w:color w:val="auto"/>
                <w:sz w:val="24"/>
                <w:lang w:val="en-US" w:eastAsia="zh-CN" w:bidi="ar"/>
              </w:rPr>
              <w:t>编织袋覆盖</w:t>
            </w:r>
            <w:r>
              <w:rPr>
                <w:rFonts w:hint="default" w:ascii="Times New Roman" w:hAnsi="Times New Roman" w:eastAsia="宋体"/>
                <w:b w:val="0"/>
                <w:bCs/>
                <w:color w:val="auto"/>
                <w:sz w:val="24"/>
                <w:lang w:bidi="ar"/>
              </w:rPr>
              <w:t>等形式的防尘措施</w:t>
            </w:r>
            <w:r>
              <w:rPr>
                <w:rFonts w:hint="eastAsia"/>
                <w:b w:val="0"/>
                <w:bCs/>
                <w:color w:val="auto"/>
                <w:sz w:val="24"/>
                <w:lang w:eastAsia="zh-CN" w:bidi="ar"/>
              </w:rPr>
              <w:t>；</w:t>
            </w:r>
            <w:r>
              <w:rPr>
                <w:rFonts w:hint="default" w:ascii="Times New Roman" w:hAnsi="Times New Roman" w:cs="Times New Roman"/>
                <w:b w:val="0"/>
                <w:bCs/>
                <w:color w:val="auto"/>
                <w:sz w:val="24"/>
                <w:lang w:val="en-US" w:eastAsia="zh-CN" w:bidi="ar"/>
              </w:rPr>
              <w:t>③</w:t>
            </w:r>
            <w:r>
              <w:rPr>
                <w:rFonts w:hint="eastAsia" w:ascii="宋体" w:hAnsi="宋体" w:eastAsia="宋体" w:cs="宋体"/>
                <w:color w:val="auto"/>
                <w:kern w:val="0"/>
                <w:sz w:val="24"/>
                <w:szCs w:val="24"/>
                <w:lang w:val="en-US" w:eastAsia="zh-CN" w:bidi="ar"/>
              </w:rPr>
              <w:t>定期对厂内车辆通行道路进行清扫保持路面干净，洒水抑尘</w:t>
            </w:r>
            <w:r>
              <w:rPr>
                <w:rFonts w:hint="eastAsia" w:ascii="宋体" w:hAnsi="宋体" w:eastAsia="宋体" w:cs="宋体"/>
                <w:color w:val="auto"/>
                <w:kern w:val="0"/>
                <w:sz w:val="24"/>
                <w:szCs w:val="24"/>
                <w:highlight w:val="none"/>
                <w:lang w:val="en-US" w:eastAsia="zh-CN" w:bidi="ar"/>
              </w:rPr>
              <w:t>。</w:t>
            </w:r>
          </w:p>
          <w:p w14:paraId="3A94A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bCs w:val="0"/>
                <w:color w:val="auto"/>
                <w:sz w:val="24"/>
                <w:lang w:bidi="ar"/>
              </w:rPr>
            </w:pPr>
            <w:r>
              <w:rPr>
                <w:rFonts w:hint="eastAsia"/>
                <w:b/>
                <w:bCs w:val="0"/>
                <w:color w:val="auto"/>
                <w:sz w:val="24"/>
                <w:lang w:val="en-US" w:eastAsia="zh-CN" w:bidi="ar"/>
              </w:rPr>
              <w:t>7.</w:t>
            </w:r>
            <w:r>
              <w:rPr>
                <w:rFonts w:hint="default" w:ascii="Times New Roman" w:hAnsi="Times New Roman" w:eastAsia="宋体"/>
                <w:b/>
                <w:bCs w:val="0"/>
                <w:color w:val="auto"/>
                <w:sz w:val="24"/>
                <w:lang w:bidi="ar"/>
              </w:rPr>
              <w:t>4</w:t>
            </w:r>
            <w:r>
              <w:rPr>
                <w:rFonts w:hint="eastAsia"/>
                <w:b/>
                <w:bCs w:val="0"/>
                <w:color w:val="auto"/>
                <w:sz w:val="24"/>
                <w:lang w:val="en-US" w:eastAsia="zh-CN" w:bidi="ar"/>
              </w:rPr>
              <w:t xml:space="preserve"> </w:t>
            </w:r>
            <w:r>
              <w:rPr>
                <w:rFonts w:hint="default" w:ascii="Times New Roman" w:hAnsi="Times New Roman" w:eastAsia="宋体"/>
                <w:b/>
                <w:bCs w:val="0"/>
                <w:color w:val="auto"/>
                <w:sz w:val="24"/>
                <w:lang w:bidi="ar"/>
              </w:rPr>
              <w:t>废水排放管理要求</w:t>
            </w:r>
          </w:p>
          <w:p w14:paraId="47BCE3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根据《排污许可证申请与核发技术规范</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锅炉》</w:t>
            </w:r>
            <w:r>
              <w:rPr>
                <w:rFonts w:hint="eastAsia"/>
                <w:b w:val="0"/>
                <w:bCs/>
                <w:color w:val="auto"/>
                <w:sz w:val="24"/>
                <w:lang w:eastAsia="zh-CN" w:bidi="ar"/>
              </w:rPr>
              <w:t>（</w:t>
            </w:r>
            <w:r>
              <w:rPr>
                <w:rFonts w:hint="default" w:ascii="Times New Roman" w:hAnsi="Times New Roman" w:eastAsia="宋体"/>
                <w:b w:val="0"/>
                <w:bCs/>
                <w:color w:val="auto"/>
                <w:sz w:val="24"/>
                <w:lang w:bidi="ar"/>
              </w:rPr>
              <w:t>HJ</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953-2018</w:t>
            </w:r>
            <w:r>
              <w:rPr>
                <w:rFonts w:hint="eastAsia"/>
                <w:b w:val="0"/>
                <w:bCs/>
                <w:color w:val="auto"/>
                <w:sz w:val="24"/>
                <w:lang w:eastAsia="zh-CN" w:bidi="ar"/>
              </w:rPr>
              <w:t>），</w:t>
            </w:r>
            <w:r>
              <w:rPr>
                <w:rFonts w:hint="default" w:ascii="Times New Roman" w:hAnsi="Times New Roman" w:eastAsia="宋体"/>
                <w:b w:val="0"/>
                <w:bCs/>
                <w:color w:val="auto"/>
                <w:sz w:val="24"/>
                <w:lang w:bidi="ar"/>
              </w:rPr>
              <w:t>本项目废水排放管理要求如下：</w:t>
            </w:r>
          </w:p>
          <w:p w14:paraId="5DFC5A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①</w:t>
            </w:r>
            <w:r>
              <w:rPr>
                <w:rFonts w:hint="default" w:ascii="Times New Roman" w:hAnsi="Times New Roman" w:eastAsia="宋体"/>
                <w:b w:val="0"/>
                <w:bCs/>
                <w:color w:val="auto"/>
                <w:sz w:val="24"/>
                <w:lang w:bidi="ar"/>
              </w:rPr>
              <w:t>企业应当按照相关法律法规、标准和技术规范等的要求运行水污染防治设施并进行维护和管理，保证设施运行正常。</w:t>
            </w:r>
          </w:p>
          <w:p w14:paraId="778778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②</w:t>
            </w:r>
            <w:r>
              <w:rPr>
                <w:rFonts w:hint="default" w:ascii="Times New Roman" w:hAnsi="Times New Roman" w:eastAsia="宋体"/>
                <w:b w:val="0"/>
                <w:bCs/>
                <w:color w:val="auto"/>
                <w:sz w:val="24"/>
                <w:lang w:bidi="ar"/>
              </w:rPr>
              <w:t>企业产生的废水回用时需满足《城市污水再生利用城市杂用水水质》</w:t>
            </w:r>
            <w:r>
              <w:rPr>
                <w:rFonts w:hint="eastAsia"/>
                <w:b w:val="0"/>
                <w:bCs/>
                <w:color w:val="auto"/>
                <w:sz w:val="24"/>
                <w:lang w:eastAsia="zh-CN" w:bidi="ar"/>
              </w:rPr>
              <w:t>（</w:t>
            </w:r>
            <w:r>
              <w:rPr>
                <w:rFonts w:hint="default" w:ascii="Times New Roman" w:hAnsi="Times New Roman" w:eastAsia="宋体"/>
                <w:b w:val="0"/>
                <w:bCs/>
                <w:color w:val="auto"/>
                <w:sz w:val="24"/>
                <w:lang w:bidi="ar"/>
              </w:rPr>
              <w:t>GB/T</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18920-2020</w:t>
            </w:r>
            <w:r>
              <w:rPr>
                <w:rFonts w:hint="eastAsia"/>
                <w:b w:val="0"/>
                <w:bCs/>
                <w:color w:val="auto"/>
                <w:sz w:val="24"/>
                <w:lang w:eastAsia="zh-CN" w:bidi="ar"/>
              </w:rPr>
              <w:t>）</w:t>
            </w:r>
            <w:r>
              <w:rPr>
                <w:rFonts w:hint="default" w:ascii="Times New Roman" w:hAnsi="Times New Roman" w:eastAsia="宋体"/>
                <w:b w:val="0"/>
                <w:bCs/>
                <w:color w:val="auto"/>
                <w:sz w:val="24"/>
                <w:lang w:bidi="ar"/>
              </w:rPr>
              <w:t>的水质标准要求。</w:t>
            </w:r>
          </w:p>
          <w:p w14:paraId="523A34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bCs w:val="0"/>
                <w:color w:val="auto"/>
                <w:sz w:val="24"/>
                <w:lang w:bidi="ar"/>
              </w:rPr>
            </w:pPr>
            <w:r>
              <w:rPr>
                <w:rFonts w:hint="eastAsia"/>
                <w:b/>
                <w:bCs w:val="0"/>
                <w:color w:val="auto"/>
                <w:sz w:val="24"/>
                <w:lang w:val="en-US" w:eastAsia="zh-CN" w:bidi="ar"/>
              </w:rPr>
              <w:t>7</w:t>
            </w:r>
            <w:r>
              <w:rPr>
                <w:rFonts w:hint="default" w:ascii="Times New Roman" w:hAnsi="Times New Roman" w:eastAsia="宋体"/>
                <w:b/>
                <w:bCs w:val="0"/>
                <w:color w:val="auto"/>
                <w:sz w:val="24"/>
                <w:lang w:bidi="ar"/>
              </w:rPr>
              <w:t>.5</w:t>
            </w:r>
            <w:r>
              <w:rPr>
                <w:rFonts w:hint="eastAsia"/>
                <w:b/>
                <w:bCs w:val="0"/>
                <w:color w:val="auto"/>
                <w:sz w:val="24"/>
                <w:lang w:val="en-US" w:eastAsia="zh-CN" w:bidi="ar"/>
              </w:rPr>
              <w:t xml:space="preserve"> </w:t>
            </w:r>
            <w:r>
              <w:rPr>
                <w:rFonts w:hint="default" w:ascii="Times New Roman" w:hAnsi="Times New Roman" w:eastAsia="宋体"/>
                <w:b/>
                <w:bCs w:val="0"/>
                <w:color w:val="auto"/>
                <w:sz w:val="24"/>
                <w:lang w:bidi="ar"/>
              </w:rPr>
              <w:t>固体废物环境管理要求</w:t>
            </w:r>
          </w:p>
          <w:p w14:paraId="65C461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根据《排污许可证申请与核发技术规范</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锅炉》</w:t>
            </w:r>
            <w:r>
              <w:rPr>
                <w:rFonts w:hint="eastAsia"/>
                <w:b w:val="0"/>
                <w:bCs/>
                <w:color w:val="auto"/>
                <w:sz w:val="24"/>
                <w:lang w:eastAsia="zh-CN" w:bidi="ar"/>
              </w:rPr>
              <w:t>（</w:t>
            </w:r>
            <w:r>
              <w:rPr>
                <w:rFonts w:hint="default" w:ascii="Times New Roman" w:hAnsi="Times New Roman" w:eastAsia="宋体"/>
                <w:b w:val="0"/>
                <w:bCs/>
                <w:color w:val="auto"/>
                <w:sz w:val="24"/>
                <w:lang w:bidi="ar"/>
              </w:rPr>
              <w:t>HJ</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953-2018</w:t>
            </w:r>
            <w:r>
              <w:rPr>
                <w:rFonts w:hint="eastAsia"/>
                <w:b w:val="0"/>
                <w:bCs/>
                <w:color w:val="auto"/>
                <w:sz w:val="24"/>
                <w:lang w:eastAsia="zh-CN" w:bidi="ar"/>
              </w:rPr>
              <w:t>），</w:t>
            </w:r>
            <w:r>
              <w:rPr>
                <w:rFonts w:hint="default" w:ascii="Times New Roman" w:hAnsi="Times New Roman" w:eastAsia="宋体"/>
                <w:b w:val="0"/>
                <w:bCs/>
                <w:color w:val="auto"/>
                <w:sz w:val="24"/>
                <w:lang w:bidi="ar"/>
              </w:rPr>
              <w:t>本项目一般工业固体废物管理要求如下：</w:t>
            </w:r>
          </w:p>
          <w:p w14:paraId="6665F9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（1）</w:t>
            </w:r>
            <w:r>
              <w:rPr>
                <w:rFonts w:hint="default" w:ascii="Times New Roman" w:hAnsi="Times New Roman" w:eastAsia="宋体"/>
                <w:b w:val="0"/>
                <w:bCs/>
                <w:color w:val="auto"/>
                <w:sz w:val="24"/>
                <w:lang w:bidi="ar"/>
              </w:rPr>
              <w:t>企业应设置一般工业固废台账，记录锅炉灰渣</w:t>
            </w:r>
            <w:r>
              <w:rPr>
                <w:rFonts w:hint="eastAsia"/>
                <w:b w:val="0"/>
                <w:bCs/>
                <w:color w:val="auto"/>
                <w:sz w:val="24"/>
                <w:lang w:eastAsia="zh-CN" w:bidi="ar"/>
              </w:rPr>
              <w:t>、</w:t>
            </w:r>
            <w:r>
              <w:rPr>
                <w:rFonts w:hint="default" w:ascii="Times New Roman" w:hAnsi="Times New Roman" w:eastAsia="宋体"/>
                <w:b w:val="0"/>
                <w:bCs/>
                <w:color w:val="auto"/>
                <w:sz w:val="24"/>
                <w:lang w:bidi="ar"/>
              </w:rPr>
              <w:t>收尘灰的产生量、处置量及去向</w:t>
            </w:r>
            <w:r>
              <w:rPr>
                <w:rFonts w:hint="eastAsia"/>
                <w:b w:val="0"/>
                <w:bCs/>
                <w:color w:val="auto"/>
                <w:sz w:val="24"/>
                <w:lang w:eastAsia="zh-CN" w:bidi="ar"/>
              </w:rPr>
              <w:t>（</w:t>
            </w:r>
            <w:r>
              <w:rPr>
                <w:rFonts w:hint="default" w:ascii="Times New Roman" w:hAnsi="Times New Roman" w:eastAsia="宋体"/>
                <w:b w:val="0"/>
                <w:bCs/>
                <w:color w:val="auto"/>
                <w:sz w:val="24"/>
                <w:lang w:bidi="ar"/>
              </w:rPr>
              <w:t>综合利用或外运</w:t>
            </w:r>
            <w:r>
              <w:rPr>
                <w:rFonts w:hint="eastAsia"/>
                <w:b w:val="0"/>
                <w:bCs/>
                <w:color w:val="auto"/>
                <w:sz w:val="24"/>
                <w:lang w:eastAsia="zh-CN" w:bidi="ar"/>
              </w:rPr>
              <w:t>）</w:t>
            </w:r>
            <w:r>
              <w:rPr>
                <w:rFonts w:hint="default" w:ascii="Times New Roman" w:hAnsi="Times New Roman" w:eastAsia="宋体"/>
                <w:b w:val="0"/>
                <w:bCs/>
                <w:color w:val="auto"/>
                <w:sz w:val="24"/>
                <w:lang w:bidi="ar"/>
              </w:rPr>
              <w:t>和贮存量。</w:t>
            </w:r>
          </w:p>
          <w:p w14:paraId="30850E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（2）</w:t>
            </w:r>
            <w:r>
              <w:rPr>
                <w:rFonts w:hint="default" w:ascii="Times New Roman" w:hAnsi="Times New Roman" w:eastAsia="宋体"/>
                <w:b w:val="0"/>
                <w:bCs/>
                <w:color w:val="auto"/>
                <w:sz w:val="24"/>
                <w:lang w:bidi="ar"/>
              </w:rPr>
              <w:t>企业产生的锅炉灰渣</w:t>
            </w:r>
            <w:r>
              <w:rPr>
                <w:rFonts w:hint="eastAsia"/>
                <w:b w:val="0"/>
                <w:bCs/>
                <w:color w:val="auto"/>
                <w:sz w:val="24"/>
                <w:lang w:val="en-US" w:eastAsia="zh-CN" w:bidi="ar"/>
              </w:rPr>
              <w:t>暂存于一般固废暂存间，</w:t>
            </w:r>
            <w:r>
              <w:rPr>
                <w:rFonts w:hint="default" w:ascii="Times New Roman" w:hAnsi="Times New Roman" w:eastAsia="宋体"/>
                <w:b w:val="0"/>
                <w:bCs/>
                <w:color w:val="auto"/>
                <w:sz w:val="24"/>
                <w:lang w:bidi="ar"/>
              </w:rPr>
              <w:t>其储存、处置应符合GB18599的相关要求；</w:t>
            </w:r>
          </w:p>
          <w:p w14:paraId="56A106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（3）</w:t>
            </w:r>
            <w:r>
              <w:rPr>
                <w:rFonts w:hint="default" w:ascii="Times New Roman" w:hAnsi="Times New Roman" w:eastAsia="宋体"/>
                <w:b w:val="0"/>
                <w:bCs/>
                <w:color w:val="auto"/>
                <w:sz w:val="24"/>
                <w:lang w:bidi="ar"/>
              </w:rPr>
              <w:t>本项目</w:t>
            </w:r>
            <w:r>
              <w:rPr>
                <w:rFonts w:hint="eastAsia"/>
                <w:b w:val="0"/>
                <w:bCs/>
                <w:color w:val="auto"/>
                <w:sz w:val="24"/>
                <w:lang w:val="en-US" w:eastAsia="zh-CN" w:bidi="ar"/>
              </w:rPr>
              <w:t>一般固废暂存间</w:t>
            </w:r>
            <w:r>
              <w:rPr>
                <w:rFonts w:hint="default" w:ascii="Times New Roman" w:hAnsi="Times New Roman" w:eastAsia="宋体"/>
                <w:b w:val="0"/>
                <w:bCs/>
                <w:color w:val="auto"/>
                <w:sz w:val="24"/>
                <w:lang w:bidi="ar"/>
              </w:rPr>
              <w:t>应参照《一般工业固体废物贮存和填埋污染控制标准》</w:t>
            </w:r>
            <w:r>
              <w:rPr>
                <w:rFonts w:hint="eastAsia"/>
                <w:b w:val="0"/>
                <w:bCs/>
                <w:color w:val="auto"/>
                <w:sz w:val="24"/>
                <w:lang w:eastAsia="zh-CN" w:bidi="ar"/>
              </w:rPr>
              <w:t>（</w:t>
            </w:r>
            <w:r>
              <w:rPr>
                <w:rFonts w:hint="default" w:ascii="Times New Roman" w:hAnsi="Times New Roman" w:eastAsia="宋体"/>
                <w:b w:val="0"/>
                <w:bCs/>
                <w:color w:val="auto"/>
                <w:sz w:val="24"/>
                <w:lang w:bidi="ar"/>
              </w:rPr>
              <w:t>GB</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18599-2020</w:t>
            </w:r>
            <w:r>
              <w:rPr>
                <w:rFonts w:hint="eastAsia"/>
                <w:b w:val="0"/>
                <w:bCs/>
                <w:color w:val="auto"/>
                <w:sz w:val="24"/>
                <w:lang w:eastAsia="zh-CN" w:bidi="ar"/>
              </w:rPr>
              <w:t>）</w:t>
            </w:r>
            <w:r>
              <w:rPr>
                <w:rFonts w:hint="default" w:ascii="Times New Roman" w:hAnsi="Times New Roman" w:eastAsia="宋体"/>
                <w:b w:val="0"/>
                <w:bCs/>
                <w:color w:val="auto"/>
                <w:sz w:val="24"/>
                <w:lang w:bidi="ar"/>
              </w:rPr>
              <w:t>相关要求规范化建设，应满足如下要求：</w:t>
            </w:r>
          </w:p>
          <w:p w14:paraId="004A96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①地面应采取硬化措施并满足承载力要求，必要时采取相应措施防止地基下沉；</w:t>
            </w:r>
          </w:p>
          <w:p w14:paraId="0DC2BA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②要求设置必要的防风、防雨、防晒措施；</w:t>
            </w:r>
          </w:p>
          <w:p w14:paraId="32178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③按《环境保护图形标志固体废物贮存</w:t>
            </w:r>
            <w:r>
              <w:rPr>
                <w:rFonts w:hint="eastAsia"/>
                <w:b w:val="0"/>
                <w:bCs/>
                <w:color w:val="auto"/>
                <w:sz w:val="24"/>
                <w:lang w:eastAsia="zh-CN" w:bidi="ar"/>
              </w:rPr>
              <w:t>（</w:t>
            </w:r>
            <w:r>
              <w:rPr>
                <w:rFonts w:hint="default" w:ascii="Times New Roman" w:hAnsi="Times New Roman" w:eastAsia="宋体"/>
                <w:b w:val="0"/>
                <w:bCs/>
                <w:color w:val="auto"/>
                <w:sz w:val="24"/>
                <w:lang w:bidi="ar"/>
              </w:rPr>
              <w:t>处置</w:t>
            </w:r>
            <w:r>
              <w:rPr>
                <w:rFonts w:hint="eastAsia"/>
                <w:b w:val="0"/>
                <w:bCs/>
                <w:color w:val="auto"/>
                <w:sz w:val="24"/>
                <w:lang w:eastAsia="zh-CN" w:bidi="ar"/>
              </w:rPr>
              <w:t>）</w:t>
            </w:r>
            <w:r>
              <w:rPr>
                <w:rFonts w:hint="default" w:ascii="Times New Roman" w:hAnsi="Times New Roman" w:eastAsia="宋体"/>
                <w:b w:val="0"/>
                <w:bCs/>
                <w:color w:val="auto"/>
                <w:sz w:val="24"/>
                <w:lang w:bidi="ar"/>
              </w:rPr>
              <w:t>场》</w:t>
            </w:r>
            <w:r>
              <w:rPr>
                <w:rFonts w:hint="eastAsia"/>
                <w:b w:val="0"/>
                <w:bCs/>
                <w:color w:val="auto"/>
                <w:sz w:val="24"/>
                <w:lang w:eastAsia="zh-CN" w:bidi="ar"/>
              </w:rPr>
              <w:t>（</w:t>
            </w:r>
            <w:r>
              <w:rPr>
                <w:rFonts w:hint="default" w:ascii="Times New Roman" w:hAnsi="Times New Roman" w:eastAsia="宋体"/>
                <w:b w:val="0"/>
                <w:bCs/>
                <w:color w:val="auto"/>
                <w:sz w:val="24"/>
                <w:lang w:bidi="ar"/>
              </w:rPr>
              <w:t>GB</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15562.2-1995</w:t>
            </w:r>
            <w:r>
              <w:rPr>
                <w:rFonts w:hint="eastAsia"/>
                <w:b w:val="0"/>
                <w:bCs/>
                <w:color w:val="auto"/>
                <w:sz w:val="24"/>
                <w:lang w:eastAsia="zh-CN" w:bidi="ar"/>
              </w:rPr>
              <w:t>）</w:t>
            </w:r>
            <w:r>
              <w:rPr>
                <w:rFonts w:hint="default" w:ascii="Times New Roman" w:hAnsi="Times New Roman" w:eastAsia="宋体"/>
                <w:b w:val="0"/>
                <w:bCs/>
                <w:color w:val="auto"/>
                <w:sz w:val="24"/>
                <w:lang w:bidi="ar"/>
              </w:rPr>
              <w:t>及修改单的要求设置环境保护图形标志。</w:t>
            </w:r>
          </w:p>
          <w:p w14:paraId="45AD19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color w:val="auto"/>
                <w:sz w:val="24"/>
                <w:lang w:val="en-US" w:eastAsia="zh-CN" w:bidi="ar"/>
              </w:rPr>
            </w:pPr>
            <w:r>
              <w:rPr>
                <w:rFonts w:hint="eastAsia" w:ascii="Times New Roman" w:hAnsi="Times New Roman" w:eastAsia="宋体" w:cs="Times New Roman"/>
                <w:b w:val="0"/>
                <w:bCs/>
                <w:color w:val="auto"/>
                <w:sz w:val="24"/>
                <w:lang w:eastAsia="zh-CN" w:bidi="ar"/>
              </w:rPr>
              <w:t>（</w:t>
            </w:r>
            <w:r>
              <w:rPr>
                <w:rFonts w:hint="eastAsia" w:ascii="Times New Roman" w:hAnsi="Times New Roman" w:eastAsia="宋体" w:cs="Times New Roman"/>
                <w:b w:val="0"/>
                <w:bCs/>
                <w:color w:val="auto"/>
                <w:sz w:val="24"/>
                <w:lang w:val="en-US" w:eastAsia="zh-CN" w:bidi="ar"/>
              </w:rPr>
              <w:t>4</w:t>
            </w:r>
            <w:r>
              <w:rPr>
                <w:rFonts w:hint="eastAsia" w:ascii="Times New Roman" w:hAnsi="Times New Roman" w:eastAsia="宋体" w:cs="Times New Roman"/>
                <w:b w:val="0"/>
                <w:bCs/>
                <w:color w:val="auto"/>
                <w:sz w:val="24"/>
                <w:lang w:eastAsia="zh-CN" w:bidi="ar"/>
              </w:rPr>
              <w:t>）</w:t>
            </w:r>
            <w:r>
              <w:rPr>
                <w:rFonts w:hint="eastAsia" w:ascii="Times New Roman" w:hAnsi="Times New Roman" w:eastAsia="宋体" w:cs="Times New Roman"/>
                <w:b w:val="0"/>
                <w:bCs/>
                <w:color w:val="auto"/>
                <w:sz w:val="24"/>
                <w:lang w:val="en-US" w:eastAsia="zh-CN" w:bidi="ar"/>
              </w:rPr>
              <w:t>本项目危废库应参照《危险废物贮存污染控制标准》（GB 18597-2023）</w:t>
            </w:r>
            <w:r>
              <w:rPr>
                <w:rFonts w:hint="default" w:ascii="Times New Roman" w:hAnsi="Times New Roman" w:eastAsia="宋体" w:cs="Times New Roman"/>
                <w:b w:val="0"/>
                <w:bCs/>
                <w:color w:val="auto"/>
                <w:sz w:val="24"/>
                <w:lang w:bidi="ar"/>
              </w:rPr>
              <w:t>相关要求规范化建设</w:t>
            </w:r>
            <w:r>
              <w:rPr>
                <w:rFonts w:hint="eastAsia" w:ascii="Times New Roman" w:hAnsi="Times New Roman" w:eastAsia="宋体" w:cs="Times New Roman"/>
                <w:b w:val="0"/>
                <w:bCs/>
                <w:color w:val="auto"/>
                <w:sz w:val="24"/>
                <w:lang w:eastAsia="zh-CN" w:bidi="ar"/>
              </w:rPr>
              <w:t>。</w:t>
            </w:r>
          </w:p>
          <w:p w14:paraId="10CFCD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color w:val="auto"/>
                <w:sz w:val="24"/>
                <w:lang w:bidi="ar"/>
              </w:rPr>
            </w:pPr>
            <w:r>
              <w:rPr>
                <w:rFonts w:hint="eastAsia"/>
                <w:b/>
                <w:color w:val="auto"/>
                <w:sz w:val="24"/>
                <w:lang w:val="en-US" w:eastAsia="zh-CN" w:bidi="ar"/>
              </w:rPr>
              <w:t>7</w:t>
            </w:r>
            <w:r>
              <w:rPr>
                <w:rFonts w:hint="default" w:ascii="Times New Roman" w:hAnsi="Times New Roman" w:eastAsia="宋体"/>
                <w:b/>
                <w:color w:val="auto"/>
                <w:sz w:val="24"/>
                <w:lang w:bidi="ar"/>
              </w:rPr>
              <w:t>.6</w:t>
            </w:r>
            <w:r>
              <w:rPr>
                <w:rFonts w:hint="eastAsia"/>
                <w:b/>
                <w:color w:val="auto"/>
                <w:sz w:val="24"/>
                <w:lang w:val="en-US" w:eastAsia="zh-CN" w:bidi="ar"/>
              </w:rPr>
              <w:t xml:space="preserve"> </w:t>
            </w:r>
            <w:r>
              <w:rPr>
                <w:rFonts w:hint="default" w:ascii="Times New Roman" w:hAnsi="Times New Roman" w:eastAsia="宋体"/>
                <w:b/>
                <w:color w:val="auto"/>
                <w:sz w:val="24"/>
                <w:lang w:bidi="ar"/>
              </w:rPr>
              <w:t>其他环境管理要求</w:t>
            </w:r>
          </w:p>
          <w:p w14:paraId="3208C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根据《排污许可证申请与核发技术规范</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锅炉》</w:t>
            </w:r>
            <w:r>
              <w:rPr>
                <w:rFonts w:hint="eastAsia"/>
                <w:b w:val="0"/>
                <w:bCs/>
                <w:color w:val="auto"/>
                <w:sz w:val="24"/>
                <w:lang w:eastAsia="zh-CN" w:bidi="ar"/>
              </w:rPr>
              <w:t>（</w:t>
            </w:r>
            <w:r>
              <w:rPr>
                <w:rFonts w:hint="default" w:ascii="Times New Roman" w:hAnsi="Times New Roman" w:eastAsia="宋体"/>
                <w:b w:val="0"/>
                <w:bCs/>
                <w:color w:val="auto"/>
                <w:sz w:val="24"/>
                <w:lang w:bidi="ar"/>
              </w:rPr>
              <w:t>HJ</w:t>
            </w:r>
            <w:r>
              <w:rPr>
                <w:rFonts w:hint="eastAsia"/>
                <w:b w:val="0"/>
                <w:bCs/>
                <w:color w:val="auto"/>
                <w:sz w:val="24"/>
                <w:lang w:val="en-US" w:eastAsia="zh-CN" w:bidi="ar"/>
              </w:rPr>
              <w:t xml:space="preserve"> </w:t>
            </w:r>
            <w:r>
              <w:rPr>
                <w:rFonts w:hint="default" w:ascii="Times New Roman" w:hAnsi="Times New Roman" w:eastAsia="宋体"/>
                <w:b w:val="0"/>
                <w:bCs/>
                <w:color w:val="auto"/>
                <w:sz w:val="24"/>
                <w:lang w:bidi="ar"/>
              </w:rPr>
              <w:t>953-2018</w:t>
            </w:r>
            <w:r>
              <w:rPr>
                <w:rFonts w:hint="eastAsia"/>
                <w:b w:val="0"/>
                <w:bCs/>
                <w:color w:val="auto"/>
                <w:sz w:val="24"/>
                <w:lang w:eastAsia="zh-CN" w:bidi="ar"/>
              </w:rPr>
              <w:t>），</w:t>
            </w:r>
            <w:r>
              <w:rPr>
                <w:rFonts w:hint="default" w:ascii="Times New Roman" w:hAnsi="Times New Roman" w:eastAsia="宋体"/>
                <w:b w:val="0"/>
                <w:bCs/>
                <w:color w:val="auto"/>
                <w:sz w:val="24"/>
                <w:lang w:bidi="ar"/>
              </w:rPr>
              <w:t>本项目在运行过程中还需执行以下要求：</w:t>
            </w:r>
          </w:p>
          <w:p w14:paraId="67A23C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①</w:t>
            </w:r>
            <w:r>
              <w:rPr>
                <w:rFonts w:hint="eastAsia"/>
                <w:b w:val="0"/>
                <w:bCs/>
                <w:color w:val="auto"/>
                <w:sz w:val="24"/>
                <w:lang w:eastAsia="zh-CN" w:bidi="ar"/>
              </w:rPr>
              <w:t>生物质热风炉</w:t>
            </w:r>
            <w:r>
              <w:rPr>
                <w:rFonts w:hint="default" w:ascii="Times New Roman" w:hAnsi="Times New Roman" w:eastAsia="宋体"/>
                <w:b w:val="0"/>
                <w:bCs/>
                <w:color w:val="auto"/>
                <w:sz w:val="24"/>
                <w:lang w:bidi="ar"/>
              </w:rPr>
              <w:t>的原料禁止掺烧煤炭、垃圾及其他工业废物等原料。</w:t>
            </w:r>
          </w:p>
          <w:p w14:paraId="75EE98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②锅炉的启动时限不超过2个月。</w:t>
            </w:r>
          </w:p>
          <w:p w14:paraId="30E5D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default" w:ascii="Times New Roman" w:hAnsi="Times New Roman" w:eastAsia="宋体"/>
                <w:b w:val="0"/>
                <w:bCs/>
                <w:color w:val="auto"/>
                <w:sz w:val="24"/>
                <w:lang w:bidi="ar"/>
              </w:rPr>
              <w:t>③烟气污染治理设施检修期间，锅炉应停止运行，并向生态环境主管部门提交污染治理设施检维修计划，检维修计划应至少包括检维修的起始时间、情形描述、预计结束时间、拟采取应对措施等内容。</w:t>
            </w:r>
          </w:p>
          <w:p w14:paraId="5CAC6E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b/>
                <w:color w:val="auto"/>
                <w:sz w:val="24"/>
                <w:lang w:bidi="ar"/>
              </w:rPr>
            </w:pPr>
            <w:r>
              <w:rPr>
                <w:rFonts w:hint="eastAsia"/>
                <w:b/>
                <w:color w:val="auto"/>
                <w:sz w:val="24"/>
                <w:lang w:val="en-US" w:eastAsia="zh-CN" w:bidi="ar"/>
              </w:rPr>
              <w:t xml:space="preserve">7.7 </w:t>
            </w:r>
            <w:r>
              <w:rPr>
                <w:rFonts w:hint="default" w:ascii="Times New Roman" w:hAnsi="Times New Roman" w:eastAsia="宋体"/>
                <w:b/>
                <w:color w:val="auto"/>
                <w:sz w:val="24"/>
                <w:lang w:bidi="ar"/>
              </w:rPr>
              <w:t>排污口规范化管理</w:t>
            </w:r>
          </w:p>
          <w:p w14:paraId="505A4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val="0"/>
                <w:bCs/>
                <w:color w:val="auto"/>
                <w:sz w:val="24"/>
                <w:lang w:bidi="ar"/>
              </w:rPr>
            </w:pPr>
            <w:r>
              <w:rPr>
                <w:rFonts w:hint="eastAsia"/>
                <w:b w:val="0"/>
                <w:bCs/>
                <w:color w:val="auto"/>
                <w:sz w:val="24"/>
                <w:lang w:val="en-US" w:eastAsia="zh-CN" w:bidi="ar"/>
              </w:rPr>
              <w:t>（1）</w:t>
            </w:r>
            <w:r>
              <w:rPr>
                <w:rFonts w:hint="default" w:ascii="Times New Roman" w:hAnsi="Times New Roman" w:eastAsia="宋体"/>
                <w:b w:val="0"/>
                <w:bCs/>
                <w:color w:val="auto"/>
                <w:sz w:val="24"/>
                <w:lang w:bidi="ar"/>
              </w:rPr>
              <w:t>排污口标识</w:t>
            </w:r>
          </w:p>
          <w:p w14:paraId="749DFF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b/>
                <w:bCs/>
                <w:color w:val="auto"/>
                <w:szCs w:val="21"/>
              </w:rPr>
            </w:pPr>
            <w:r>
              <w:rPr>
                <w:rFonts w:hint="default" w:ascii="Times New Roman" w:hAnsi="Times New Roman" w:eastAsia="宋体"/>
                <w:color w:val="auto"/>
                <w:sz w:val="24"/>
                <w:lang w:bidi="ar"/>
              </w:rPr>
              <w:t>本项目应尽快完成</w:t>
            </w:r>
            <w:r>
              <w:rPr>
                <w:rFonts w:hint="eastAsia" w:ascii="Times New Roman" w:hAnsi="Times New Roman" w:eastAsia="宋体"/>
                <w:color w:val="auto"/>
                <w:sz w:val="24"/>
                <w:lang w:bidi="ar"/>
              </w:rPr>
              <w:t>新增</w:t>
            </w:r>
            <w:r>
              <w:rPr>
                <w:rFonts w:hint="default" w:ascii="Times New Roman" w:hAnsi="Times New Roman" w:eastAsia="宋体"/>
                <w:color w:val="auto"/>
                <w:sz w:val="24"/>
                <w:lang w:bidi="ar"/>
              </w:rPr>
              <w:t>废气排放源、噪声排放源</w:t>
            </w:r>
            <w:r>
              <w:rPr>
                <w:rFonts w:hint="eastAsia" w:ascii="Times New Roman" w:hAnsi="Times New Roman" w:eastAsia="宋体"/>
                <w:color w:val="auto"/>
                <w:sz w:val="24"/>
                <w:lang w:bidi="ar"/>
              </w:rPr>
              <w:t>等</w:t>
            </w:r>
            <w:r>
              <w:rPr>
                <w:rFonts w:hint="default" w:ascii="Times New Roman" w:hAnsi="Times New Roman" w:eastAsia="宋体"/>
                <w:color w:val="auto"/>
                <w:sz w:val="24"/>
                <w:lang w:bidi="ar"/>
              </w:rPr>
              <w:t>的规范化建设，同时各项污染源排放口应设置专项图标，执行《环境保护图形标志-排放口（源</w:t>
            </w:r>
            <w:r>
              <w:rPr>
                <w:rFonts w:hint="eastAsia"/>
                <w:color w:val="auto"/>
                <w:sz w:val="24"/>
                <w:lang w:eastAsia="zh-CN" w:bidi="ar"/>
              </w:rPr>
              <w:t>）</w:t>
            </w:r>
            <w:r>
              <w:rPr>
                <w:rFonts w:hint="default" w:ascii="Times New Roman" w:hAnsi="Times New Roman" w:eastAsia="宋体"/>
                <w:color w:val="auto"/>
                <w:sz w:val="24"/>
                <w:lang w:bidi="ar"/>
              </w:rPr>
              <w:t>》（GB</w:t>
            </w:r>
            <w:r>
              <w:rPr>
                <w:rFonts w:hint="eastAsia"/>
                <w:color w:val="auto"/>
                <w:sz w:val="24"/>
                <w:lang w:val="en-US" w:eastAsia="zh-CN" w:bidi="ar"/>
              </w:rPr>
              <w:t xml:space="preserve"> </w:t>
            </w:r>
            <w:r>
              <w:rPr>
                <w:rFonts w:hint="default" w:ascii="Times New Roman" w:hAnsi="Times New Roman" w:eastAsia="宋体"/>
                <w:color w:val="auto"/>
                <w:sz w:val="24"/>
                <w:lang w:bidi="ar"/>
              </w:rPr>
              <w:t>15562-1995</w:t>
            </w:r>
            <w:r>
              <w:rPr>
                <w:rFonts w:hint="eastAsia"/>
                <w:color w:val="auto"/>
                <w:sz w:val="24"/>
                <w:lang w:eastAsia="zh-CN" w:bidi="ar"/>
              </w:rPr>
              <w:t>）</w:t>
            </w:r>
            <w:r>
              <w:rPr>
                <w:rFonts w:hint="eastAsia" w:ascii="Times New Roman" w:hAnsi="Times New Roman" w:eastAsia="宋体"/>
                <w:color w:val="auto"/>
                <w:sz w:val="24"/>
                <w:lang w:bidi="ar"/>
              </w:rPr>
              <w:t>及修改单（生态环境部2023年第5公告</w:t>
            </w:r>
            <w:r>
              <w:rPr>
                <w:rFonts w:hint="eastAsia"/>
                <w:color w:val="auto"/>
                <w:sz w:val="24"/>
                <w:lang w:eastAsia="zh-CN" w:bidi="ar"/>
              </w:rPr>
              <w:t>）</w:t>
            </w:r>
            <w:r>
              <w:rPr>
                <w:rFonts w:hint="default" w:ascii="Times New Roman" w:hAnsi="Times New Roman" w:eastAsia="宋体"/>
                <w:color w:val="auto"/>
                <w:sz w:val="24"/>
                <w:lang w:bidi="ar"/>
              </w:rPr>
              <w:t>，详见下表。</w:t>
            </w:r>
          </w:p>
          <w:p w14:paraId="77EA55A6">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rPr>
            </w:pPr>
            <w:r>
              <w:rPr>
                <w:rFonts w:hint="default" w:ascii="Times New Roman" w:hAnsi="Times New Roman" w:eastAsia="宋体"/>
                <w:b/>
                <w:bCs/>
                <w:color w:val="auto"/>
                <w:szCs w:val="21"/>
              </w:rPr>
              <w:t>表</w:t>
            </w:r>
            <w:r>
              <w:rPr>
                <w:rFonts w:hint="eastAsia" w:ascii="Times New Roman" w:hAnsi="Times New Roman" w:eastAsia="宋体"/>
                <w:b/>
                <w:bCs/>
                <w:color w:val="auto"/>
                <w:szCs w:val="21"/>
              </w:rPr>
              <w:t>4-</w:t>
            </w:r>
            <w:r>
              <w:rPr>
                <w:rFonts w:hint="eastAsia"/>
                <w:b/>
                <w:bCs/>
                <w:color w:val="auto"/>
                <w:szCs w:val="21"/>
                <w:lang w:val="en-US" w:eastAsia="zh-CN"/>
              </w:rPr>
              <w:t>21</w:t>
            </w:r>
            <w:r>
              <w:rPr>
                <w:rFonts w:hint="default" w:ascii="Times New Roman" w:hAnsi="Times New Roman" w:eastAsia="宋体"/>
                <w:b/>
                <w:bCs/>
                <w:color w:val="auto"/>
                <w:szCs w:val="21"/>
              </w:rPr>
              <w:t xml:space="preserve">  </w:t>
            </w:r>
            <w:r>
              <w:rPr>
                <w:rFonts w:hint="eastAsia" w:ascii="Times New Roman" w:hAnsi="Times New Roman" w:eastAsia="宋体"/>
                <w:b/>
                <w:bCs/>
                <w:color w:val="auto"/>
                <w:szCs w:val="21"/>
                <w:lang w:val="en-US" w:eastAsia="zh-CN"/>
              </w:rPr>
              <w:t>各排污口（源</w:t>
            </w:r>
            <w:r>
              <w:rPr>
                <w:rFonts w:hint="eastAsia"/>
                <w:b/>
                <w:bCs/>
                <w:color w:val="auto"/>
                <w:szCs w:val="21"/>
                <w:lang w:val="en-US" w:eastAsia="zh-CN"/>
              </w:rPr>
              <w:t>）</w:t>
            </w:r>
            <w:r>
              <w:rPr>
                <w:rFonts w:hint="eastAsia" w:ascii="Times New Roman" w:hAnsi="Times New Roman" w:eastAsia="宋体"/>
                <w:b/>
                <w:bCs/>
                <w:color w:val="auto"/>
                <w:szCs w:val="21"/>
                <w:lang w:val="en-US" w:eastAsia="zh-CN"/>
              </w:rPr>
              <w:t>标志牌设置示意图</w:t>
            </w:r>
            <w:r>
              <w:rPr>
                <w:rFonts w:hint="default" w:ascii="Times New Roman" w:hAnsi="Times New Roman" w:eastAsia="宋体"/>
                <w:b/>
                <w:bCs/>
                <w:color w:val="auto"/>
                <w:szCs w:val="21"/>
              </w:rPr>
              <w:t>表</w:t>
            </w:r>
          </w:p>
          <w:tbl>
            <w:tblPr>
              <w:tblStyle w:val="39"/>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336"/>
              <w:gridCol w:w="1367"/>
              <w:gridCol w:w="1366"/>
              <w:gridCol w:w="1367"/>
              <w:gridCol w:w="1367"/>
              <w:gridCol w:w="1375"/>
            </w:tblGrid>
            <w:tr w14:paraId="29E81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817" w:type="pct"/>
                  <w:vAlign w:val="center"/>
                </w:tcPr>
                <w:p w14:paraId="19D1C0DD">
                  <w:pPr>
                    <w:keepNext w:val="0"/>
                    <w:keepLines w:val="0"/>
                    <w:suppressLineNumbers w:val="0"/>
                    <w:spacing w:before="0" w:beforeAutospacing="0" w:after="0" w:afterAutospacing="0"/>
                    <w:ind w:left="0" w:right="0"/>
                    <w:jc w:val="center"/>
                    <w:rPr>
                      <w:rFonts w:hint="default" w:ascii="Times New Roman" w:hAnsi="Times New Roman" w:eastAsia="宋体"/>
                      <w:b/>
                      <w:bCs w:val="0"/>
                      <w:color w:val="auto"/>
                      <w:szCs w:val="21"/>
                    </w:rPr>
                  </w:pPr>
                  <w:r>
                    <w:rPr>
                      <w:rFonts w:hint="default" w:ascii="Times New Roman" w:hAnsi="Times New Roman" w:eastAsia="宋体"/>
                      <w:b/>
                      <w:bCs w:val="0"/>
                      <w:color w:val="auto"/>
                      <w:szCs w:val="21"/>
                      <w:lang w:bidi="ar"/>
                    </w:rPr>
                    <w:t>名称</w:t>
                  </w:r>
                </w:p>
              </w:tc>
              <w:tc>
                <w:tcPr>
                  <w:tcW w:w="836" w:type="pct"/>
                  <w:vAlign w:val="center"/>
                </w:tcPr>
                <w:p w14:paraId="79BA37FD">
                  <w:pPr>
                    <w:keepNext w:val="0"/>
                    <w:keepLines w:val="0"/>
                    <w:suppressLineNumbers w:val="0"/>
                    <w:spacing w:before="0" w:beforeAutospacing="0" w:after="0" w:afterAutospacing="0"/>
                    <w:ind w:left="0" w:right="0"/>
                    <w:jc w:val="center"/>
                    <w:rPr>
                      <w:rFonts w:hint="default" w:ascii="Times New Roman" w:hAnsi="Times New Roman" w:eastAsia="宋体"/>
                      <w:b/>
                      <w:bCs w:val="0"/>
                      <w:color w:val="auto"/>
                      <w:szCs w:val="21"/>
                    </w:rPr>
                  </w:pPr>
                  <w:r>
                    <w:rPr>
                      <w:rFonts w:hint="default" w:ascii="Times New Roman" w:hAnsi="Times New Roman" w:eastAsia="宋体"/>
                      <w:b/>
                      <w:bCs w:val="0"/>
                      <w:color w:val="auto"/>
                      <w:szCs w:val="21"/>
                      <w:lang w:bidi="ar"/>
                    </w:rPr>
                    <w:t>废气排放口</w:t>
                  </w:r>
                </w:p>
              </w:tc>
              <w:tc>
                <w:tcPr>
                  <w:tcW w:w="835" w:type="pct"/>
                  <w:vAlign w:val="center"/>
                </w:tcPr>
                <w:p w14:paraId="5ABD7669">
                  <w:pPr>
                    <w:keepNext w:val="0"/>
                    <w:keepLines w:val="0"/>
                    <w:suppressLineNumbers w:val="0"/>
                    <w:spacing w:before="0" w:beforeAutospacing="0" w:after="0" w:afterAutospacing="0"/>
                    <w:ind w:left="0" w:right="0"/>
                    <w:jc w:val="center"/>
                    <w:rPr>
                      <w:rFonts w:hint="default" w:ascii="Times New Roman" w:hAnsi="Times New Roman" w:eastAsia="宋体"/>
                      <w:b/>
                      <w:bCs w:val="0"/>
                      <w:color w:val="auto"/>
                      <w:szCs w:val="21"/>
                    </w:rPr>
                  </w:pPr>
                  <w:r>
                    <w:rPr>
                      <w:rFonts w:hint="default" w:ascii="Times New Roman" w:hAnsi="Times New Roman" w:eastAsia="宋体"/>
                      <w:b/>
                      <w:bCs w:val="0"/>
                      <w:color w:val="auto"/>
                      <w:szCs w:val="21"/>
                      <w:lang w:bidi="ar"/>
                    </w:rPr>
                    <w:t>废水排放口</w:t>
                  </w:r>
                </w:p>
              </w:tc>
              <w:tc>
                <w:tcPr>
                  <w:tcW w:w="836" w:type="pct"/>
                  <w:vAlign w:val="center"/>
                </w:tcPr>
                <w:p w14:paraId="73FB52A8">
                  <w:pPr>
                    <w:keepNext w:val="0"/>
                    <w:keepLines w:val="0"/>
                    <w:suppressLineNumbers w:val="0"/>
                    <w:spacing w:before="0" w:beforeAutospacing="0" w:after="0" w:afterAutospacing="0"/>
                    <w:ind w:left="0" w:right="0"/>
                    <w:jc w:val="center"/>
                    <w:rPr>
                      <w:rFonts w:hint="default" w:ascii="Times New Roman" w:hAnsi="Times New Roman" w:eastAsia="宋体"/>
                      <w:b/>
                      <w:bCs w:val="0"/>
                      <w:color w:val="auto"/>
                      <w:szCs w:val="21"/>
                    </w:rPr>
                  </w:pPr>
                  <w:r>
                    <w:rPr>
                      <w:rFonts w:hint="default" w:ascii="Times New Roman" w:hAnsi="Times New Roman" w:eastAsia="宋体"/>
                      <w:b/>
                      <w:bCs w:val="0"/>
                      <w:color w:val="auto"/>
                      <w:szCs w:val="21"/>
                      <w:lang w:bidi="ar"/>
                    </w:rPr>
                    <w:t>噪声排放源</w:t>
                  </w:r>
                </w:p>
              </w:tc>
              <w:tc>
                <w:tcPr>
                  <w:tcW w:w="836" w:type="pct"/>
                  <w:vAlign w:val="center"/>
                </w:tcPr>
                <w:p w14:paraId="09E1A0B2">
                  <w:pPr>
                    <w:keepNext w:val="0"/>
                    <w:keepLines w:val="0"/>
                    <w:suppressLineNumbers w:val="0"/>
                    <w:spacing w:before="0" w:beforeAutospacing="0" w:after="0" w:afterAutospacing="0"/>
                    <w:ind w:left="0" w:right="0"/>
                    <w:jc w:val="center"/>
                    <w:rPr>
                      <w:rFonts w:hint="default" w:ascii="Times New Roman" w:hAnsi="Times New Roman" w:eastAsia="宋体"/>
                      <w:b/>
                      <w:bCs w:val="0"/>
                      <w:color w:val="auto"/>
                      <w:szCs w:val="21"/>
                    </w:rPr>
                  </w:pPr>
                  <w:r>
                    <w:rPr>
                      <w:rFonts w:hint="default" w:ascii="Times New Roman" w:hAnsi="Times New Roman" w:eastAsia="宋体"/>
                      <w:b/>
                      <w:bCs w:val="0"/>
                      <w:color w:val="auto"/>
                      <w:szCs w:val="21"/>
                      <w:lang w:bidi="ar"/>
                    </w:rPr>
                    <w:t>一般固体废物</w:t>
                  </w:r>
                </w:p>
              </w:tc>
              <w:tc>
                <w:tcPr>
                  <w:tcW w:w="1418" w:type="dxa"/>
                  <w:vAlign w:val="center"/>
                </w:tcPr>
                <w:p w14:paraId="1AB7B816">
                  <w:pPr>
                    <w:pStyle w:val="162"/>
                    <w:keepNext w:val="0"/>
                    <w:keepLines w:val="0"/>
                    <w:suppressLineNumbers w:val="0"/>
                    <w:bidi w:val="0"/>
                    <w:spacing w:before="0" w:beforeAutospacing="0" w:after="0" w:afterAutospacing="0"/>
                    <w:ind w:left="0" w:right="0"/>
                    <w:rPr>
                      <w:rFonts w:hint="default"/>
                      <w:b/>
                      <w:bCs/>
                      <w:color w:val="auto"/>
                      <w:sz w:val="21"/>
                      <w:szCs w:val="21"/>
                    </w:rPr>
                  </w:pPr>
                  <w:r>
                    <w:rPr>
                      <w:rFonts w:hint="default"/>
                      <w:b/>
                      <w:bCs/>
                      <w:color w:val="auto"/>
                      <w:sz w:val="21"/>
                      <w:szCs w:val="21"/>
                    </w:rPr>
                    <w:t>危险固</w:t>
                  </w:r>
                </w:p>
                <w:p w14:paraId="72AF0AFC">
                  <w:pPr>
                    <w:pStyle w:val="162"/>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b/>
                      <w:bCs w:val="0"/>
                      <w:color w:val="auto"/>
                      <w:szCs w:val="21"/>
                      <w:lang w:bidi="ar"/>
                    </w:rPr>
                  </w:pPr>
                  <w:r>
                    <w:rPr>
                      <w:rFonts w:hint="default"/>
                      <w:b/>
                      <w:bCs/>
                      <w:color w:val="auto"/>
                      <w:sz w:val="21"/>
                      <w:szCs w:val="21"/>
                    </w:rPr>
                    <w:t>体废物</w:t>
                  </w:r>
                </w:p>
              </w:tc>
            </w:tr>
            <w:tr w14:paraId="5EA11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817" w:type="pct"/>
                  <w:vAlign w:val="center"/>
                </w:tcPr>
                <w:p w14:paraId="2A6FABB0">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lang w:bidi="ar"/>
                    </w:rPr>
                  </w:pPr>
                  <w:r>
                    <w:rPr>
                      <w:rFonts w:hint="default" w:ascii="Times New Roman" w:hAnsi="Times New Roman" w:eastAsia="宋体"/>
                      <w:bCs/>
                      <w:color w:val="auto"/>
                      <w:szCs w:val="21"/>
                      <w:lang w:bidi="ar"/>
                    </w:rPr>
                    <w:t>提示图</w:t>
                  </w:r>
                </w:p>
                <w:p w14:paraId="4B492217">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lang w:bidi="ar"/>
                    </w:rPr>
                    <w:t>形符号</w:t>
                  </w:r>
                </w:p>
              </w:tc>
              <w:tc>
                <w:tcPr>
                  <w:tcW w:w="836" w:type="pct"/>
                  <w:vAlign w:val="center"/>
                </w:tcPr>
                <w:p w14:paraId="3ABE54B7">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rPr>
                    <w:drawing>
                      <wp:inline distT="0" distB="0" distL="114300" distR="114300">
                        <wp:extent cx="431800" cy="431800"/>
                        <wp:effectExtent l="0" t="0" r="6350" b="6350"/>
                        <wp:docPr id="15" name="图片 2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IMG_266"/>
                                <pic:cNvPicPr>
                                  <a:picLocks noChangeAspect="1"/>
                                </pic:cNvPicPr>
                              </pic:nvPicPr>
                              <pic:blipFill>
                                <a:blip r:embed="rId49"/>
                                <a:stretch>
                                  <a:fillRect/>
                                </a:stretch>
                              </pic:blipFill>
                              <pic:spPr>
                                <a:xfrm>
                                  <a:off x="0" y="0"/>
                                  <a:ext cx="431800" cy="431800"/>
                                </a:xfrm>
                                <a:prstGeom prst="rect">
                                  <a:avLst/>
                                </a:prstGeom>
                                <a:noFill/>
                                <a:ln>
                                  <a:noFill/>
                                </a:ln>
                              </pic:spPr>
                            </pic:pic>
                          </a:graphicData>
                        </a:graphic>
                      </wp:inline>
                    </w:drawing>
                  </w:r>
                </w:p>
              </w:tc>
              <w:tc>
                <w:tcPr>
                  <w:tcW w:w="835" w:type="pct"/>
                  <w:vAlign w:val="center"/>
                </w:tcPr>
                <w:p w14:paraId="20E87F81">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rPr>
                    <w:drawing>
                      <wp:inline distT="0" distB="0" distL="114300" distR="114300">
                        <wp:extent cx="431800" cy="431800"/>
                        <wp:effectExtent l="0" t="0" r="6350" b="6350"/>
                        <wp:docPr id="16" name="图片 2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2" descr="IMG_267"/>
                                <pic:cNvPicPr>
                                  <a:picLocks noChangeAspect="1"/>
                                </pic:cNvPicPr>
                              </pic:nvPicPr>
                              <pic:blipFill>
                                <a:blip r:embed="rId50"/>
                                <a:stretch>
                                  <a:fillRect/>
                                </a:stretch>
                              </pic:blipFill>
                              <pic:spPr>
                                <a:xfrm>
                                  <a:off x="0" y="0"/>
                                  <a:ext cx="431800" cy="431800"/>
                                </a:xfrm>
                                <a:prstGeom prst="rect">
                                  <a:avLst/>
                                </a:prstGeom>
                                <a:noFill/>
                                <a:ln>
                                  <a:noFill/>
                                </a:ln>
                              </pic:spPr>
                            </pic:pic>
                          </a:graphicData>
                        </a:graphic>
                      </wp:inline>
                    </w:drawing>
                  </w:r>
                </w:p>
              </w:tc>
              <w:tc>
                <w:tcPr>
                  <w:tcW w:w="836" w:type="pct"/>
                  <w:vAlign w:val="center"/>
                </w:tcPr>
                <w:p w14:paraId="6F352221">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rPr>
                    <w:drawing>
                      <wp:inline distT="0" distB="0" distL="114300" distR="114300">
                        <wp:extent cx="431800" cy="431800"/>
                        <wp:effectExtent l="0" t="0" r="6350" b="6350"/>
                        <wp:docPr id="17" name="图片 2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3" descr="IMG_268"/>
                                <pic:cNvPicPr>
                                  <a:picLocks noChangeAspect="1"/>
                                </pic:cNvPicPr>
                              </pic:nvPicPr>
                              <pic:blipFill>
                                <a:blip r:embed="rId51"/>
                                <a:stretch>
                                  <a:fillRect/>
                                </a:stretch>
                              </pic:blipFill>
                              <pic:spPr>
                                <a:xfrm>
                                  <a:off x="0" y="0"/>
                                  <a:ext cx="431800" cy="431800"/>
                                </a:xfrm>
                                <a:prstGeom prst="rect">
                                  <a:avLst/>
                                </a:prstGeom>
                                <a:noFill/>
                                <a:ln>
                                  <a:noFill/>
                                </a:ln>
                              </pic:spPr>
                            </pic:pic>
                          </a:graphicData>
                        </a:graphic>
                      </wp:inline>
                    </w:drawing>
                  </w:r>
                </w:p>
              </w:tc>
              <w:tc>
                <w:tcPr>
                  <w:tcW w:w="836" w:type="pct"/>
                  <w:vAlign w:val="center"/>
                </w:tcPr>
                <w:p w14:paraId="0B3628B1">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rPr>
                    <w:drawing>
                      <wp:inline distT="0" distB="0" distL="114300" distR="114300">
                        <wp:extent cx="431800" cy="431800"/>
                        <wp:effectExtent l="0" t="0" r="6350" b="6350"/>
                        <wp:docPr id="18" name="图片 2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4" descr="IMG_269"/>
                                <pic:cNvPicPr>
                                  <a:picLocks noChangeAspect="1"/>
                                </pic:cNvPicPr>
                              </pic:nvPicPr>
                              <pic:blipFill>
                                <a:blip r:embed="rId52"/>
                                <a:stretch>
                                  <a:fillRect/>
                                </a:stretch>
                              </pic:blipFill>
                              <pic:spPr>
                                <a:xfrm>
                                  <a:off x="0" y="0"/>
                                  <a:ext cx="431800" cy="431800"/>
                                </a:xfrm>
                                <a:prstGeom prst="rect">
                                  <a:avLst/>
                                </a:prstGeom>
                                <a:noFill/>
                                <a:ln>
                                  <a:noFill/>
                                </a:ln>
                              </pic:spPr>
                            </pic:pic>
                          </a:graphicData>
                        </a:graphic>
                      </wp:inline>
                    </w:drawing>
                  </w:r>
                </w:p>
              </w:tc>
              <w:tc>
                <w:tcPr>
                  <w:tcW w:w="1418" w:type="dxa"/>
                  <w:vAlign w:val="center"/>
                </w:tcPr>
                <w:p w14:paraId="2486D74A">
                  <w:pPr>
                    <w:pStyle w:val="162"/>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bCs/>
                      <w:color w:val="auto"/>
                      <w:szCs w:val="21"/>
                    </w:rPr>
                  </w:pPr>
                  <w:r>
                    <w:rPr>
                      <w:rFonts w:hint="default"/>
                      <w:color w:val="auto"/>
                      <w:sz w:val="21"/>
                      <w:szCs w:val="21"/>
                    </w:rPr>
                    <w:drawing>
                      <wp:inline distT="0" distB="0" distL="114300" distR="114300">
                        <wp:extent cx="431800" cy="442595"/>
                        <wp:effectExtent l="0" t="0" r="6350" b="14605"/>
                        <wp:docPr id="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8"/>
                                <pic:cNvPicPr>
                                  <a:picLocks noChangeAspect="1"/>
                                </pic:cNvPicPr>
                              </pic:nvPicPr>
                              <pic:blipFill>
                                <a:blip r:embed="rId53"/>
                                <a:stretch>
                                  <a:fillRect/>
                                </a:stretch>
                              </pic:blipFill>
                              <pic:spPr>
                                <a:xfrm>
                                  <a:off x="0" y="0"/>
                                  <a:ext cx="431800" cy="442595"/>
                                </a:xfrm>
                                <a:prstGeom prst="rect">
                                  <a:avLst/>
                                </a:prstGeom>
                                <a:noFill/>
                                <a:ln>
                                  <a:noFill/>
                                </a:ln>
                              </pic:spPr>
                            </pic:pic>
                          </a:graphicData>
                        </a:graphic>
                      </wp:inline>
                    </w:drawing>
                  </w:r>
                </w:p>
              </w:tc>
            </w:tr>
            <w:tr w14:paraId="3AEA3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817" w:type="pct"/>
                  <w:vAlign w:val="center"/>
                </w:tcPr>
                <w:p w14:paraId="64C5843F">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lang w:bidi="ar"/>
                    </w:rPr>
                    <w:t>功能</w:t>
                  </w:r>
                </w:p>
              </w:tc>
              <w:tc>
                <w:tcPr>
                  <w:tcW w:w="836" w:type="pct"/>
                  <w:vAlign w:val="center"/>
                </w:tcPr>
                <w:p w14:paraId="2F1B6C55">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lang w:bidi="ar"/>
                    </w:rPr>
                    <w:t>表示废气向大气环境排放</w:t>
                  </w:r>
                </w:p>
              </w:tc>
              <w:tc>
                <w:tcPr>
                  <w:tcW w:w="835" w:type="pct"/>
                  <w:vAlign w:val="center"/>
                </w:tcPr>
                <w:p w14:paraId="3A97DA7B">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lang w:bidi="ar"/>
                    </w:rPr>
                    <w:t>表示废水向水环境排放</w:t>
                  </w:r>
                </w:p>
              </w:tc>
              <w:tc>
                <w:tcPr>
                  <w:tcW w:w="836" w:type="pct"/>
                  <w:vAlign w:val="center"/>
                </w:tcPr>
                <w:p w14:paraId="2A795471">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lang w:bidi="ar"/>
                    </w:rPr>
                    <w:t>表示噪声向外环境排放</w:t>
                  </w:r>
                </w:p>
              </w:tc>
              <w:tc>
                <w:tcPr>
                  <w:tcW w:w="836" w:type="pct"/>
                  <w:vAlign w:val="center"/>
                </w:tcPr>
                <w:p w14:paraId="0337DD32">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rPr>
                  </w:pPr>
                  <w:r>
                    <w:rPr>
                      <w:rFonts w:hint="default" w:ascii="Times New Roman" w:hAnsi="Times New Roman" w:eastAsia="宋体"/>
                      <w:bCs/>
                      <w:color w:val="auto"/>
                      <w:szCs w:val="21"/>
                      <w:lang w:bidi="ar"/>
                    </w:rPr>
                    <w:t>表示一般固体废物贮存、处置场所</w:t>
                  </w:r>
                </w:p>
              </w:tc>
              <w:tc>
                <w:tcPr>
                  <w:tcW w:w="1418" w:type="dxa"/>
                  <w:vAlign w:val="center"/>
                </w:tcPr>
                <w:p w14:paraId="11C08967">
                  <w:pPr>
                    <w:pStyle w:val="162"/>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bCs/>
                      <w:color w:val="auto"/>
                      <w:szCs w:val="21"/>
                      <w:lang w:bidi="ar"/>
                    </w:rPr>
                  </w:pPr>
                  <w:r>
                    <w:rPr>
                      <w:rFonts w:hint="default"/>
                      <w:color w:val="auto"/>
                      <w:sz w:val="21"/>
                      <w:szCs w:val="21"/>
                    </w:rPr>
                    <w:t>表示危险固体废物贮存、处置场所</w:t>
                  </w:r>
                </w:p>
              </w:tc>
            </w:tr>
          </w:tbl>
          <w:p w14:paraId="1A1D804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olor w:val="auto"/>
                <w:sz w:val="24"/>
              </w:rPr>
            </w:pPr>
            <w:r>
              <w:rPr>
                <w:rFonts w:hint="default" w:ascii="Times New Roman" w:hAnsi="Times New Roman" w:eastAsia="宋体"/>
                <w:color w:val="auto"/>
                <w:sz w:val="24"/>
                <w:lang w:bidi="ar"/>
              </w:rPr>
              <w:t>要求各排污口（源</w:t>
            </w:r>
            <w:r>
              <w:rPr>
                <w:rFonts w:hint="eastAsia"/>
                <w:color w:val="auto"/>
                <w:sz w:val="24"/>
                <w:lang w:eastAsia="zh-CN" w:bidi="ar"/>
              </w:rPr>
              <w:t>）</w:t>
            </w:r>
            <w:r>
              <w:rPr>
                <w:rFonts w:hint="default" w:ascii="Times New Roman" w:hAnsi="Times New Roman" w:eastAsia="宋体"/>
                <w:color w:val="auto"/>
                <w:sz w:val="24"/>
                <w:lang w:bidi="ar"/>
              </w:rPr>
              <w:t>提示标志形状采用正方形边框，背景颜色采用绿色，图形颜色采用白色，标志牌应设在与功能相应的醒目处，并保持清晰、完整。</w:t>
            </w:r>
          </w:p>
          <w:p w14:paraId="772A71A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b w:val="0"/>
                <w:bCs/>
                <w:color w:val="auto"/>
                <w:sz w:val="24"/>
                <w:lang w:bidi="ar"/>
              </w:rPr>
            </w:pPr>
            <w:r>
              <w:rPr>
                <w:rFonts w:hint="eastAsia"/>
                <w:b w:val="0"/>
                <w:bCs/>
                <w:color w:val="auto"/>
                <w:sz w:val="24"/>
                <w:lang w:eastAsia="zh-CN" w:bidi="ar"/>
              </w:rPr>
              <w:t>（</w:t>
            </w:r>
            <w:r>
              <w:rPr>
                <w:rFonts w:hint="eastAsia"/>
                <w:b w:val="0"/>
                <w:bCs/>
                <w:color w:val="auto"/>
                <w:sz w:val="24"/>
                <w:lang w:val="en-US" w:eastAsia="zh-CN" w:bidi="ar"/>
              </w:rPr>
              <w:t>2</w:t>
            </w:r>
            <w:r>
              <w:rPr>
                <w:rFonts w:hint="eastAsia"/>
                <w:b w:val="0"/>
                <w:bCs/>
                <w:color w:val="auto"/>
                <w:sz w:val="24"/>
                <w:lang w:eastAsia="zh-CN" w:bidi="ar"/>
              </w:rPr>
              <w:t>）</w:t>
            </w:r>
            <w:r>
              <w:rPr>
                <w:rFonts w:hint="default" w:ascii="Times New Roman" w:hAnsi="Times New Roman" w:eastAsia="宋体"/>
                <w:b w:val="0"/>
                <w:bCs/>
                <w:color w:val="auto"/>
                <w:sz w:val="24"/>
                <w:lang w:bidi="ar"/>
              </w:rPr>
              <w:t>排污口管理</w:t>
            </w:r>
          </w:p>
          <w:p w14:paraId="6A97E54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olor w:val="auto"/>
                <w:sz w:val="24"/>
              </w:rPr>
            </w:pPr>
            <w:r>
              <w:rPr>
                <w:rFonts w:hint="default" w:ascii="Times New Roman" w:hAnsi="Times New Roman" w:eastAsia="宋体"/>
                <w:color w:val="auto"/>
                <w:sz w:val="24"/>
              </w:rPr>
              <w:t>建设单位应在排污口设置标志牌，标志牌应注明污染物名称以警示周围群众，建设单位如实填写《中华人民共和国规范化排污口登记证》的有关内容，由环保主管部门签发登记证。建设单位应把有关排污情况及污染防治措施的运行情况建档管理，并报送环保主管部门备案。</w:t>
            </w:r>
          </w:p>
          <w:p w14:paraId="4A4FD438">
            <w:pPr>
              <w:pStyle w:val="34"/>
              <w:keepNext w:val="0"/>
              <w:keepLines w:val="0"/>
              <w:widowControl w:val="0"/>
              <w:suppressLineNumbers w:val="0"/>
              <w:autoSpaceDE w:val="0"/>
              <w:autoSpaceDN w:val="0"/>
              <w:spacing w:before="0" w:beforeAutospacing="0" w:after="0" w:afterAutospacing="0" w:line="360" w:lineRule="auto"/>
              <w:ind w:left="0" w:right="0"/>
              <w:jc w:val="both"/>
              <w:rPr>
                <w:rFonts w:hint="default" w:ascii="Times New Roman" w:hAnsi="Times New Roman" w:eastAsia="宋体"/>
                <w:b/>
                <w:color w:val="auto"/>
                <w:szCs w:val="24"/>
                <w:lang w:bidi="ar"/>
              </w:rPr>
            </w:pPr>
            <w:r>
              <w:rPr>
                <w:rFonts w:hint="eastAsia" w:ascii="Times New Roman" w:hAnsi="Times New Roman" w:eastAsia="宋体"/>
                <w:b/>
                <w:color w:val="auto"/>
                <w:szCs w:val="24"/>
                <w:lang w:val="en-US" w:eastAsia="zh-CN" w:bidi="ar"/>
              </w:rPr>
              <w:t>8</w:t>
            </w:r>
            <w:r>
              <w:rPr>
                <w:rFonts w:hint="default" w:ascii="Times New Roman" w:hAnsi="Times New Roman" w:eastAsia="宋体"/>
                <w:b/>
                <w:color w:val="auto"/>
                <w:szCs w:val="24"/>
                <w:lang w:bidi="ar"/>
              </w:rPr>
              <w:t>、排污许可证制度</w:t>
            </w:r>
          </w:p>
          <w:p w14:paraId="1B04F29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olor w:val="auto"/>
                <w:sz w:val="24"/>
              </w:rPr>
            </w:pPr>
            <w:r>
              <w:rPr>
                <w:rFonts w:hint="default" w:ascii="Times New Roman" w:hAnsi="Times New Roman" w:eastAsia="宋体"/>
                <w:color w:val="auto"/>
                <w:sz w:val="24"/>
              </w:rPr>
              <w:t>根据《排污许可管理条例》（2021.3.1</w:t>
            </w:r>
            <w:r>
              <w:rPr>
                <w:rFonts w:hint="eastAsia"/>
                <w:color w:val="auto"/>
                <w:sz w:val="24"/>
                <w:lang w:eastAsia="zh-CN"/>
              </w:rPr>
              <w:t>）</w:t>
            </w:r>
            <w:r>
              <w:rPr>
                <w:rFonts w:hint="default" w:ascii="Times New Roman" w:hAnsi="Times New Roman" w:eastAsia="宋体"/>
                <w:color w:val="auto"/>
                <w:sz w:val="24"/>
              </w:rPr>
              <w:t>，依照法律规定实行排污许可管理的企业事业单位和其他生产经营者（以下称排污单位</w:t>
            </w:r>
            <w:r>
              <w:rPr>
                <w:rFonts w:hint="eastAsia"/>
                <w:color w:val="auto"/>
                <w:sz w:val="24"/>
                <w:lang w:eastAsia="zh-CN"/>
              </w:rPr>
              <w:t>）</w:t>
            </w:r>
            <w:r>
              <w:rPr>
                <w:rFonts w:hint="default" w:ascii="Times New Roman" w:hAnsi="Times New Roman" w:eastAsia="宋体"/>
                <w:color w:val="auto"/>
                <w:sz w:val="24"/>
              </w:rPr>
              <w:t>，应当依照排污许可管理条例规定申请取得排污许可证；未取得排污许可证的，不得排放污染物。《排污许可管理办法</w:t>
            </w:r>
            <w:r>
              <w:rPr>
                <w:rFonts w:hint="eastAsia" w:ascii="Times New Roman" w:hAnsi="Times New Roman" w:eastAsia="宋体"/>
                <w:color w:val="auto"/>
                <w:sz w:val="24"/>
              </w:rPr>
              <w:t>（</w:t>
            </w:r>
            <w:r>
              <w:rPr>
                <w:rFonts w:hint="default" w:ascii="Times New Roman" w:hAnsi="Times New Roman" w:eastAsia="宋体"/>
                <w:color w:val="auto"/>
                <w:sz w:val="24"/>
              </w:rPr>
              <w:t>试行</w:t>
            </w:r>
            <w:r>
              <w:rPr>
                <w:rFonts w:hint="eastAsia"/>
                <w:color w:val="auto"/>
                <w:sz w:val="24"/>
                <w:lang w:eastAsia="zh-CN"/>
              </w:rPr>
              <w:t>）</w:t>
            </w:r>
            <w:r>
              <w:rPr>
                <w:rFonts w:hint="default" w:ascii="Times New Roman" w:hAnsi="Times New Roman" w:eastAsia="宋体"/>
                <w:color w:val="auto"/>
                <w:sz w:val="24"/>
              </w:rPr>
              <w:t>》及固定污染源排污许可分类管理名录，明确纳入排污许可管理的范围和申领时限。</w:t>
            </w:r>
          </w:p>
          <w:p w14:paraId="4C7054D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b/>
                <w:bCs/>
                <w:color w:val="auto"/>
                <w:lang w:val="en-US" w:eastAsia="zh-CN"/>
              </w:rPr>
            </w:pPr>
            <w:r>
              <w:rPr>
                <w:rFonts w:hint="default" w:ascii="Times New Roman" w:hAnsi="Times New Roman" w:eastAsia="宋体"/>
                <w:color w:val="auto"/>
                <w:sz w:val="24"/>
              </w:rPr>
              <w:t>国家根据排放污染物的企业事业单位和其他生产经营者（以下简称排污单位</w:t>
            </w:r>
            <w:r>
              <w:rPr>
                <w:rFonts w:hint="eastAsia"/>
                <w:color w:val="auto"/>
                <w:sz w:val="24"/>
                <w:lang w:eastAsia="zh-CN"/>
              </w:rPr>
              <w:t>）</w:t>
            </w:r>
            <w:r>
              <w:rPr>
                <w:rFonts w:hint="default" w:ascii="Times New Roman" w:hAnsi="Times New Roman" w:eastAsia="宋体"/>
                <w:color w:val="auto"/>
                <w:sz w:val="24"/>
              </w:rPr>
              <w:t>污染物产生量、排放量、对环境的影响程度等因素，实行排污许可重点管理、简化管理和登记管理。</w:t>
            </w:r>
            <w:r>
              <w:rPr>
                <w:rFonts w:hint="default"/>
                <w:color w:val="auto"/>
                <w:sz w:val="24"/>
              </w:rPr>
              <w:t>对照《固定污染源排污许可分类管理名录</w:t>
            </w:r>
            <w:r>
              <w:rPr>
                <w:rFonts w:hint="eastAsia"/>
                <w:color w:val="auto"/>
                <w:sz w:val="24"/>
              </w:rPr>
              <w:t>（</w:t>
            </w:r>
            <w:r>
              <w:rPr>
                <w:rFonts w:hint="default"/>
                <w:color w:val="auto"/>
                <w:sz w:val="24"/>
              </w:rPr>
              <w:t>2019年版</w:t>
            </w:r>
            <w:r>
              <w:rPr>
                <w:rFonts w:hint="eastAsia"/>
                <w:color w:val="auto"/>
                <w:sz w:val="24"/>
              </w:rPr>
              <w:t>）</w:t>
            </w:r>
            <w:r>
              <w:rPr>
                <w:rFonts w:hint="default"/>
                <w:color w:val="auto"/>
                <w:sz w:val="24"/>
              </w:rPr>
              <w:t>》，本项目为</w:t>
            </w:r>
            <w:r>
              <w:rPr>
                <w:rFonts w:hint="eastAsia"/>
                <w:color w:val="auto"/>
                <w:sz w:val="24"/>
                <w:lang w:eastAsia="zh-CN"/>
              </w:rPr>
              <w:t>“</w:t>
            </w:r>
            <w:r>
              <w:rPr>
                <w:rFonts w:hint="eastAsia"/>
                <w:color w:val="auto"/>
                <w:sz w:val="24"/>
                <w:lang w:val="en-US" w:eastAsia="zh-CN"/>
              </w:rPr>
              <w:t>五十一、通用工序</w:t>
            </w:r>
            <w:r>
              <w:rPr>
                <w:rFonts w:hint="eastAsia"/>
                <w:color w:val="auto"/>
                <w:sz w:val="24"/>
                <w:lang w:eastAsia="zh-CN"/>
              </w:rPr>
              <w:t>”</w:t>
            </w:r>
            <w:r>
              <w:rPr>
                <w:rFonts w:hint="eastAsia"/>
                <w:color w:val="auto"/>
                <w:sz w:val="24"/>
                <w:lang w:val="en-US" w:eastAsia="zh-CN"/>
              </w:rPr>
              <w:t>中“109锅炉”</w:t>
            </w:r>
            <w:r>
              <w:rPr>
                <w:rFonts w:hint="default"/>
                <w:color w:val="auto"/>
                <w:sz w:val="24"/>
              </w:rPr>
              <w:t>，</w:t>
            </w:r>
            <w:r>
              <w:rPr>
                <w:rFonts w:hint="eastAsia"/>
                <w:color w:val="auto"/>
                <w:sz w:val="24"/>
                <w:lang w:val="en-US" w:eastAsia="zh-CN"/>
              </w:rPr>
              <w:t>除纳入重点排污单位名录的，单台或者合计出力20吨/小时（14兆瓦）及以上的锅炉（不含电热锅炉）</w:t>
            </w:r>
            <w:r>
              <w:rPr>
                <w:rFonts w:hint="default"/>
                <w:color w:val="auto"/>
                <w:sz w:val="24"/>
              </w:rPr>
              <w:t>，因此本项目应实施</w:t>
            </w:r>
            <w:r>
              <w:rPr>
                <w:rFonts w:hint="eastAsia"/>
                <w:color w:val="auto"/>
                <w:sz w:val="24"/>
                <w:lang w:val="en-US" w:eastAsia="zh-CN"/>
              </w:rPr>
              <w:t>简化</w:t>
            </w:r>
            <w:r>
              <w:rPr>
                <w:rFonts w:hint="default"/>
                <w:color w:val="auto"/>
                <w:sz w:val="24"/>
              </w:rPr>
              <w:t>管理。</w:t>
            </w:r>
          </w:p>
          <w:p w14:paraId="6CB146C2">
            <w:pPr>
              <w:pStyle w:val="2"/>
              <w:keepNext w:val="0"/>
              <w:keepLines w:val="0"/>
              <w:suppressLineNumbers w:val="0"/>
              <w:adjustRightInd/>
              <w:spacing w:before="0" w:beforeAutospacing="0" w:after="0" w:afterAutospacing="0" w:line="360" w:lineRule="auto"/>
              <w:ind w:left="0" w:right="0"/>
              <w:jc w:val="both"/>
              <w:rPr>
                <w:rFonts w:hint="default"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9</w:t>
            </w:r>
            <w:r>
              <w:rPr>
                <w:rFonts w:hint="eastAsia" w:ascii="Times New Roman" w:hAnsi="Times New Roman" w:cs="Times New Roman"/>
                <w:b/>
                <w:bCs/>
                <w:color w:val="auto"/>
                <w:lang w:val="en-US" w:eastAsia="zh-CN"/>
              </w:rPr>
              <w:t>、</w:t>
            </w:r>
            <w:r>
              <w:rPr>
                <w:rFonts w:hint="eastAsia" w:ascii="Times New Roman" w:hAnsi="Times New Roman" w:eastAsia="宋体" w:cs="Times New Roman"/>
                <w:b/>
                <w:bCs/>
                <w:color w:val="auto"/>
                <w:lang w:val="en-US" w:eastAsia="zh-CN"/>
              </w:rPr>
              <w:t>环保投资</w:t>
            </w:r>
          </w:p>
          <w:p w14:paraId="7D931155">
            <w:pPr>
              <w:keepNext w:val="0"/>
              <w:keepLines w:val="0"/>
              <w:widowControl/>
              <w:suppressLineNumbers w:val="0"/>
              <w:tabs>
                <w:tab w:val="left" w:pos="2820"/>
              </w:tabs>
              <w:spacing w:before="0" w:beforeAutospacing="0" w:after="0" w:afterAutospacing="0" w:line="360" w:lineRule="auto"/>
              <w:ind w:left="0" w:right="0" w:firstLine="480" w:firstLineChars="200"/>
              <w:rPr>
                <w:rFonts w:hint="default" w:ascii="Times New Roman" w:hAnsi="Times New Roman" w:eastAsia="宋体" w:cs="Times New Roman"/>
                <w:b/>
                <w:color w:val="auto"/>
                <w:spacing w:val="8"/>
                <w:szCs w:val="21"/>
              </w:rPr>
            </w:pPr>
            <w:r>
              <w:rPr>
                <w:rFonts w:hint="default" w:ascii="Times New Roman" w:hAnsi="Times New Roman" w:eastAsia="宋体" w:cs="Times New Roman"/>
                <w:color w:val="auto"/>
                <w:sz w:val="24"/>
                <w:szCs w:val="24"/>
              </w:rPr>
              <w:t>本项目总</w:t>
            </w:r>
            <w:r>
              <w:rPr>
                <w:rFonts w:hint="default" w:ascii="Times New Roman" w:hAnsi="Times New Roman" w:eastAsia="宋体" w:cs="Times New Roman"/>
                <w:color w:val="auto"/>
                <w:kern w:val="0"/>
                <w:sz w:val="24"/>
                <w:lang w:val="en-US" w:eastAsia="zh-CN"/>
              </w:rPr>
              <w:t>投</w:t>
            </w:r>
            <w:r>
              <w:rPr>
                <w:rFonts w:hint="default" w:ascii="Times New Roman" w:hAnsi="Times New Roman" w:eastAsia="宋体" w:cs="Times New Roman"/>
                <w:color w:val="auto"/>
                <w:kern w:val="0"/>
                <w:sz w:val="24"/>
                <w:highlight w:val="none"/>
                <w:lang w:val="en-US" w:eastAsia="zh-CN"/>
              </w:rPr>
              <w:t>资</w:t>
            </w:r>
            <w:r>
              <w:rPr>
                <w:rFonts w:hint="eastAsia" w:cs="Times New Roman"/>
                <w:color w:val="auto"/>
                <w:sz w:val="24"/>
                <w:szCs w:val="24"/>
                <w:highlight w:val="none"/>
                <w:lang w:val="en-US" w:eastAsia="zh-CN"/>
              </w:rPr>
              <w:t>4000</w:t>
            </w:r>
            <w:r>
              <w:rPr>
                <w:rFonts w:hint="default" w:ascii="Times New Roman" w:hAnsi="Times New Roman" w:eastAsia="宋体" w:cs="Times New Roman"/>
                <w:color w:val="auto"/>
                <w:sz w:val="24"/>
                <w:szCs w:val="24"/>
                <w:highlight w:val="none"/>
              </w:rPr>
              <w:t>万元，其中环保投资为</w:t>
            </w:r>
            <w:r>
              <w:rPr>
                <w:rFonts w:hint="eastAsia" w:cs="Times New Roman"/>
                <w:color w:val="auto"/>
                <w:sz w:val="24"/>
                <w:szCs w:val="24"/>
                <w:highlight w:val="none"/>
                <w:lang w:val="en-US" w:eastAsia="zh-CN"/>
              </w:rPr>
              <w:t>68.5</w:t>
            </w:r>
            <w:r>
              <w:rPr>
                <w:rFonts w:hint="default" w:ascii="Times New Roman" w:hAnsi="Times New Roman" w:eastAsia="宋体" w:cs="Times New Roman"/>
                <w:color w:val="auto"/>
                <w:sz w:val="24"/>
                <w:szCs w:val="24"/>
                <w:highlight w:val="none"/>
              </w:rPr>
              <w:t>万元，占总投资的</w:t>
            </w:r>
            <w:r>
              <w:rPr>
                <w:rFonts w:hint="eastAsia" w:cs="Times New Roman"/>
                <w:color w:val="auto"/>
                <w:sz w:val="24"/>
                <w:szCs w:val="24"/>
                <w:highlight w:val="none"/>
                <w:lang w:val="en-US" w:eastAsia="zh-CN"/>
              </w:rPr>
              <w:t>1.71</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rPr>
              <w:t>本项目具体投资见表</w:t>
            </w:r>
            <w:r>
              <w:rPr>
                <w:rFonts w:hint="eastAsia" w:ascii="Times New Roman" w:hAnsi="Times New Roman" w:eastAsia="宋体" w:cs="Times New Roman"/>
                <w:color w:val="auto"/>
                <w:sz w:val="24"/>
                <w:szCs w:val="24"/>
                <w:lang w:val="en-US" w:eastAsia="zh-CN"/>
              </w:rPr>
              <w:t>4-</w:t>
            </w:r>
            <w:r>
              <w:rPr>
                <w:rFonts w:hint="eastAsia" w:cs="Times New Roman"/>
                <w:color w:val="auto"/>
                <w:sz w:val="24"/>
                <w:szCs w:val="24"/>
                <w:lang w:val="en-US" w:eastAsia="zh-CN"/>
              </w:rPr>
              <w:t>22</w:t>
            </w:r>
            <w:r>
              <w:rPr>
                <w:rFonts w:hint="default" w:ascii="Times New Roman" w:hAnsi="Times New Roman" w:eastAsia="宋体" w:cs="Times New Roman"/>
                <w:color w:val="auto"/>
                <w:sz w:val="24"/>
                <w:szCs w:val="24"/>
              </w:rPr>
              <w:t>。</w:t>
            </w:r>
          </w:p>
          <w:p w14:paraId="609D1C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
                <w:color w:val="auto"/>
                <w:spacing w:val="8"/>
                <w:szCs w:val="21"/>
              </w:rPr>
              <w:t>表</w:t>
            </w:r>
            <w:r>
              <w:rPr>
                <w:rFonts w:hint="eastAsia" w:ascii="Times New Roman" w:hAnsi="Times New Roman" w:eastAsia="宋体" w:cs="Times New Roman"/>
                <w:b/>
                <w:bCs/>
                <w:color w:val="auto"/>
                <w:szCs w:val="21"/>
                <w:lang w:val="en-US" w:eastAsia="zh-CN"/>
              </w:rPr>
              <w:t>4-</w:t>
            </w:r>
            <w:r>
              <w:rPr>
                <w:rFonts w:hint="eastAsia" w:cs="Times New Roman"/>
                <w:b/>
                <w:bCs/>
                <w:color w:val="auto"/>
                <w:szCs w:val="21"/>
                <w:lang w:val="en-US" w:eastAsia="zh-CN"/>
              </w:rPr>
              <w:t>22</w:t>
            </w:r>
            <w:r>
              <w:rPr>
                <w:rFonts w:hint="default" w:ascii="Times New Roman" w:hAnsi="Times New Roman" w:eastAsia="宋体" w:cs="Times New Roman"/>
                <w:b/>
                <w:bCs/>
                <w:color w:val="auto"/>
                <w:szCs w:val="21"/>
              </w:rPr>
              <w:t xml:space="preserve">  环境保护投资估算表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312"/>
              <w:gridCol w:w="4699"/>
              <w:gridCol w:w="595"/>
              <w:gridCol w:w="978"/>
            </w:tblGrid>
            <w:tr w14:paraId="1F80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noWrap w:val="0"/>
                  <w:vAlign w:val="center"/>
                </w:tcPr>
                <w:p w14:paraId="27B84CF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序号</w:t>
                  </w:r>
                </w:p>
              </w:tc>
              <w:tc>
                <w:tcPr>
                  <w:tcW w:w="802" w:type="pct"/>
                  <w:noWrap w:val="0"/>
                  <w:vAlign w:val="center"/>
                </w:tcPr>
                <w:p w14:paraId="06F3103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污染工序</w:t>
                  </w:r>
                </w:p>
              </w:tc>
              <w:tc>
                <w:tcPr>
                  <w:tcW w:w="2873" w:type="pct"/>
                  <w:noWrap w:val="0"/>
                  <w:vAlign w:val="center"/>
                </w:tcPr>
                <w:p w14:paraId="6483A94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防治措施</w:t>
                  </w:r>
                </w:p>
              </w:tc>
              <w:tc>
                <w:tcPr>
                  <w:tcW w:w="362" w:type="pct"/>
                  <w:noWrap w:val="0"/>
                  <w:vAlign w:val="center"/>
                </w:tcPr>
                <w:p w14:paraId="1BC653A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数量</w:t>
                  </w:r>
                </w:p>
              </w:tc>
              <w:tc>
                <w:tcPr>
                  <w:tcW w:w="598" w:type="pct"/>
                  <w:noWrap w:val="0"/>
                  <w:vAlign w:val="center"/>
                </w:tcPr>
                <w:p w14:paraId="1D101ADF">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投资</w:t>
                  </w:r>
                </w:p>
                <w:p w14:paraId="5B070ADB">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Cs w:val="21"/>
                      <w:lang w:eastAsia="zh-CN"/>
                    </w:rPr>
                  </w:pPr>
                  <w:r>
                    <w:rPr>
                      <w:rFonts w:hint="default" w:ascii="Times New Roman" w:hAnsi="Times New Roman" w:eastAsia="宋体" w:cs="Times New Roman"/>
                      <w:b/>
                      <w:bCs/>
                      <w:color w:val="auto"/>
                      <w:szCs w:val="21"/>
                    </w:rPr>
                    <w:t>（万元</w:t>
                  </w:r>
                  <w:r>
                    <w:rPr>
                      <w:rFonts w:hint="eastAsia" w:cs="Times New Roman"/>
                      <w:b/>
                      <w:bCs/>
                      <w:color w:val="auto"/>
                      <w:szCs w:val="21"/>
                      <w:lang w:eastAsia="zh-CN"/>
                    </w:rPr>
                    <w:t>）</w:t>
                  </w:r>
                </w:p>
              </w:tc>
            </w:tr>
            <w:tr w14:paraId="3250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vMerge w:val="restart"/>
                  <w:noWrap w:val="0"/>
                  <w:vAlign w:val="center"/>
                </w:tcPr>
                <w:p w14:paraId="0D0AF19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802" w:type="pct"/>
                  <w:vMerge w:val="restart"/>
                  <w:noWrap w:val="0"/>
                  <w:vAlign w:val="center"/>
                </w:tcPr>
                <w:p w14:paraId="73C0DBA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锅炉烟气</w:t>
                  </w:r>
                </w:p>
              </w:tc>
              <w:tc>
                <w:tcPr>
                  <w:tcW w:w="2873" w:type="pct"/>
                  <w:noWrap w:val="0"/>
                  <w:vAlign w:val="center"/>
                </w:tcPr>
                <w:p w14:paraId="5CB25566">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SNCR+旋风除尘+布袋除尘器（综合除尘效率99%）</w:t>
                  </w:r>
                </w:p>
              </w:tc>
              <w:tc>
                <w:tcPr>
                  <w:tcW w:w="362" w:type="pct"/>
                  <w:noWrap w:val="0"/>
                  <w:vAlign w:val="center"/>
                </w:tcPr>
                <w:p w14:paraId="5ED73D7F">
                  <w:pPr>
                    <w:keepNext w:val="0"/>
                    <w:keepLines w:val="0"/>
                    <w:suppressLineNumbers w:val="0"/>
                    <w:spacing w:before="0" w:beforeAutospacing="0" w:after="0" w:afterAutospacing="0"/>
                    <w:ind w:left="0" w:right="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1套</w:t>
                  </w:r>
                </w:p>
              </w:tc>
              <w:tc>
                <w:tcPr>
                  <w:tcW w:w="598" w:type="pct"/>
                  <w:noWrap w:val="0"/>
                  <w:vAlign w:val="center"/>
                </w:tcPr>
                <w:p w14:paraId="71A92A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30</w:t>
                  </w:r>
                </w:p>
              </w:tc>
            </w:tr>
            <w:tr w14:paraId="18E6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vMerge w:val="continue"/>
                  <w:noWrap w:val="0"/>
                  <w:vAlign w:val="center"/>
                </w:tcPr>
                <w:p w14:paraId="438EDE4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p>
              </w:tc>
              <w:tc>
                <w:tcPr>
                  <w:tcW w:w="802" w:type="pct"/>
                  <w:vMerge w:val="continue"/>
                  <w:noWrap w:val="0"/>
                  <w:vAlign w:val="center"/>
                </w:tcPr>
                <w:p w14:paraId="617FACF4">
                  <w:pPr>
                    <w:keepNext w:val="0"/>
                    <w:keepLines w:val="0"/>
                    <w:suppressLineNumbers w:val="0"/>
                    <w:spacing w:before="0" w:beforeAutospacing="0" w:after="0" w:afterAutospacing="0"/>
                    <w:ind w:left="0" w:right="0"/>
                    <w:jc w:val="center"/>
                    <w:rPr>
                      <w:rFonts w:hint="eastAsia" w:cs="Times New Roman"/>
                      <w:color w:val="auto"/>
                      <w:szCs w:val="21"/>
                      <w:lang w:val="en-US" w:eastAsia="zh-CN"/>
                    </w:rPr>
                  </w:pPr>
                </w:p>
              </w:tc>
              <w:tc>
                <w:tcPr>
                  <w:tcW w:w="2873" w:type="pct"/>
                  <w:noWrap w:val="0"/>
                  <w:vAlign w:val="center"/>
                </w:tcPr>
                <w:p w14:paraId="2DD7F42D">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不低于17m烟囱</w:t>
                  </w:r>
                </w:p>
              </w:tc>
              <w:tc>
                <w:tcPr>
                  <w:tcW w:w="362" w:type="pct"/>
                  <w:noWrap w:val="0"/>
                  <w:vAlign w:val="center"/>
                </w:tcPr>
                <w:p w14:paraId="6D5C51E5">
                  <w:pPr>
                    <w:keepNext w:val="0"/>
                    <w:keepLines w:val="0"/>
                    <w:suppressLineNumbers w:val="0"/>
                    <w:spacing w:before="0" w:beforeAutospacing="0" w:after="0" w:afterAutospacing="0"/>
                    <w:ind w:left="0" w:right="0"/>
                    <w:jc w:val="center"/>
                    <w:rPr>
                      <w:rFonts w:hint="eastAsia" w:cs="Times New Roman"/>
                      <w:color w:val="auto"/>
                      <w:szCs w:val="21"/>
                      <w:highlight w:val="none"/>
                      <w:lang w:val="en-US" w:eastAsia="zh-CN"/>
                    </w:rPr>
                  </w:pPr>
                  <w:r>
                    <w:rPr>
                      <w:rFonts w:hint="eastAsia" w:cs="Times New Roman"/>
                      <w:color w:val="auto"/>
                      <w:kern w:val="2"/>
                      <w:sz w:val="21"/>
                      <w:szCs w:val="21"/>
                      <w:highlight w:val="none"/>
                      <w:lang w:val="en-US" w:eastAsia="zh-CN" w:bidi="ar-SA"/>
                    </w:rPr>
                    <w:t>1根</w:t>
                  </w:r>
                </w:p>
              </w:tc>
              <w:tc>
                <w:tcPr>
                  <w:tcW w:w="598" w:type="pct"/>
                  <w:noWrap w:val="0"/>
                  <w:vAlign w:val="center"/>
                </w:tcPr>
                <w:p w14:paraId="580026A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w:t>
                  </w:r>
                </w:p>
              </w:tc>
            </w:tr>
            <w:tr w14:paraId="7AC4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vMerge w:val="continue"/>
                  <w:noWrap w:val="0"/>
                  <w:vAlign w:val="center"/>
                </w:tcPr>
                <w:p w14:paraId="0D24D86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p>
              </w:tc>
              <w:tc>
                <w:tcPr>
                  <w:tcW w:w="802" w:type="pct"/>
                  <w:vMerge w:val="continue"/>
                  <w:noWrap w:val="0"/>
                  <w:vAlign w:val="center"/>
                </w:tcPr>
                <w:p w14:paraId="083A25AD">
                  <w:pPr>
                    <w:keepNext w:val="0"/>
                    <w:keepLines w:val="0"/>
                    <w:suppressLineNumbers w:val="0"/>
                    <w:spacing w:before="0" w:beforeAutospacing="0" w:after="0" w:afterAutospacing="0"/>
                    <w:ind w:left="0" w:right="0"/>
                    <w:jc w:val="center"/>
                    <w:rPr>
                      <w:rFonts w:hint="eastAsia" w:cs="Times New Roman"/>
                      <w:color w:val="auto"/>
                      <w:szCs w:val="21"/>
                      <w:lang w:val="en-US" w:eastAsia="zh-CN"/>
                    </w:rPr>
                  </w:pPr>
                </w:p>
              </w:tc>
              <w:tc>
                <w:tcPr>
                  <w:tcW w:w="2873" w:type="pct"/>
                  <w:noWrap w:val="0"/>
                  <w:vAlign w:val="center"/>
                </w:tcPr>
                <w:p w14:paraId="0A9D5640">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过筛和清理工序，1台布袋除尘器</w:t>
                  </w:r>
                </w:p>
              </w:tc>
              <w:tc>
                <w:tcPr>
                  <w:tcW w:w="362" w:type="pct"/>
                  <w:noWrap w:val="0"/>
                  <w:vAlign w:val="center"/>
                </w:tcPr>
                <w:p w14:paraId="7AA63192">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1套</w:t>
                  </w:r>
                </w:p>
              </w:tc>
              <w:tc>
                <w:tcPr>
                  <w:tcW w:w="598" w:type="pct"/>
                  <w:noWrap w:val="0"/>
                  <w:vAlign w:val="center"/>
                </w:tcPr>
                <w:p w14:paraId="262E2DC6">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15</w:t>
                  </w:r>
                </w:p>
              </w:tc>
            </w:tr>
            <w:tr w14:paraId="6F06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vMerge w:val="continue"/>
                  <w:noWrap w:val="0"/>
                  <w:vAlign w:val="center"/>
                </w:tcPr>
                <w:p w14:paraId="090962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p>
              </w:tc>
              <w:tc>
                <w:tcPr>
                  <w:tcW w:w="802" w:type="pct"/>
                  <w:vMerge w:val="continue"/>
                  <w:noWrap w:val="0"/>
                  <w:vAlign w:val="center"/>
                </w:tcPr>
                <w:p w14:paraId="5A4C2DE1">
                  <w:pPr>
                    <w:keepNext w:val="0"/>
                    <w:keepLines w:val="0"/>
                    <w:suppressLineNumbers w:val="0"/>
                    <w:spacing w:before="0" w:beforeAutospacing="0" w:after="0" w:afterAutospacing="0"/>
                    <w:ind w:left="0" w:right="0"/>
                    <w:jc w:val="center"/>
                    <w:rPr>
                      <w:rFonts w:hint="eastAsia" w:cs="Times New Roman"/>
                      <w:color w:val="auto"/>
                      <w:szCs w:val="21"/>
                      <w:lang w:val="en-US" w:eastAsia="zh-CN"/>
                    </w:rPr>
                  </w:pPr>
                </w:p>
              </w:tc>
              <w:tc>
                <w:tcPr>
                  <w:tcW w:w="2873" w:type="pct"/>
                  <w:noWrap w:val="0"/>
                  <w:vAlign w:val="center"/>
                </w:tcPr>
                <w:p w14:paraId="07BA2CB7">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烘干塔设置防尘罩</w:t>
                  </w:r>
                </w:p>
              </w:tc>
              <w:tc>
                <w:tcPr>
                  <w:tcW w:w="362" w:type="pct"/>
                  <w:noWrap w:val="0"/>
                  <w:vAlign w:val="center"/>
                </w:tcPr>
                <w:p w14:paraId="50A5D235">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1套</w:t>
                  </w:r>
                </w:p>
              </w:tc>
              <w:tc>
                <w:tcPr>
                  <w:tcW w:w="598" w:type="pct"/>
                  <w:noWrap w:val="0"/>
                  <w:vAlign w:val="center"/>
                </w:tcPr>
                <w:p w14:paraId="52011EC2">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w:t>
                  </w:r>
                </w:p>
              </w:tc>
            </w:tr>
            <w:tr w14:paraId="3A65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vMerge w:val="continue"/>
                  <w:noWrap w:val="0"/>
                  <w:vAlign w:val="center"/>
                </w:tcPr>
                <w:p w14:paraId="5C8D9BE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p>
              </w:tc>
              <w:tc>
                <w:tcPr>
                  <w:tcW w:w="802" w:type="pct"/>
                  <w:vMerge w:val="continue"/>
                  <w:noWrap w:val="0"/>
                  <w:vAlign w:val="center"/>
                </w:tcPr>
                <w:p w14:paraId="27333B99">
                  <w:pPr>
                    <w:keepNext w:val="0"/>
                    <w:keepLines w:val="0"/>
                    <w:suppressLineNumbers w:val="0"/>
                    <w:spacing w:before="0" w:beforeAutospacing="0" w:after="0" w:afterAutospacing="0"/>
                    <w:ind w:left="0" w:right="0"/>
                    <w:jc w:val="center"/>
                    <w:rPr>
                      <w:rFonts w:hint="eastAsia" w:cs="Times New Roman"/>
                      <w:color w:val="auto"/>
                      <w:szCs w:val="21"/>
                      <w:lang w:val="en-US" w:eastAsia="zh-CN"/>
                    </w:rPr>
                  </w:pPr>
                </w:p>
              </w:tc>
              <w:tc>
                <w:tcPr>
                  <w:tcW w:w="2873" w:type="pct"/>
                  <w:noWrap w:val="0"/>
                  <w:vAlign w:val="center"/>
                </w:tcPr>
                <w:p w14:paraId="01C5FC34">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采样平台</w:t>
                  </w:r>
                </w:p>
              </w:tc>
              <w:tc>
                <w:tcPr>
                  <w:tcW w:w="362" w:type="pct"/>
                  <w:noWrap w:val="0"/>
                  <w:vAlign w:val="center"/>
                </w:tcPr>
                <w:p w14:paraId="4FF03CF6">
                  <w:pPr>
                    <w:keepNext w:val="0"/>
                    <w:keepLines w:val="0"/>
                    <w:suppressLineNumbers w:val="0"/>
                    <w:spacing w:before="0" w:beforeAutospacing="0" w:after="0" w:afterAutospacing="0"/>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1个</w:t>
                  </w:r>
                </w:p>
              </w:tc>
              <w:tc>
                <w:tcPr>
                  <w:tcW w:w="598" w:type="pct"/>
                  <w:noWrap w:val="0"/>
                  <w:vAlign w:val="center"/>
                </w:tcPr>
                <w:p w14:paraId="3999C997">
                  <w:pPr>
                    <w:keepNext w:val="0"/>
                    <w:keepLines w:val="0"/>
                    <w:suppressLineNumbers w:val="0"/>
                    <w:spacing w:before="0" w:beforeAutospacing="0" w:after="0" w:afterAutospacing="0"/>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1.5</w:t>
                  </w:r>
                </w:p>
              </w:tc>
            </w:tr>
            <w:tr w14:paraId="23CD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noWrap w:val="0"/>
                  <w:vAlign w:val="center"/>
                </w:tcPr>
                <w:p w14:paraId="367A24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2</w:t>
                  </w:r>
                </w:p>
              </w:tc>
              <w:tc>
                <w:tcPr>
                  <w:tcW w:w="802" w:type="pct"/>
                  <w:noWrap w:val="0"/>
                  <w:vAlign w:val="center"/>
                </w:tcPr>
                <w:p w14:paraId="1219A0F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生活污水</w:t>
                  </w:r>
                </w:p>
              </w:tc>
              <w:tc>
                <w:tcPr>
                  <w:tcW w:w="2873" w:type="pct"/>
                  <w:noWrap w:val="0"/>
                  <w:vAlign w:val="center"/>
                </w:tcPr>
                <w:p w14:paraId="7B2799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化粪池（50m</w:t>
                  </w:r>
                  <w:r>
                    <w:rPr>
                      <w:rFonts w:hint="eastAsia" w:cs="Times New Roman"/>
                      <w:color w:val="auto"/>
                      <w:kern w:val="2"/>
                      <w:sz w:val="21"/>
                      <w:szCs w:val="21"/>
                      <w:vertAlign w:val="superscript"/>
                      <w:lang w:val="en-US" w:eastAsia="zh-CN" w:bidi="ar-SA"/>
                    </w:rPr>
                    <w:t>3</w:t>
                  </w:r>
                  <w:r>
                    <w:rPr>
                      <w:rFonts w:hint="eastAsia" w:cs="Times New Roman"/>
                      <w:color w:val="auto"/>
                      <w:kern w:val="2"/>
                      <w:sz w:val="21"/>
                      <w:szCs w:val="21"/>
                      <w:lang w:val="en-US" w:eastAsia="zh-CN" w:bidi="ar-SA"/>
                    </w:rPr>
                    <w:t>）</w:t>
                  </w:r>
                </w:p>
              </w:tc>
              <w:tc>
                <w:tcPr>
                  <w:tcW w:w="362" w:type="pct"/>
                  <w:noWrap w:val="0"/>
                  <w:vAlign w:val="center"/>
                </w:tcPr>
                <w:p w14:paraId="7D5DCC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1套</w:t>
                  </w:r>
                </w:p>
              </w:tc>
              <w:tc>
                <w:tcPr>
                  <w:tcW w:w="598" w:type="pct"/>
                  <w:noWrap w:val="0"/>
                  <w:vAlign w:val="center"/>
                </w:tcPr>
                <w:p w14:paraId="1EA3036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r>
            <w:tr w14:paraId="7521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noWrap w:val="0"/>
                  <w:vAlign w:val="center"/>
                </w:tcPr>
                <w:p w14:paraId="37E1DFC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w:t>
                  </w:r>
                </w:p>
              </w:tc>
              <w:tc>
                <w:tcPr>
                  <w:tcW w:w="802" w:type="pct"/>
                  <w:noWrap w:val="0"/>
                  <w:vAlign w:val="center"/>
                </w:tcPr>
                <w:p w14:paraId="73CA188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设备噪声</w:t>
                  </w:r>
                </w:p>
              </w:tc>
              <w:tc>
                <w:tcPr>
                  <w:tcW w:w="2873" w:type="pct"/>
                  <w:noWrap w:val="0"/>
                  <w:vAlign w:val="center"/>
                </w:tcPr>
                <w:p w14:paraId="0294212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基础减震、隔声、消音</w:t>
                  </w:r>
                </w:p>
              </w:tc>
              <w:tc>
                <w:tcPr>
                  <w:tcW w:w="362" w:type="pct"/>
                  <w:noWrap w:val="0"/>
                  <w:vAlign w:val="center"/>
                </w:tcPr>
                <w:p w14:paraId="7227A4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2套</w:t>
                  </w:r>
                </w:p>
              </w:tc>
              <w:tc>
                <w:tcPr>
                  <w:tcW w:w="598" w:type="pct"/>
                  <w:noWrap w:val="0"/>
                  <w:vAlign w:val="center"/>
                </w:tcPr>
                <w:p w14:paraId="7151A76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r>
            <w:tr w14:paraId="1BD8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noWrap w:val="0"/>
                  <w:vAlign w:val="center"/>
                </w:tcPr>
                <w:p w14:paraId="763022E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w:t>
                  </w:r>
                </w:p>
              </w:tc>
              <w:tc>
                <w:tcPr>
                  <w:tcW w:w="802" w:type="pct"/>
                  <w:noWrap w:val="0"/>
                  <w:vAlign w:val="center"/>
                </w:tcPr>
                <w:p w14:paraId="7D2453C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一般固体废物</w:t>
                  </w:r>
                </w:p>
              </w:tc>
              <w:tc>
                <w:tcPr>
                  <w:tcW w:w="2873" w:type="pct"/>
                  <w:noWrap w:val="0"/>
                  <w:vAlign w:val="center"/>
                </w:tcPr>
                <w:p w14:paraId="6EEA91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一般固废暂存间（20m</w:t>
                  </w:r>
                  <w:r>
                    <w:rPr>
                      <w:rFonts w:hint="eastAsia" w:cs="Times New Roman"/>
                      <w:color w:val="auto"/>
                      <w:kern w:val="2"/>
                      <w:sz w:val="21"/>
                      <w:szCs w:val="21"/>
                      <w:vertAlign w:val="superscript"/>
                      <w:lang w:val="en-US" w:eastAsia="zh-CN" w:bidi="ar-SA"/>
                    </w:rPr>
                    <w:t>2</w:t>
                  </w:r>
                  <w:r>
                    <w:rPr>
                      <w:rFonts w:hint="eastAsia" w:cs="Times New Roman"/>
                      <w:color w:val="auto"/>
                      <w:kern w:val="2"/>
                      <w:sz w:val="21"/>
                      <w:szCs w:val="21"/>
                      <w:lang w:val="en-US" w:eastAsia="zh-CN" w:bidi="ar-SA"/>
                    </w:rPr>
                    <w:t>）</w:t>
                  </w:r>
                </w:p>
              </w:tc>
              <w:tc>
                <w:tcPr>
                  <w:tcW w:w="362" w:type="pct"/>
                  <w:noWrap w:val="0"/>
                  <w:vAlign w:val="center"/>
                </w:tcPr>
                <w:p w14:paraId="5CA7B4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598" w:type="pct"/>
                  <w:noWrap w:val="0"/>
                  <w:vAlign w:val="center"/>
                </w:tcPr>
                <w:p w14:paraId="150259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r>
            <w:tr w14:paraId="58B8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noWrap w:val="0"/>
                  <w:vAlign w:val="center"/>
                </w:tcPr>
                <w:p w14:paraId="73CA6C9C">
                  <w:pPr>
                    <w:keepNext w:val="0"/>
                    <w:keepLines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5</w:t>
                  </w:r>
                </w:p>
              </w:tc>
              <w:tc>
                <w:tcPr>
                  <w:tcW w:w="802" w:type="pct"/>
                  <w:noWrap w:val="0"/>
                  <w:vAlign w:val="center"/>
                </w:tcPr>
                <w:p w14:paraId="5DC16EFE">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危险废物</w:t>
                  </w:r>
                </w:p>
              </w:tc>
              <w:tc>
                <w:tcPr>
                  <w:tcW w:w="2873" w:type="pct"/>
                  <w:noWrap w:val="0"/>
                  <w:vAlign w:val="center"/>
                </w:tcPr>
                <w:p w14:paraId="714EBFA4">
                  <w:pPr>
                    <w:keepNext w:val="0"/>
                    <w:keepLines w:val="0"/>
                    <w:suppressLineNumbers w:val="0"/>
                    <w:spacing w:before="0" w:beforeAutospacing="0" w:after="0" w:afterAutospacing="0"/>
                    <w:ind w:left="0" w:right="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危废库（10m</w:t>
                  </w:r>
                  <w:r>
                    <w:rPr>
                      <w:rFonts w:hint="eastAsia" w:cs="Times New Roman"/>
                      <w:color w:val="auto"/>
                      <w:kern w:val="2"/>
                      <w:sz w:val="21"/>
                      <w:szCs w:val="21"/>
                      <w:vertAlign w:val="superscript"/>
                      <w:lang w:val="en-US" w:eastAsia="zh-CN" w:bidi="ar-SA"/>
                    </w:rPr>
                    <w:t>2</w:t>
                  </w:r>
                  <w:r>
                    <w:rPr>
                      <w:rFonts w:hint="eastAsia" w:cs="Times New Roman"/>
                      <w:color w:val="auto"/>
                      <w:kern w:val="2"/>
                      <w:sz w:val="21"/>
                      <w:szCs w:val="21"/>
                      <w:lang w:val="en-US" w:eastAsia="zh-CN" w:bidi="ar-SA"/>
                    </w:rPr>
                    <w:t>）、危废处置</w:t>
                  </w:r>
                </w:p>
              </w:tc>
              <w:tc>
                <w:tcPr>
                  <w:tcW w:w="362" w:type="pct"/>
                  <w:shd w:val="clear" w:color="auto" w:fill="auto"/>
                  <w:noWrap w:val="0"/>
                  <w:vAlign w:val="center"/>
                </w:tcPr>
                <w:p w14:paraId="6251936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598" w:type="pct"/>
                  <w:shd w:val="clear" w:color="auto" w:fill="auto"/>
                  <w:noWrap w:val="0"/>
                  <w:vAlign w:val="center"/>
                </w:tcPr>
                <w:p w14:paraId="4678E0F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r>
            <w:tr w14:paraId="2125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2" w:type="pct"/>
                  <w:noWrap w:val="0"/>
                  <w:vAlign w:val="center"/>
                </w:tcPr>
                <w:p w14:paraId="1B43866D">
                  <w:pPr>
                    <w:keepNext w:val="0"/>
                    <w:keepLines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6</w:t>
                  </w:r>
                </w:p>
              </w:tc>
              <w:tc>
                <w:tcPr>
                  <w:tcW w:w="1312" w:type="dxa"/>
                  <w:noWrap w:val="0"/>
                  <w:vAlign w:val="center"/>
                </w:tcPr>
                <w:p w14:paraId="27FA7F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s="Times New Roman"/>
                      <w:color w:val="auto"/>
                      <w:kern w:val="2"/>
                      <w:sz w:val="21"/>
                      <w:szCs w:val="21"/>
                      <w:lang w:val="en-US" w:eastAsia="zh-CN" w:bidi="ar-SA"/>
                    </w:rPr>
                  </w:pPr>
                  <w:r>
                    <w:rPr>
                      <w:rFonts w:hint="default" w:ascii="Times New Roman" w:hAnsi="Times New Roman" w:cs="Times New Roman"/>
                      <w:color w:val="auto"/>
                      <w:highlight w:val="none"/>
                    </w:rPr>
                    <w:t>环境风险防范措施</w:t>
                  </w:r>
                </w:p>
              </w:tc>
              <w:tc>
                <w:tcPr>
                  <w:tcW w:w="4699" w:type="dxa"/>
                  <w:noWrap w:val="0"/>
                  <w:vAlign w:val="center"/>
                </w:tcPr>
                <w:p w14:paraId="751B22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s="Times New Roman"/>
                      <w:color w:val="auto"/>
                      <w:kern w:val="2"/>
                      <w:sz w:val="21"/>
                      <w:szCs w:val="21"/>
                      <w:lang w:val="en-US" w:eastAsia="zh-CN" w:bidi="ar-SA"/>
                    </w:rPr>
                  </w:pPr>
                  <w:r>
                    <w:rPr>
                      <w:rFonts w:hint="default" w:ascii="Times New Roman" w:hAnsi="Times New Roman" w:cs="Times New Roman"/>
                      <w:color w:val="auto"/>
                      <w:highlight w:val="none"/>
                    </w:rPr>
                    <w:t>灭火器、报警器</w:t>
                  </w:r>
                  <w:r>
                    <w:rPr>
                      <w:rFonts w:hint="eastAsia" w:cs="Times New Roman"/>
                      <w:color w:val="auto"/>
                      <w:highlight w:val="none"/>
                      <w:lang w:eastAsia="zh-CN"/>
                    </w:rPr>
                    <w:t>；</w:t>
                  </w:r>
                  <w:r>
                    <w:rPr>
                      <w:rFonts w:hint="default" w:ascii="Times New Roman" w:hAnsi="Times New Roman" w:cs="Times New Roman"/>
                      <w:color w:val="auto"/>
                      <w:highlight w:val="none"/>
                      <w:lang w:val="en-US" w:eastAsia="zh-CN"/>
                    </w:rPr>
                    <w:t>危废</w:t>
                  </w:r>
                  <w:r>
                    <w:rPr>
                      <w:rFonts w:hint="eastAsia" w:cs="Times New Roman"/>
                      <w:color w:val="auto"/>
                      <w:highlight w:val="none"/>
                      <w:lang w:val="en-US" w:eastAsia="zh-CN"/>
                    </w:rPr>
                    <w:t>库</w:t>
                  </w:r>
                  <w:r>
                    <w:rPr>
                      <w:rFonts w:hint="default" w:ascii="Times New Roman" w:hAnsi="Times New Roman" w:cs="Times New Roman"/>
                      <w:color w:val="auto"/>
                      <w:highlight w:val="none"/>
                      <w:lang w:val="en-US" w:eastAsia="zh-CN"/>
                    </w:rPr>
                    <w:t>实施重点防渗，厂区其他区域简单防渗</w:t>
                  </w:r>
                </w:p>
              </w:tc>
              <w:tc>
                <w:tcPr>
                  <w:tcW w:w="362" w:type="pct"/>
                  <w:shd w:val="clear" w:color="auto" w:fill="auto"/>
                  <w:noWrap w:val="0"/>
                  <w:vAlign w:val="center"/>
                </w:tcPr>
                <w:p w14:paraId="71592A22">
                  <w:pPr>
                    <w:keepNext w:val="0"/>
                    <w:keepLines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598" w:type="pct"/>
                  <w:shd w:val="clear" w:color="auto" w:fill="auto"/>
                  <w:noWrap w:val="0"/>
                  <w:vAlign w:val="center"/>
                </w:tcPr>
                <w:p w14:paraId="4BEFF1FF">
                  <w:pPr>
                    <w:keepNext w:val="0"/>
                    <w:keepLines w:val="0"/>
                    <w:suppressLineNumbers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r>
            <w:tr w14:paraId="28EE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01" w:type="pct"/>
                  <w:gridSpan w:val="4"/>
                  <w:noWrap w:val="0"/>
                  <w:vAlign w:val="center"/>
                </w:tcPr>
                <w:p w14:paraId="0E3C75E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合计</w:t>
                  </w:r>
                </w:p>
              </w:tc>
              <w:tc>
                <w:tcPr>
                  <w:tcW w:w="598" w:type="pct"/>
                  <w:noWrap w:val="0"/>
                  <w:vAlign w:val="center"/>
                </w:tcPr>
                <w:p w14:paraId="060BEBC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68.5</w:t>
                  </w:r>
                </w:p>
              </w:tc>
            </w:tr>
          </w:tbl>
          <w:p w14:paraId="2676C424">
            <w:pPr>
              <w:keepNext w:val="0"/>
              <w:keepLines w:val="0"/>
              <w:numPr>
                <w:ilvl w:val="0"/>
                <w:numId w:val="0"/>
              </w:numPr>
              <w:suppressLineNumbers w:val="0"/>
              <w:spacing w:before="0" w:beforeAutospacing="0" w:after="0" w:afterAutospacing="0" w:line="360" w:lineRule="auto"/>
              <w:ind w:left="0" w:right="0" w:rightChars="0"/>
              <w:rPr>
                <w:rFonts w:hint="default" w:ascii="Times New Roman" w:hAnsi="Times New Roman" w:eastAsia="宋体"/>
                <w:b/>
                <w:color w:val="auto"/>
                <w:sz w:val="24"/>
                <w:lang w:bidi="ar"/>
              </w:rPr>
            </w:pPr>
            <w:r>
              <w:rPr>
                <w:rFonts w:hint="eastAsia" w:cs="Times New Roman"/>
                <w:b/>
                <w:color w:val="auto"/>
                <w:kern w:val="2"/>
                <w:sz w:val="24"/>
                <w:szCs w:val="24"/>
                <w:lang w:val="en-US" w:eastAsia="zh-CN" w:bidi="ar"/>
              </w:rPr>
              <w:t>10、</w:t>
            </w:r>
            <w:r>
              <w:rPr>
                <w:rFonts w:hint="default" w:ascii="Times New Roman" w:hAnsi="Times New Roman" w:eastAsia="宋体"/>
                <w:b/>
                <w:color w:val="auto"/>
                <w:sz w:val="24"/>
                <w:lang w:bidi="ar"/>
              </w:rPr>
              <w:t>环保</w:t>
            </w:r>
            <w:r>
              <w:rPr>
                <w:rFonts w:hint="eastAsia"/>
                <w:b/>
                <w:color w:val="auto"/>
                <w:sz w:val="24"/>
                <w:lang w:eastAsia="zh-CN" w:bidi="ar"/>
              </w:rPr>
              <w:t>“</w:t>
            </w:r>
            <w:r>
              <w:rPr>
                <w:rFonts w:hint="default" w:ascii="Times New Roman" w:hAnsi="Times New Roman" w:eastAsia="宋体"/>
                <w:b/>
                <w:color w:val="auto"/>
                <w:sz w:val="24"/>
                <w:lang w:bidi="ar"/>
              </w:rPr>
              <w:t>三同时</w:t>
            </w:r>
            <w:r>
              <w:rPr>
                <w:rFonts w:hint="eastAsia"/>
                <w:b/>
                <w:color w:val="auto"/>
                <w:sz w:val="24"/>
                <w:lang w:eastAsia="zh-CN" w:bidi="ar"/>
              </w:rPr>
              <w:t>”</w:t>
            </w:r>
            <w:r>
              <w:rPr>
                <w:rFonts w:hint="default" w:ascii="Times New Roman" w:hAnsi="Times New Roman" w:eastAsia="宋体"/>
                <w:b/>
                <w:color w:val="auto"/>
                <w:sz w:val="24"/>
                <w:lang w:bidi="ar"/>
              </w:rPr>
              <w:t>竣工验收</w:t>
            </w:r>
          </w:p>
          <w:p w14:paraId="5963C99E">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b/>
                <w:color w:val="auto"/>
                <w:szCs w:val="21"/>
              </w:rPr>
            </w:pPr>
            <w:r>
              <w:rPr>
                <w:rFonts w:hint="default" w:ascii="Times New Roman" w:hAnsi="Times New Roman" w:cs="Times New Roman"/>
                <w:color w:val="auto"/>
                <w:sz w:val="24"/>
                <w:highlight w:val="none"/>
              </w:rPr>
              <w:t>本项目建成后，建设单位作为建设项目竣工环境保护验收的责任主体，应当按照《建设项目竣工环境保护验收暂行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r>
              <w:rPr>
                <w:rStyle w:val="45"/>
                <w:rFonts w:hint="default" w:ascii="Times New Roman" w:hAnsi="Times New Roman" w:cs="Times New Roman"/>
                <w:color w:val="auto"/>
                <w:highlight w:val="none"/>
              </w:rPr>
              <w:t>，</w:t>
            </w:r>
            <w:r>
              <w:rPr>
                <w:rFonts w:hint="default" w:ascii="Times New Roman" w:hAnsi="Times New Roman" w:cs="Times New Roman"/>
                <w:color w:val="auto"/>
                <w:sz w:val="24"/>
                <w:highlight w:val="none"/>
              </w:rPr>
              <w:t>其环境保护设施验收具体内容见</w:t>
            </w:r>
            <w:r>
              <w:rPr>
                <w:rFonts w:hint="default" w:ascii="Times New Roman" w:hAnsi="Times New Roman" w:eastAsia="宋体"/>
                <w:color w:val="auto"/>
                <w:sz w:val="24"/>
              </w:rPr>
              <w:t>表</w:t>
            </w:r>
            <w:r>
              <w:rPr>
                <w:rFonts w:hint="eastAsia" w:ascii="Times New Roman" w:hAnsi="Times New Roman" w:eastAsia="宋体"/>
                <w:color w:val="auto"/>
                <w:sz w:val="24"/>
              </w:rPr>
              <w:t>4-</w:t>
            </w:r>
            <w:r>
              <w:rPr>
                <w:rFonts w:hint="eastAsia"/>
                <w:color w:val="auto"/>
                <w:sz w:val="24"/>
                <w:lang w:val="en-US" w:eastAsia="zh-CN"/>
              </w:rPr>
              <w:t>23</w:t>
            </w:r>
            <w:r>
              <w:rPr>
                <w:rFonts w:hint="default" w:ascii="Times New Roman" w:hAnsi="Times New Roman" w:eastAsia="宋体"/>
                <w:color w:val="auto"/>
                <w:sz w:val="24"/>
              </w:rPr>
              <w:t>。</w:t>
            </w:r>
          </w:p>
          <w:p w14:paraId="2BECD416">
            <w:pPr>
              <w:keepNext w:val="0"/>
              <w:keepLines w:val="0"/>
              <w:suppressLineNumbers w:val="0"/>
              <w:spacing w:before="0" w:beforeAutospacing="0" w:after="0" w:afterAutospacing="0"/>
              <w:ind w:left="0" w:right="0"/>
              <w:jc w:val="center"/>
              <w:rPr>
                <w:rFonts w:hint="default" w:ascii="Times New Roman" w:hAnsi="Times New Roman" w:eastAsia="宋体"/>
                <w:b/>
                <w:color w:val="auto"/>
                <w:szCs w:val="21"/>
              </w:rPr>
            </w:pPr>
            <w:r>
              <w:rPr>
                <w:rFonts w:hint="default" w:ascii="Times New Roman" w:hAnsi="Times New Roman" w:eastAsia="宋体"/>
                <w:b/>
                <w:color w:val="auto"/>
                <w:szCs w:val="21"/>
              </w:rPr>
              <w:t>表</w:t>
            </w:r>
            <w:r>
              <w:rPr>
                <w:rFonts w:hint="eastAsia" w:ascii="Times New Roman" w:hAnsi="Times New Roman" w:eastAsia="宋体"/>
                <w:b/>
                <w:color w:val="auto"/>
                <w:szCs w:val="21"/>
              </w:rPr>
              <w:t>4-</w:t>
            </w:r>
            <w:r>
              <w:rPr>
                <w:rFonts w:hint="eastAsia"/>
                <w:b/>
                <w:color w:val="auto"/>
                <w:szCs w:val="21"/>
                <w:lang w:val="en-US" w:eastAsia="zh-CN"/>
              </w:rPr>
              <w:t>23</w:t>
            </w:r>
            <w:r>
              <w:rPr>
                <w:rFonts w:hint="default" w:ascii="Times New Roman" w:hAnsi="Times New Roman" w:eastAsia="宋体"/>
                <w:b/>
                <w:color w:val="auto"/>
                <w:szCs w:val="21"/>
              </w:rPr>
              <w:t xml:space="preserve">  环保</w:t>
            </w:r>
            <w:r>
              <w:rPr>
                <w:rFonts w:hint="eastAsia"/>
                <w:b/>
                <w:color w:val="auto"/>
                <w:szCs w:val="21"/>
                <w:lang w:eastAsia="zh-CN"/>
              </w:rPr>
              <w:t>“</w:t>
            </w:r>
            <w:r>
              <w:rPr>
                <w:rFonts w:hint="default" w:ascii="Times New Roman" w:hAnsi="Times New Roman" w:eastAsia="宋体"/>
                <w:b/>
                <w:color w:val="auto"/>
                <w:szCs w:val="21"/>
              </w:rPr>
              <w:t>三同时</w:t>
            </w:r>
            <w:r>
              <w:rPr>
                <w:rFonts w:hint="eastAsia"/>
                <w:b/>
                <w:color w:val="auto"/>
                <w:szCs w:val="21"/>
                <w:lang w:eastAsia="zh-CN"/>
              </w:rPr>
              <w:t>”</w:t>
            </w:r>
            <w:r>
              <w:rPr>
                <w:rFonts w:hint="default" w:ascii="Times New Roman" w:hAnsi="Times New Roman" w:eastAsia="宋体"/>
                <w:b/>
                <w:color w:val="auto"/>
                <w:szCs w:val="21"/>
              </w:rPr>
              <w:t>竣工验收一览表</w:t>
            </w:r>
          </w:p>
          <w:tbl>
            <w:tblPr>
              <w:tblStyle w:val="3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1"/>
              <w:gridCol w:w="863"/>
              <w:gridCol w:w="1815"/>
              <w:gridCol w:w="2201"/>
              <w:gridCol w:w="2843"/>
            </w:tblGrid>
            <w:tr w14:paraId="1B5E5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tcBorders>
                    <w:tl2br w:val="nil"/>
                    <w:tr2bl w:val="nil"/>
                  </w:tcBorders>
                  <w:vAlign w:val="center"/>
                </w:tcPr>
                <w:p w14:paraId="27FD6931">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阶段</w:t>
                  </w:r>
                </w:p>
              </w:tc>
              <w:tc>
                <w:tcPr>
                  <w:tcW w:w="527" w:type="pct"/>
                  <w:tcBorders>
                    <w:tl2br w:val="nil"/>
                    <w:tr2bl w:val="nil"/>
                  </w:tcBorders>
                  <w:vAlign w:val="center"/>
                </w:tcPr>
                <w:p w14:paraId="4CFE1A0C">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类别</w:t>
                  </w:r>
                </w:p>
              </w:tc>
              <w:tc>
                <w:tcPr>
                  <w:tcW w:w="1110" w:type="pct"/>
                  <w:tcBorders>
                    <w:tl2br w:val="nil"/>
                    <w:tr2bl w:val="nil"/>
                  </w:tcBorders>
                  <w:vAlign w:val="center"/>
                </w:tcPr>
                <w:p w14:paraId="675978F6">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项目名称</w:t>
                  </w:r>
                </w:p>
              </w:tc>
              <w:tc>
                <w:tcPr>
                  <w:tcW w:w="1346" w:type="pct"/>
                  <w:tcBorders>
                    <w:tl2br w:val="nil"/>
                    <w:tr2bl w:val="nil"/>
                  </w:tcBorders>
                  <w:vAlign w:val="center"/>
                </w:tcPr>
                <w:p w14:paraId="5CFB8B65">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环保措施</w:t>
                  </w:r>
                </w:p>
              </w:tc>
              <w:tc>
                <w:tcPr>
                  <w:tcW w:w="1739" w:type="pct"/>
                  <w:tcBorders>
                    <w:tl2br w:val="nil"/>
                    <w:tr2bl w:val="nil"/>
                  </w:tcBorders>
                  <w:vAlign w:val="center"/>
                </w:tcPr>
                <w:p w14:paraId="0D1D5FC9">
                  <w:pPr>
                    <w:keepNext w:val="0"/>
                    <w:keepLines w:val="0"/>
                    <w:suppressLineNumbers w:val="0"/>
                    <w:spacing w:before="0" w:beforeAutospacing="0" w:after="0" w:afterAutospacing="0"/>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效果及要求</w:t>
                  </w:r>
                </w:p>
              </w:tc>
            </w:tr>
            <w:tr w14:paraId="038C2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restart"/>
                  <w:tcBorders>
                    <w:tl2br w:val="nil"/>
                    <w:tr2bl w:val="nil"/>
                  </w:tcBorders>
                  <w:vAlign w:val="center"/>
                </w:tcPr>
                <w:p w14:paraId="375C3E93">
                  <w:pPr>
                    <w:keepNext w:val="0"/>
                    <w:keepLines w:val="0"/>
                    <w:suppressLineNumbers w:val="0"/>
                    <w:tabs>
                      <w:tab w:val="left" w:pos="360"/>
                    </w:tabs>
                    <w:spacing w:before="0" w:beforeAutospacing="0" w:after="0" w:afterAutospacing="0"/>
                    <w:ind w:left="0" w:right="0"/>
                    <w:jc w:val="center"/>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运营期</w:t>
                  </w:r>
                </w:p>
              </w:tc>
              <w:tc>
                <w:tcPr>
                  <w:tcW w:w="527" w:type="pct"/>
                  <w:tcBorders>
                    <w:tl2br w:val="nil"/>
                    <w:tr2bl w:val="nil"/>
                  </w:tcBorders>
                  <w:vAlign w:val="center"/>
                </w:tcPr>
                <w:p w14:paraId="3F72E15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olor w:val="auto"/>
                      <w:sz w:val="21"/>
                      <w:szCs w:val="21"/>
                      <w:lang w:bidi="ar"/>
                    </w:rPr>
                  </w:pPr>
                  <w:r>
                    <w:rPr>
                      <w:rFonts w:hint="eastAsia" w:cs="Times New Roman"/>
                      <w:color w:val="auto"/>
                      <w:sz w:val="21"/>
                      <w:szCs w:val="21"/>
                      <w:lang w:val="en-US" w:eastAsia="zh-CN"/>
                    </w:rPr>
                    <w:t>生物质热风炉排放口</w:t>
                  </w:r>
                  <w:r>
                    <w:rPr>
                      <w:rFonts w:hint="eastAsia" w:ascii="Times New Roman" w:hAnsi="Times New Roman" w:eastAsia="宋体" w:cs="Times New Roman"/>
                      <w:color w:val="auto"/>
                      <w:sz w:val="21"/>
                      <w:szCs w:val="21"/>
                      <w:lang w:val="en-US" w:eastAsia="zh-CN"/>
                    </w:rPr>
                    <w:t>（DA001）</w:t>
                  </w:r>
                </w:p>
              </w:tc>
              <w:tc>
                <w:tcPr>
                  <w:tcW w:w="1110" w:type="pct"/>
                  <w:tcBorders>
                    <w:tl2br w:val="nil"/>
                    <w:tr2bl w:val="nil"/>
                  </w:tcBorders>
                  <w:vAlign w:val="center"/>
                </w:tcPr>
                <w:p w14:paraId="425ABBE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olor w:val="auto"/>
                      <w:sz w:val="21"/>
                      <w:szCs w:val="21"/>
                      <w:vertAlign w:val="baseline"/>
                      <w:lang w:val="en-US" w:bidi="ar"/>
                    </w:rPr>
                  </w:pPr>
                  <w:r>
                    <w:rPr>
                      <w:rFonts w:hint="eastAsia" w:ascii="Times New Roman" w:hAnsi="Times New Roman" w:eastAsia="宋体" w:cs="Times New Roman"/>
                      <w:color w:val="auto"/>
                      <w:sz w:val="21"/>
                      <w:szCs w:val="21"/>
                      <w:lang w:val="en-US" w:eastAsia="zh-CN"/>
                    </w:rPr>
                    <w:t>颗粒物、</w:t>
                  </w:r>
                  <w:r>
                    <w:rPr>
                      <w:rFonts w:hint="default" w:ascii="Times New Roman" w:hAnsi="Times New Roman" w:eastAsia="宋体" w:cs="Times New Roman"/>
                      <w:color w:val="auto"/>
                      <w:kern w:val="2"/>
                      <w:sz w:val="21"/>
                      <w:szCs w:val="21"/>
                      <w:lang w:val="en-US" w:eastAsia="zh-CN" w:bidi="ar"/>
                    </w:rPr>
                    <w:t>SO</w:t>
                  </w:r>
                  <w:r>
                    <w:rPr>
                      <w:rFonts w:hint="default" w:ascii="Times New Roman" w:hAnsi="Times New Roman" w:eastAsia="宋体" w:cs="Times New Roman"/>
                      <w:color w:val="auto"/>
                      <w:kern w:val="2"/>
                      <w:sz w:val="21"/>
                      <w:szCs w:val="21"/>
                      <w:vertAlign w:val="subscript"/>
                      <w:lang w:val="en-US" w:eastAsia="zh-CN" w:bidi="ar"/>
                    </w:rPr>
                    <w:t>2</w:t>
                  </w:r>
                  <w:r>
                    <w:rPr>
                      <w:rFonts w:hint="eastAsia" w:ascii="Times New Roman" w:hAnsi="Times New Roman" w:eastAsia="宋体" w:cs="Times New Roman"/>
                      <w:color w:val="auto"/>
                      <w:kern w:val="2"/>
                      <w:sz w:val="21"/>
                      <w:szCs w:val="21"/>
                      <w:vertAlign w:val="baseline"/>
                      <w:lang w:val="en-US" w:eastAsia="zh-CN" w:bidi="ar"/>
                    </w:rPr>
                    <w:t>、</w:t>
                  </w:r>
                  <w:r>
                    <w:rPr>
                      <w:rFonts w:hint="default" w:ascii="Times New Roman" w:hAnsi="Times New Roman" w:eastAsia="宋体" w:cs="Times New Roman"/>
                      <w:color w:val="auto"/>
                      <w:kern w:val="0"/>
                      <w:sz w:val="21"/>
                      <w:szCs w:val="21"/>
                      <w:lang w:val="en-US" w:eastAsia="zh-CN" w:bidi="ar"/>
                    </w:rPr>
                    <w:t>NO</w:t>
                  </w:r>
                  <w:r>
                    <w:rPr>
                      <w:rFonts w:hint="default" w:ascii="Times New Roman" w:hAnsi="Times New Roman" w:eastAsia="宋体" w:cs="Times New Roman"/>
                      <w:color w:val="auto"/>
                      <w:kern w:val="0"/>
                      <w:sz w:val="21"/>
                      <w:szCs w:val="21"/>
                      <w:vertAlign w:val="subscript"/>
                      <w:lang w:val="en-US" w:eastAsia="zh-CN" w:bidi="ar"/>
                    </w:rPr>
                    <w:t>x</w:t>
                  </w:r>
                  <w:r>
                    <w:rPr>
                      <w:rFonts w:hint="eastAsia" w:ascii="Times New Roman" w:hAnsi="Times New Roman" w:eastAsia="宋体" w:cs="Times New Roman"/>
                      <w:color w:val="auto"/>
                      <w:kern w:val="0"/>
                      <w:sz w:val="21"/>
                      <w:szCs w:val="21"/>
                      <w:vertAlign w:val="baseline"/>
                      <w:lang w:val="en-US" w:eastAsia="zh-CN" w:bidi="ar"/>
                    </w:rPr>
                    <w:t>、</w:t>
                  </w:r>
                  <w:r>
                    <w:rPr>
                      <w:rFonts w:hint="eastAsia" w:cs="Times New Roman"/>
                      <w:color w:val="auto"/>
                      <w:kern w:val="0"/>
                      <w:sz w:val="21"/>
                      <w:szCs w:val="21"/>
                      <w:vertAlign w:val="baseline"/>
                      <w:lang w:val="en-US" w:eastAsia="zh-CN" w:bidi="ar"/>
                    </w:rPr>
                    <w:t>林格曼黑度</w:t>
                  </w:r>
                </w:p>
              </w:tc>
              <w:tc>
                <w:tcPr>
                  <w:tcW w:w="1346" w:type="pct"/>
                  <w:tcBorders>
                    <w:tl2br w:val="nil"/>
                    <w:tr2bl w:val="nil"/>
                  </w:tcBorders>
                  <w:vAlign w:val="center"/>
                </w:tcPr>
                <w:p w14:paraId="1C42981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olor w:val="auto"/>
                      <w:sz w:val="21"/>
                      <w:szCs w:val="21"/>
                      <w:lang w:bidi="ar"/>
                    </w:rPr>
                  </w:pPr>
                  <w:r>
                    <w:rPr>
                      <w:rFonts w:hint="eastAsia" w:ascii="Times New Roman" w:hAnsi="Times New Roman" w:eastAsia="宋体" w:cs="Times New Roman"/>
                      <w:color w:val="auto"/>
                      <w:sz w:val="21"/>
                      <w:szCs w:val="21"/>
                      <w:lang w:val="en-US" w:eastAsia="zh-CN"/>
                    </w:rPr>
                    <w:t>燃烧产生的废气经</w:t>
                  </w:r>
                  <w:r>
                    <w:rPr>
                      <w:rFonts w:hint="eastAsia" w:eastAsia="宋体" w:cs="Times New Roman"/>
                      <w:color w:val="auto"/>
                      <w:sz w:val="21"/>
                      <w:szCs w:val="21"/>
                      <w:lang w:val="en-US" w:eastAsia="zh-CN"/>
                    </w:rPr>
                    <w:t>SNCR+</w:t>
                  </w:r>
                  <w:r>
                    <w:rPr>
                      <w:rFonts w:hint="eastAsia" w:cs="Times New Roman"/>
                      <w:color w:val="auto"/>
                      <w:sz w:val="21"/>
                      <w:szCs w:val="21"/>
                      <w:lang w:val="en-US" w:eastAsia="zh-CN"/>
                    </w:rPr>
                    <w:t>旋风除尘+布袋除尘器</w:t>
                  </w:r>
                  <w:r>
                    <w:rPr>
                      <w:rFonts w:hint="eastAsia" w:ascii="Times New Roman" w:hAnsi="Times New Roman" w:eastAsia="宋体" w:cs="Times New Roman"/>
                      <w:color w:val="auto"/>
                      <w:sz w:val="21"/>
                      <w:szCs w:val="21"/>
                      <w:lang w:val="en-US" w:eastAsia="zh-CN"/>
                    </w:rPr>
                    <w:t>处理达标后，经</w:t>
                  </w:r>
                  <w:r>
                    <w:rPr>
                      <w:rFonts w:hint="eastAsia" w:cs="Times New Roman"/>
                      <w:color w:val="auto"/>
                      <w:sz w:val="21"/>
                      <w:szCs w:val="21"/>
                      <w:lang w:val="en-US" w:eastAsia="zh-CN"/>
                    </w:rPr>
                    <w:t>不低于17m</w:t>
                  </w:r>
                  <w:r>
                    <w:rPr>
                      <w:rFonts w:hint="eastAsia" w:ascii="Times New Roman" w:hAnsi="Times New Roman" w:eastAsia="宋体" w:cs="Times New Roman"/>
                      <w:color w:val="auto"/>
                      <w:sz w:val="21"/>
                      <w:szCs w:val="21"/>
                      <w:lang w:val="en-US" w:eastAsia="zh-CN"/>
                    </w:rPr>
                    <w:t>高排气筒排放。</w:t>
                  </w:r>
                </w:p>
              </w:tc>
              <w:tc>
                <w:tcPr>
                  <w:tcW w:w="1739" w:type="pct"/>
                  <w:tcBorders>
                    <w:tl2br w:val="nil"/>
                    <w:tr2bl w:val="nil"/>
                  </w:tcBorders>
                  <w:vAlign w:val="center"/>
                </w:tcPr>
                <w:p w14:paraId="7CF1F3F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olor w:val="auto"/>
                      <w:sz w:val="21"/>
                      <w:szCs w:val="21"/>
                      <w:lang w:eastAsia="zh-CN" w:bidi="ar"/>
                    </w:rPr>
                  </w:pPr>
                  <w:r>
                    <w:rPr>
                      <w:rFonts w:hint="default" w:ascii="Times New Roman" w:hAnsi="Times New Roman" w:cs="Times New Roman"/>
                      <w:color w:val="auto"/>
                      <w:kern w:val="0"/>
                      <w:szCs w:val="21"/>
                      <w:highlight w:val="none"/>
                    </w:rPr>
                    <w:t>《锅炉大气污染物排放标准》（GB13271-2014）表3燃气锅炉大气污染物特别排放限值</w:t>
                  </w:r>
                </w:p>
              </w:tc>
            </w:tr>
            <w:tr w14:paraId="2D47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43480532">
                  <w:pPr>
                    <w:keepNext w:val="0"/>
                    <w:keepLines w:val="0"/>
                    <w:suppressLineNumbers w:val="0"/>
                    <w:tabs>
                      <w:tab w:val="left" w:pos="360"/>
                    </w:tabs>
                    <w:spacing w:before="0" w:beforeAutospacing="0" w:after="0" w:afterAutospacing="0"/>
                    <w:ind w:left="0" w:right="0"/>
                    <w:jc w:val="center"/>
                    <w:rPr>
                      <w:rFonts w:hint="eastAsia" w:ascii="Times New Roman" w:hAnsi="Times New Roman" w:eastAsia="宋体"/>
                      <w:color w:val="auto"/>
                      <w:sz w:val="21"/>
                      <w:szCs w:val="21"/>
                      <w:lang w:val="en-US" w:eastAsia="zh-CN"/>
                    </w:rPr>
                  </w:pPr>
                </w:p>
              </w:tc>
              <w:tc>
                <w:tcPr>
                  <w:tcW w:w="527" w:type="pct"/>
                  <w:tcBorders>
                    <w:tl2br w:val="nil"/>
                    <w:tr2bl w:val="nil"/>
                  </w:tcBorders>
                  <w:vAlign w:val="center"/>
                </w:tcPr>
                <w:p w14:paraId="15DA1DCC">
                  <w:pPr>
                    <w:keepNext w:val="0"/>
                    <w:keepLines w:val="0"/>
                    <w:suppressLineNumbers w:val="0"/>
                    <w:adjustRightInd w:val="0"/>
                    <w:snapToGrid w:val="0"/>
                    <w:spacing w:before="0" w:beforeAutospacing="0" w:after="0" w:afterAutospacing="0"/>
                    <w:ind w:left="0" w:leftChars="0" w:right="0" w:rightChars="0"/>
                    <w:jc w:val="center"/>
                    <w:rPr>
                      <w:rFonts w:hint="eastAsia" w:cs="Times New Roman"/>
                      <w:color w:val="auto"/>
                      <w:sz w:val="21"/>
                      <w:szCs w:val="21"/>
                      <w:lang w:val="en-US" w:eastAsia="zh-CN"/>
                    </w:rPr>
                  </w:pPr>
                  <w:r>
                    <w:rPr>
                      <w:rFonts w:hint="default" w:ascii="Times New Roman" w:hAnsi="Times New Roman" w:cs="Times New Roman"/>
                      <w:color w:val="auto"/>
                      <w:highlight w:val="none"/>
                      <w:lang w:val="en-US" w:eastAsia="zh-CN"/>
                    </w:rPr>
                    <w:t>过筛和清理</w:t>
                  </w:r>
                </w:p>
              </w:tc>
              <w:tc>
                <w:tcPr>
                  <w:tcW w:w="1110" w:type="pct"/>
                  <w:tcBorders>
                    <w:tl2br w:val="nil"/>
                    <w:tr2bl w:val="nil"/>
                  </w:tcBorders>
                  <w:vAlign w:val="center"/>
                </w:tcPr>
                <w:p w14:paraId="3CBA434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颗粒物</w:t>
                  </w:r>
                </w:p>
              </w:tc>
              <w:tc>
                <w:tcPr>
                  <w:tcW w:w="1346" w:type="pct"/>
                  <w:tcBorders>
                    <w:tl2br w:val="nil"/>
                    <w:tr2bl w:val="nil"/>
                  </w:tcBorders>
                  <w:vAlign w:val="center"/>
                </w:tcPr>
                <w:p w14:paraId="0FCC76F6">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highlight w:val="none"/>
                      <w:lang w:val="en-US" w:eastAsia="zh-CN"/>
                    </w:rPr>
                    <w:t>布袋除尘</w:t>
                  </w:r>
                </w:p>
              </w:tc>
              <w:tc>
                <w:tcPr>
                  <w:tcW w:w="1739" w:type="pct"/>
                  <w:vMerge w:val="restart"/>
                  <w:tcBorders>
                    <w:tl2br w:val="nil"/>
                    <w:tr2bl w:val="nil"/>
                  </w:tcBorders>
                  <w:vAlign w:val="center"/>
                </w:tcPr>
                <w:p w14:paraId="073472B7">
                  <w:pPr>
                    <w:keepNext w:val="0"/>
                    <w:keepLines w:val="0"/>
                    <w:widowControl/>
                    <w:suppressLineNumbers w:val="0"/>
                    <w:spacing w:before="0" w:beforeAutospacing="0" w:after="0" w:afterAutospacing="0"/>
                    <w:ind w:left="0" w:right="0"/>
                    <w:jc w:val="center"/>
                    <w:rPr>
                      <w:rFonts w:hint="eastAsia" w:ascii="Times New Roman" w:hAnsi="Times New Roman" w:eastAsia="宋体"/>
                      <w:bCs/>
                      <w:color w:val="auto"/>
                      <w:kern w:val="0"/>
                      <w:sz w:val="21"/>
                      <w:szCs w:val="21"/>
                      <w:lang w:val="en-US" w:eastAsia="zh-CN"/>
                    </w:rPr>
                  </w:pPr>
                  <w:r>
                    <w:rPr>
                      <w:rFonts w:hint="default" w:ascii="Times New Roman" w:hAnsi="Times New Roman" w:cs="Times New Roman"/>
                      <w:color w:val="auto"/>
                      <w:kern w:val="0"/>
                      <w:szCs w:val="21"/>
                      <w:highlight w:val="none"/>
                    </w:rPr>
                    <w:t>《大气污染物综合排放标准》（GB16297-1996）表2 无组织排放监控浓度限值</w:t>
                  </w:r>
                </w:p>
              </w:tc>
            </w:tr>
            <w:tr w14:paraId="63D96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1091F530">
                  <w:pPr>
                    <w:keepNext w:val="0"/>
                    <w:keepLines w:val="0"/>
                    <w:suppressLineNumbers w:val="0"/>
                    <w:tabs>
                      <w:tab w:val="left" w:pos="360"/>
                    </w:tabs>
                    <w:spacing w:before="0" w:beforeAutospacing="0" w:after="0" w:afterAutospacing="0"/>
                    <w:ind w:left="0" w:right="0"/>
                    <w:jc w:val="center"/>
                    <w:rPr>
                      <w:rFonts w:hint="default" w:ascii="Times New Roman" w:hAnsi="Times New Roman" w:eastAsia="宋体"/>
                      <w:color w:val="auto"/>
                      <w:sz w:val="21"/>
                      <w:szCs w:val="21"/>
                      <w:lang w:bidi="ar"/>
                    </w:rPr>
                  </w:pPr>
                </w:p>
              </w:tc>
              <w:tc>
                <w:tcPr>
                  <w:tcW w:w="527" w:type="pct"/>
                  <w:tcBorders>
                    <w:tl2br w:val="nil"/>
                    <w:tr2bl w:val="nil"/>
                  </w:tcBorders>
                  <w:vAlign w:val="center"/>
                </w:tcPr>
                <w:p w14:paraId="5800082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厂界</w:t>
                  </w:r>
                </w:p>
              </w:tc>
              <w:tc>
                <w:tcPr>
                  <w:tcW w:w="1110" w:type="pct"/>
                  <w:tcBorders>
                    <w:tl2br w:val="nil"/>
                    <w:tr2bl w:val="nil"/>
                  </w:tcBorders>
                  <w:vAlign w:val="center"/>
                </w:tcPr>
                <w:p w14:paraId="3532141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颗粒物</w:t>
                  </w:r>
                </w:p>
              </w:tc>
              <w:tc>
                <w:tcPr>
                  <w:tcW w:w="1346" w:type="pct"/>
                  <w:tcBorders>
                    <w:tl2br w:val="nil"/>
                    <w:tr2bl w:val="nil"/>
                  </w:tcBorders>
                  <w:vAlign w:val="center"/>
                </w:tcPr>
                <w:p w14:paraId="5631DF0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洒水降尘，锅炉灰渣及收集尘以编织袋覆盖</w:t>
                  </w:r>
                </w:p>
              </w:tc>
              <w:tc>
                <w:tcPr>
                  <w:tcW w:w="1739" w:type="pct"/>
                  <w:vMerge w:val="continue"/>
                  <w:tcBorders>
                    <w:tl2br w:val="nil"/>
                    <w:tr2bl w:val="nil"/>
                  </w:tcBorders>
                  <w:vAlign w:val="center"/>
                </w:tcPr>
                <w:p w14:paraId="3D42AD9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olor w:val="auto"/>
                      <w:sz w:val="21"/>
                      <w:szCs w:val="21"/>
                      <w:lang w:bidi="ar"/>
                    </w:rPr>
                  </w:pPr>
                </w:p>
              </w:tc>
            </w:tr>
            <w:tr w14:paraId="5F4DE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0865F6DC">
                  <w:pPr>
                    <w:keepNext w:val="0"/>
                    <w:keepLines w:val="0"/>
                    <w:suppressLineNumbers w:val="0"/>
                    <w:tabs>
                      <w:tab w:val="left" w:pos="360"/>
                    </w:tabs>
                    <w:spacing w:before="0" w:beforeAutospacing="0" w:after="0" w:afterAutospacing="0"/>
                    <w:ind w:left="0" w:right="0"/>
                    <w:jc w:val="center"/>
                    <w:rPr>
                      <w:rFonts w:hint="default" w:ascii="Times New Roman" w:hAnsi="Times New Roman" w:eastAsia="宋体"/>
                      <w:color w:val="auto"/>
                      <w:sz w:val="21"/>
                      <w:szCs w:val="21"/>
                      <w:lang w:bidi="ar"/>
                    </w:rPr>
                  </w:pPr>
                </w:p>
              </w:tc>
              <w:tc>
                <w:tcPr>
                  <w:tcW w:w="527" w:type="pct"/>
                  <w:tcBorders>
                    <w:tl2br w:val="nil"/>
                    <w:tr2bl w:val="nil"/>
                  </w:tcBorders>
                  <w:vAlign w:val="center"/>
                </w:tcPr>
                <w:p w14:paraId="77E2141E">
                  <w:pPr>
                    <w:pStyle w:val="7"/>
                    <w:pageBreakBefore w:val="0"/>
                    <w:widowControl w:val="0"/>
                    <w:numPr>
                      <w:ilvl w:val="3"/>
                      <w:numId w:val="0"/>
                    </w:numPr>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firstLine="0" w:firstLineChars="0"/>
                    <w:jc w:val="center"/>
                    <w:textAlignment w:val="auto"/>
                    <w:rPr>
                      <w:rFonts w:hint="default" w:ascii="Times New Roman" w:hAnsi="Times New Roman" w:eastAsia="宋体"/>
                      <w:b w:val="0"/>
                      <w:bCs w:val="0"/>
                      <w:color w:val="auto"/>
                      <w:sz w:val="21"/>
                      <w:szCs w:val="21"/>
                      <w:lang w:val="en-US" w:eastAsia="zh-CN"/>
                    </w:rPr>
                  </w:pPr>
                  <w:r>
                    <w:rPr>
                      <w:rFonts w:hint="eastAsia"/>
                      <w:b w:val="0"/>
                      <w:bCs w:val="0"/>
                      <w:color w:val="auto"/>
                      <w:sz w:val="21"/>
                      <w:szCs w:val="21"/>
                      <w:lang w:val="en-US" w:eastAsia="zh-CN"/>
                    </w:rPr>
                    <w:t>生活污水</w:t>
                  </w:r>
                </w:p>
              </w:tc>
              <w:tc>
                <w:tcPr>
                  <w:tcW w:w="1110" w:type="pct"/>
                  <w:tcBorders>
                    <w:tl2br w:val="nil"/>
                    <w:tr2bl w:val="nil"/>
                  </w:tcBorders>
                  <w:vAlign w:val="center"/>
                </w:tcPr>
                <w:p w14:paraId="43FF159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olor w:val="auto"/>
                      <w:sz w:val="21"/>
                      <w:szCs w:val="21"/>
                      <w:lang w:val="en-US" w:eastAsia="zh-CN"/>
                    </w:rPr>
                  </w:pPr>
                  <w:r>
                    <w:rPr>
                      <w:rFonts w:hint="eastAsia"/>
                      <w:iCs/>
                      <w:color w:val="auto"/>
                      <w:sz w:val="21"/>
                      <w:szCs w:val="21"/>
                      <w:lang w:eastAsia="zh-CN"/>
                    </w:rPr>
                    <w:t>pH</w:t>
                  </w:r>
                  <w:r>
                    <w:rPr>
                      <w:rFonts w:hint="eastAsia" w:ascii="Times New Roman" w:hAnsi="Times New Roman" w:eastAsia="宋体"/>
                      <w:iCs/>
                      <w:color w:val="auto"/>
                      <w:sz w:val="21"/>
                      <w:szCs w:val="21"/>
                    </w:rPr>
                    <w:t>值、</w:t>
                  </w:r>
                  <w:r>
                    <w:rPr>
                      <w:rFonts w:hint="eastAsia"/>
                      <w:iCs/>
                      <w:color w:val="auto"/>
                      <w:sz w:val="21"/>
                      <w:szCs w:val="21"/>
                      <w:lang w:val="en-US" w:eastAsia="zh-CN"/>
                    </w:rPr>
                    <w:t>COD、BOD</w:t>
                  </w:r>
                  <w:r>
                    <w:rPr>
                      <w:rFonts w:hint="eastAsia"/>
                      <w:iCs/>
                      <w:color w:val="auto"/>
                      <w:sz w:val="21"/>
                      <w:szCs w:val="21"/>
                      <w:vertAlign w:val="subscript"/>
                      <w:lang w:val="en-US" w:eastAsia="zh-CN"/>
                    </w:rPr>
                    <w:t>5</w:t>
                  </w:r>
                  <w:r>
                    <w:rPr>
                      <w:rFonts w:hint="eastAsia"/>
                      <w:iCs/>
                      <w:color w:val="auto"/>
                      <w:sz w:val="21"/>
                      <w:szCs w:val="21"/>
                      <w:lang w:val="en-US" w:eastAsia="zh-CN"/>
                    </w:rPr>
                    <w:t>、氨氮</w:t>
                  </w:r>
                  <w:r>
                    <w:rPr>
                      <w:rFonts w:hint="eastAsia" w:ascii="Times New Roman" w:hAnsi="Times New Roman" w:eastAsia="宋体"/>
                      <w:iCs/>
                      <w:color w:val="auto"/>
                      <w:sz w:val="21"/>
                      <w:szCs w:val="21"/>
                    </w:rPr>
                    <w:t>、悬浮物</w:t>
                  </w:r>
                </w:p>
              </w:tc>
              <w:tc>
                <w:tcPr>
                  <w:tcW w:w="1346" w:type="pct"/>
                  <w:tcBorders>
                    <w:tl2br w:val="nil"/>
                    <w:tr2bl w:val="nil"/>
                  </w:tcBorders>
                  <w:vAlign w:val="center"/>
                </w:tcPr>
                <w:p w14:paraId="71595E7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生活污水收集至化粪池，定期吸污拉运</w:t>
                  </w:r>
                  <w:r>
                    <w:rPr>
                      <w:rFonts w:hint="eastAsia" w:ascii="Times New Roman" w:hAnsi="Times New Roman" w:eastAsia="宋体" w:cs="Times New Roman"/>
                      <w:color w:val="auto"/>
                      <w:sz w:val="21"/>
                      <w:szCs w:val="21"/>
                      <w:lang w:val="en-US" w:eastAsia="zh-CN"/>
                    </w:rPr>
                    <w:t>至</w:t>
                  </w:r>
                  <w:r>
                    <w:rPr>
                      <w:rFonts w:hint="eastAsia" w:cs="Times New Roman"/>
                      <w:color w:val="auto"/>
                      <w:sz w:val="21"/>
                      <w:szCs w:val="21"/>
                      <w:lang w:val="en-US" w:eastAsia="zh-CN"/>
                    </w:rPr>
                    <w:t>天北经济技术开发区污水处理厂</w:t>
                  </w:r>
                  <w:r>
                    <w:rPr>
                      <w:rFonts w:hint="eastAsia" w:ascii="Times New Roman" w:hAnsi="Times New Roman" w:eastAsia="宋体" w:cs="Times New Roman"/>
                      <w:color w:val="auto"/>
                      <w:sz w:val="21"/>
                      <w:szCs w:val="21"/>
                      <w:lang w:val="en-US" w:eastAsia="zh-CN"/>
                    </w:rPr>
                    <w:t>处理。</w:t>
                  </w:r>
                </w:p>
              </w:tc>
              <w:tc>
                <w:tcPr>
                  <w:tcW w:w="1739" w:type="pct"/>
                  <w:tcBorders>
                    <w:tl2br w:val="nil"/>
                    <w:tr2bl w:val="nil"/>
                  </w:tcBorders>
                  <w:vAlign w:val="center"/>
                </w:tcPr>
                <w:p w14:paraId="03BBA53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污水</w:t>
                  </w:r>
                  <w:r>
                    <w:rPr>
                      <w:rFonts w:hint="eastAsia" w:cs="Times New Roman"/>
                      <w:color w:val="auto"/>
                      <w:sz w:val="21"/>
                      <w:szCs w:val="21"/>
                      <w:lang w:val="en-US" w:eastAsia="zh-CN"/>
                    </w:rPr>
                    <w:t>综合</w:t>
                  </w:r>
                  <w:r>
                    <w:rPr>
                      <w:rFonts w:hint="eastAsia" w:ascii="Times New Roman" w:hAnsi="Times New Roman" w:eastAsia="宋体" w:cs="Times New Roman"/>
                      <w:color w:val="auto"/>
                      <w:sz w:val="21"/>
                      <w:szCs w:val="21"/>
                      <w:lang w:val="en-US" w:eastAsia="zh-CN"/>
                    </w:rPr>
                    <w:t>排放标准</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GB 8978-1996</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中三级标准</w:t>
                  </w:r>
                </w:p>
              </w:tc>
            </w:tr>
            <w:tr w14:paraId="794BB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1132A0A6">
                  <w:pPr>
                    <w:keepNext w:val="0"/>
                    <w:keepLines w:val="0"/>
                    <w:suppressLineNumbers w:val="0"/>
                    <w:tabs>
                      <w:tab w:val="left" w:pos="360"/>
                    </w:tabs>
                    <w:spacing w:before="0" w:beforeAutospacing="0" w:after="0" w:afterAutospacing="0"/>
                    <w:ind w:left="0" w:right="0"/>
                    <w:jc w:val="center"/>
                    <w:rPr>
                      <w:rFonts w:hint="default" w:ascii="Times New Roman" w:hAnsi="Times New Roman" w:eastAsia="宋体"/>
                      <w:color w:val="auto"/>
                      <w:sz w:val="21"/>
                      <w:szCs w:val="21"/>
                      <w:lang w:bidi="ar"/>
                    </w:rPr>
                  </w:pPr>
                </w:p>
              </w:tc>
              <w:tc>
                <w:tcPr>
                  <w:tcW w:w="527" w:type="pct"/>
                  <w:tcBorders>
                    <w:tl2br w:val="nil"/>
                    <w:tr2bl w:val="nil"/>
                  </w:tcBorders>
                  <w:vAlign w:val="center"/>
                </w:tcPr>
                <w:p w14:paraId="0E0E7DB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噪声</w:t>
                  </w:r>
                </w:p>
              </w:tc>
              <w:tc>
                <w:tcPr>
                  <w:tcW w:w="1110" w:type="pct"/>
                  <w:tcBorders>
                    <w:tl2br w:val="nil"/>
                    <w:tr2bl w:val="nil"/>
                  </w:tcBorders>
                  <w:vAlign w:val="center"/>
                </w:tcPr>
                <w:p w14:paraId="0CF12A8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噪声</w:t>
                  </w:r>
                </w:p>
              </w:tc>
              <w:tc>
                <w:tcPr>
                  <w:tcW w:w="1346" w:type="pct"/>
                  <w:tcBorders>
                    <w:tl2br w:val="nil"/>
                    <w:tr2bl w:val="nil"/>
                  </w:tcBorders>
                  <w:vAlign w:val="center"/>
                </w:tcPr>
                <w:p w14:paraId="54C333D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隔声、减振、消声。</w:t>
                  </w:r>
                </w:p>
              </w:tc>
              <w:tc>
                <w:tcPr>
                  <w:tcW w:w="1739" w:type="pct"/>
                  <w:tcBorders>
                    <w:tl2br w:val="nil"/>
                    <w:tr2bl w:val="nil"/>
                  </w:tcBorders>
                  <w:vAlign w:val="center"/>
                </w:tcPr>
                <w:p w14:paraId="712CFEF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执行《工业企业厂界噪声标准》</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GB</w:t>
                  </w:r>
                  <w:r>
                    <w:rPr>
                      <w:rFonts w:hint="eastAsia" w:cs="Times New Roman"/>
                      <w:color w:val="auto"/>
                      <w:sz w:val="21"/>
                      <w:szCs w:val="21"/>
                      <w:lang w:val="en-US" w:eastAsia="zh-CN"/>
                    </w:rPr>
                    <w:t xml:space="preserve"> </w:t>
                  </w:r>
                  <w:r>
                    <w:rPr>
                      <w:rFonts w:hint="default" w:ascii="Times New Roman" w:hAnsi="Times New Roman" w:eastAsia="宋体" w:cs="Times New Roman"/>
                      <w:color w:val="auto"/>
                      <w:sz w:val="21"/>
                      <w:szCs w:val="21"/>
                    </w:rPr>
                    <w:t>12348-2008</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中</w:t>
                  </w: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rPr>
                    <w:t>类标准，昼间小于6</w:t>
                  </w:r>
                  <w:r>
                    <w:rPr>
                      <w:rFonts w:hint="eastAsia" w:cs="Times New Roman"/>
                      <w:color w:val="auto"/>
                      <w:sz w:val="21"/>
                      <w:szCs w:val="21"/>
                      <w:lang w:val="en-US" w:eastAsia="zh-CN"/>
                    </w:rPr>
                    <w:t>0</w:t>
                  </w:r>
                  <w:r>
                    <w:rPr>
                      <w:rFonts w:hint="default" w:ascii="Times New Roman" w:hAnsi="Times New Roman" w:eastAsia="宋体" w:cs="Times New Roman"/>
                      <w:color w:val="auto"/>
                      <w:sz w:val="21"/>
                      <w:szCs w:val="21"/>
                    </w:rPr>
                    <w:t>dB</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A</w:t>
                  </w:r>
                  <w:r>
                    <w:rPr>
                      <w:rFonts w:hint="eastAsia" w:cs="Times New Roman"/>
                      <w:color w:val="auto"/>
                      <w:sz w:val="21"/>
                      <w:szCs w:val="21"/>
                      <w:lang w:eastAsia="zh-CN"/>
                    </w:rPr>
                    <w:t>）</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夜间小于5</w:t>
                  </w:r>
                  <w:r>
                    <w:rPr>
                      <w:rFonts w:hint="eastAsia" w:cs="Times New Roman"/>
                      <w:color w:val="auto"/>
                      <w:sz w:val="21"/>
                      <w:szCs w:val="21"/>
                      <w:lang w:val="en-US" w:eastAsia="zh-CN"/>
                    </w:rPr>
                    <w:t>0</w:t>
                  </w:r>
                  <w:r>
                    <w:rPr>
                      <w:rFonts w:hint="default" w:ascii="Times New Roman" w:hAnsi="Times New Roman" w:eastAsia="宋体" w:cs="Times New Roman"/>
                      <w:color w:val="auto"/>
                      <w:sz w:val="21"/>
                      <w:szCs w:val="21"/>
                    </w:rPr>
                    <w:t>dB</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A</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w:t>
                  </w:r>
                </w:p>
              </w:tc>
            </w:tr>
            <w:tr w14:paraId="418AD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2DDE469F">
                  <w:pPr>
                    <w:keepNext w:val="0"/>
                    <w:keepLines w:val="0"/>
                    <w:suppressLineNumbers w:val="0"/>
                    <w:tabs>
                      <w:tab w:val="left" w:pos="360"/>
                    </w:tabs>
                    <w:spacing w:before="0" w:beforeAutospacing="0" w:after="0" w:afterAutospacing="0"/>
                    <w:ind w:left="0" w:right="0"/>
                    <w:jc w:val="center"/>
                    <w:rPr>
                      <w:rFonts w:hint="default" w:ascii="Times New Roman" w:hAnsi="Times New Roman" w:eastAsia="宋体"/>
                      <w:color w:val="auto"/>
                      <w:sz w:val="21"/>
                      <w:szCs w:val="21"/>
                      <w:lang w:bidi="ar"/>
                    </w:rPr>
                  </w:pPr>
                </w:p>
              </w:tc>
              <w:tc>
                <w:tcPr>
                  <w:tcW w:w="527" w:type="pct"/>
                  <w:vMerge w:val="restart"/>
                  <w:tcBorders>
                    <w:tl2br w:val="nil"/>
                    <w:tr2bl w:val="nil"/>
                  </w:tcBorders>
                  <w:vAlign w:val="center"/>
                </w:tcPr>
                <w:p w14:paraId="7D7A332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固体废物</w:t>
                  </w:r>
                </w:p>
              </w:tc>
              <w:tc>
                <w:tcPr>
                  <w:tcW w:w="1110" w:type="pct"/>
                  <w:tcBorders>
                    <w:tl2br w:val="nil"/>
                    <w:tr2bl w:val="nil"/>
                  </w:tcBorders>
                  <w:vAlign w:val="center"/>
                </w:tcPr>
                <w:p w14:paraId="014DDB9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color w:val="auto"/>
                      <w:kern w:val="0"/>
                      <w:sz w:val="21"/>
                      <w:szCs w:val="21"/>
                      <w:lang w:val="en-US" w:eastAsia="zh-CN" w:bidi="ar"/>
                    </w:rPr>
                    <w:t>锅炉灰渣、收尘灰</w:t>
                  </w:r>
                </w:p>
              </w:tc>
              <w:tc>
                <w:tcPr>
                  <w:tcW w:w="1346" w:type="pct"/>
                  <w:tcBorders>
                    <w:tl2br w:val="nil"/>
                    <w:tr2bl w:val="nil"/>
                  </w:tcBorders>
                  <w:vAlign w:val="center"/>
                </w:tcPr>
                <w:p w14:paraId="74B1C6A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定期作为建筑原料或生产建筑原料的材料外售</w:t>
                  </w:r>
                </w:p>
              </w:tc>
              <w:tc>
                <w:tcPr>
                  <w:tcW w:w="1739" w:type="pct"/>
                  <w:tcBorders>
                    <w:tl2br w:val="nil"/>
                    <w:tr2bl w:val="nil"/>
                  </w:tcBorders>
                  <w:vAlign w:val="center"/>
                </w:tcPr>
                <w:p w14:paraId="0BFB298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执行《一般工业固体废物贮存、处置场污染物控制标准》</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GB</w:t>
                  </w:r>
                  <w:r>
                    <w:rPr>
                      <w:rFonts w:hint="eastAsia" w:cs="Times New Roman"/>
                      <w:color w:val="auto"/>
                      <w:sz w:val="21"/>
                      <w:szCs w:val="21"/>
                      <w:lang w:val="en-US" w:eastAsia="zh-CN"/>
                    </w:rPr>
                    <w:t xml:space="preserve"> </w:t>
                  </w:r>
                  <w:r>
                    <w:rPr>
                      <w:rFonts w:hint="default" w:ascii="Times New Roman" w:hAnsi="Times New Roman" w:eastAsia="宋体" w:cs="Times New Roman"/>
                      <w:color w:val="auto"/>
                      <w:sz w:val="21"/>
                      <w:szCs w:val="21"/>
                    </w:rPr>
                    <w:t>18599</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rPr>
                    <w:t>20</w:t>
                  </w:r>
                  <w:r>
                    <w:rPr>
                      <w:rFonts w:hint="eastAsia" w:cs="Times New Roman"/>
                      <w:color w:val="auto"/>
                      <w:sz w:val="21"/>
                      <w:szCs w:val="21"/>
                      <w:lang w:val="en-US" w:eastAsia="zh-CN"/>
                    </w:rPr>
                    <w:t>20</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中的相关要求。</w:t>
                  </w:r>
                </w:p>
              </w:tc>
            </w:tr>
            <w:tr w14:paraId="34B53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49BC77D3">
                  <w:pPr>
                    <w:keepNext w:val="0"/>
                    <w:keepLines w:val="0"/>
                    <w:suppressLineNumbers w:val="0"/>
                    <w:tabs>
                      <w:tab w:val="left" w:pos="360"/>
                    </w:tabs>
                    <w:spacing w:before="0" w:beforeAutospacing="0" w:after="0" w:afterAutospacing="0"/>
                    <w:ind w:left="0" w:right="0"/>
                    <w:jc w:val="center"/>
                    <w:rPr>
                      <w:rFonts w:hint="default" w:ascii="Times New Roman" w:hAnsi="Times New Roman" w:eastAsia="宋体"/>
                      <w:color w:val="auto"/>
                      <w:sz w:val="21"/>
                      <w:szCs w:val="21"/>
                      <w:lang w:bidi="ar"/>
                    </w:rPr>
                  </w:pPr>
                </w:p>
              </w:tc>
              <w:tc>
                <w:tcPr>
                  <w:tcW w:w="527" w:type="pct"/>
                  <w:vMerge w:val="continue"/>
                  <w:tcBorders>
                    <w:tl2br w:val="nil"/>
                    <w:tr2bl w:val="nil"/>
                  </w:tcBorders>
                  <w:vAlign w:val="center"/>
                </w:tcPr>
                <w:p w14:paraId="1A5E7E4C">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 w:val="0"/>
                      <w:bCs w:val="0"/>
                      <w:color w:val="auto"/>
                      <w:kern w:val="2"/>
                      <w:sz w:val="21"/>
                      <w:szCs w:val="21"/>
                      <w:lang w:val="en-US" w:eastAsia="zh-CN" w:bidi="ar-SA"/>
                    </w:rPr>
                  </w:pPr>
                </w:p>
              </w:tc>
              <w:tc>
                <w:tcPr>
                  <w:tcW w:w="1110" w:type="pct"/>
                  <w:tcBorders>
                    <w:tl2br w:val="nil"/>
                    <w:tr2bl w:val="nil"/>
                  </w:tcBorders>
                  <w:vAlign w:val="center"/>
                </w:tcPr>
                <w:p w14:paraId="74E0328A">
                  <w:pPr>
                    <w:keepNext w:val="0"/>
                    <w:keepLines w:val="0"/>
                    <w:widowControl/>
                    <w:suppressLineNumbers w:val="0"/>
                    <w:spacing w:before="0" w:beforeAutospacing="0" w:after="0" w:afterAutospacing="0"/>
                    <w:ind w:left="0" w:right="0"/>
                    <w:jc w:val="center"/>
                    <w:rPr>
                      <w:rFonts w:hint="default" w:ascii="Times New Roman" w:hAnsi="Times New Roman" w:eastAsia="宋体" w:cs="宋体"/>
                      <w:color w:val="auto"/>
                      <w:kern w:val="0"/>
                      <w:sz w:val="21"/>
                      <w:szCs w:val="21"/>
                      <w:lang w:val="en-US" w:eastAsia="zh-CN" w:bidi="ar"/>
                    </w:rPr>
                  </w:pPr>
                  <w:r>
                    <w:rPr>
                      <w:rFonts w:hint="default" w:ascii="Times New Roman" w:hAnsi="Times New Roman" w:cs="Times New Roman"/>
                      <w:color w:val="auto"/>
                      <w:kern w:val="0"/>
                      <w:szCs w:val="21"/>
                      <w:highlight w:val="none"/>
                      <w:lang w:val="en-US" w:eastAsia="zh-CN"/>
                    </w:rPr>
                    <w:t>筛分杂质及霉变玉米</w:t>
                  </w:r>
                  <w:r>
                    <w:rPr>
                      <w:rFonts w:hint="eastAsia" w:cs="Times New Roman"/>
                      <w:color w:val="auto"/>
                      <w:kern w:val="0"/>
                      <w:szCs w:val="21"/>
                      <w:highlight w:val="none"/>
                      <w:lang w:val="en-US" w:eastAsia="zh-CN"/>
                    </w:rPr>
                    <w:t>、生活垃圾</w:t>
                  </w:r>
                </w:p>
              </w:tc>
              <w:tc>
                <w:tcPr>
                  <w:tcW w:w="1346" w:type="pct"/>
                  <w:tcBorders>
                    <w:tl2br w:val="nil"/>
                    <w:tr2bl w:val="nil"/>
                  </w:tcBorders>
                  <w:vAlign w:val="center"/>
                </w:tcPr>
                <w:p w14:paraId="3F0EA07D">
                  <w:pPr>
                    <w:keepNext w:val="0"/>
                    <w:keepLines w:val="0"/>
                    <w:suppressLineNumbers w:val="0"/>
                    <w:adjustRightInd w:val="0"/>
                    <w:snapToGrid w:val="0"/>
                    <w:spacing w:before="0" w:beforeAutospacing="0" w:after="0" w:afterAutospacing="0"/>
                    <w:ind w:left="0" w:leftChars="0" w:right="0" w:rightChars="0"/>
                    <w:jc w:val="center"/>
                    <w:rPr>
                      <w:rFonts w:hint="eastAsia" w:cs="Times New Roman"/>
                      <w:color w:val="auto"/>
                      <w:kern w:val="2"/>
                      <w:sz w:val="21"/>
                      <w:szCs w:val="21"/>
                      <w:lang w:val="en-US" w:eastAsia="zh-CN" w:bidi="ar-SA"/>
                    </w:rPr>
                  </w:pPr>
                  <w:r>
                    <w:rPr>
                      <w:rFonts w:hint="default" w:ascii="Times New Roman" w:hAnsi="Times New Roman" w:cs="Times New Roman"/>
                      <w:color w:val="auto"/>
                      <w:kern w:val="0"/>
                      <w:szCs w:val="21"/>
                      <w:highlight w:val="none"/>
                      <w:lang w:val="en-US" w:eastAsia="zh-CN"/>
                    </w:rPr>
                    <w:t>环卫收集处置</w:t>
                  </w:r>
                </w:p>
              </w:tc>
              <w:tc>
                <w:tcPr>
                  <w:tcW w:w="1739" w:type="pct"/>
                  <w:tcBorders>
                    <w:tl2br w:val="nil"/>
                    <w:tr2bl w:val="nil"/>
                  </w:tcBorders>
                  <w:vAlign w:val="center"/>
                </w:tcPr>
                <w:p w14:paraId="5683C999">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78297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2CCDB868">
                  <w:pPr>
                    <w:keepNext w:val="0"/>
                    <w:keepLines w:val="0"/>
                    <w:suppressLineNumbers w:val="0"/>
                    <w:tabs>
                      <w:tab w:val="left" w:pos="360"/>
                    </w:tabs>
                    <w:spacing w:before="0" w:beforeAutospacing="0" w:after="0" w:afterAutospacing="0"/>
                    <w:ind w:left="0" w:right="0"/>
                    <w:jc w:val="center"/>
                    <w:rPr>
                      <w:rFonts w:hint="default" w:ascii="Times New Roman" w:hAnsi="Times New Roman" w:eastAsia="宋体"/>
                      <w:color w:val="auto"/>
                      <w:sz w:val="21"/>
                      <w:szCs w:val="21"/>
                      <w:lang w:bidi="ar"/>
                    </w:rPr>
                  </w:pPr>
                </w:p>
              </w:tc>
              <w:tc>
                <w:tcPr>
                  <w:tcW w:w="527" w:type="pct"/>
                  <w:vMerge w:val="continue"/>
                  <w:tcBorders>
                    <w:tl2br w:val="nil"/>
                    <w:tr2bl w:val="nil"/>
                  </w:tcBorders>
                  <w:vAlign w:val="center"/>
                </w:tcPr>
                <w:p w14:paraId="7B7192E6">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 w:val="0"/>
                      <w:bCs w:val="0"/>
                      <w:color w:val="auto"/>
                      <w:kern w:val="2"/>
                      <w:sz w:val="21"/>
                      <w:szCs w:val="21"/>
                      <w:lang w:val="en-US" w:eastAsia="zh-CN" w:bidi="ar-SA"/>
                    </w:rPr>
                  </w:pPr>
                </w:p>
              </w:tc>
              <w:tc>
                <w:tcPr>
                  <w:tcW w:w="1110" w:type="pct"/>
                  <w:tcBorders>
                    <w:tl2br w:val="nil"/>
                    <w:tr2bl w:val="nil"/>
                  </w:tcBorders>
                  <w:vAlign w:val="center"/>
                </w:tcPr>
                <w:p w14:paraId="418F57E3">
                  <w:pPr>
                    <w:keepNext w:val="0"/>
                    <w:keepLines w:val="0"/>
                    <w:widowControl/>
                    <w:suppressLineNumbers w:val="0"/>
                    <w:spacing w:before="0" w:beforeAutospacing="0" w:after="0" w:afterAutospacing="0"/>
                    <w:ind w:left="0" w:right="0"/>
                    <w:jc w:val="center"/>
                    <w:rPr>
                      <w:rFonts w:hint="default" w:ascii="Times New Roman" w:hAnsi="Times New Roman" w:eastAsia="宋体" w:cs="宋体"/>
                      <w:color w:val="auto"/>
                      <w:kern w:val="0"/>
                      <w:sz w:val="21"/>
                      <w:szCs w:val="21"/>
                      <w:lang w:val="en-US" w:eastAsia="zh-CN" w:bidi="ar"/>
                    </w:rPr>
                  </w:pPr>
                  <w:r>
                    <w:rPr>
                      <w:rFonts w:hint="eastAsia" w:cs="宋体"/>
                      <w:color w:val="auto"/>
                      <w:kern w:val="0"/>
                      <w:sz w:val="21"/>
                      <w:szCs w:val="21"/>
                      <w:lang w:val="en-US" w:eastAsia="zh-CN" w:bidi="ar"/>
                    </w:rPr>
                    <w:t>除尘器废布袋</w:t>
                  </w:r>
                </w:p>
              </w:tc>
              <w:tc>
                <w:tcPr>
                  <w:tcW w:w="1346" w:type="pct"/>
                  <w:tcBorders>
                    <w:tl2br w:val="nil"/>
                    <w:tr2bl w:val="nil"/>
                  </w:tcBorders>
                  <w:vAlign w:val="center"/>
                </w:tcPr>
                <w:p w14:paraId="09C137B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更换后立即外售处置，不在项目区内储存</w:t>
                  </w:r>
                </w:p>
              </w:tc>
              <w:tc>
                <w:tcPr>
                  <w:tcW w:w="1739" w:type="pct"/>
                  <w:tcBorders>
                    <w:tl2br w:val="nil"/>
                    <w:tr2bl w:val="nil"/>
                  </w:tcBorders>
                  <w:vAlign w:val="center"/>
                </w:tcPr>
                <w:p w14:paraId="7AA078FC">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02213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3F725606">
                  <w:pPr>
                    <w:keepNext w:val="0"/>
                    <w:keepLines w:val="0"/>
                    <w:suppressLineNumbers w:val="0"/>
                    <w:tabs>
                      <w:tab w:val="left" w:pos="360"/>
                    </w:tabs>
                    <w:spacing w:before="0" w:beforeAutospacing="0" w:after="0" w:afterAutospacing="0"/>
                    <w:ind w:left="0" w:right="0"/>
                    <w:jc w:val="center"/>
                    <w:rPr>
                      <w:rFonts w:hint="default" w:ascii="Times New Roman" w:hAnsi="Times New Roman" w:eastAsia="宋体"/>
                      <w:color w:val="auto"/>
                      <w:sz w:val="21"/>
                      <w:szCs w:val="21"/>
                      <w:lang w:bidi="ar"/>
                    </w:rPr>
                  </w:pPr>
                </w:p>
              </w:tc>
              <w:tc>
                <w:tcPr>
                  <w:tcW w:w="527" w:type="pct"/>
                  <w:vMerge w:val="continue"/>
                  <w:tcBorders>
                    <w:tl2br w:val="nil"/>
                    <w:tr2bl w:val="nil"/>
                  </w:tcBorders>
                  <w:vAlign w:val="center"/>
                </w:tcPr>
                <w:p w14:paraId="109F2C6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 w:val="0"/>
                      <w:bCs w:val="0"/>
                      <w:color w:val="auto"/>
                      <w:kern w:val="2"/>
                      <w:sz w:val="21"/>
                      <w:szCs w:val="21"/>
                      <w:lang w:val="en-US" w:eastAsia="zh-CN" w:bidi="ar-SA"/>
                    </w:rPr>
                  </w:pPr>
                </w:p>
              </w:tc>
              <w:tc>
                <w:tcPr>
                  <w:tcW w:w="1110" w:type="pct"/>
                  <w:tcBorders>
                    <w:tl2br w:val="nil"/>
                    <w:tr2bl w:val="nil"/>
                  </w:tcBorders>
                  <w:vAlign w:val="center"/>
                </w:tcPr>
                <w:p w14:paraId="2E553253">
                  <w:pPr>
                    <w:keepNext w:val="0"/>
                    <w:keepLines w:val="0"/>
                    <w:widowControl/>
                    <w:suppressLineNumbers w:val="0"/>
                    <w:spacing w:before="0" w:beforeAutospacing="0" w:after="0" w:afterAutospacing="0"/>
                    <w:ind w:left="0" w:right="0"/>
                    <w:jc w:val="center"/>
                    <w:rPr>
                      <w:rFonts w:hint="default" w:ascii="Times New Roman" w:hAnsi="Times New Roman" w:eastAsia="宋体" w:cs="宋体"/>
                      <w:color w:val="auto"/>
                      <w:kern w:val="0"/>
                      <w:sz w:val="21"/>
                      <w:szCs w:val="21"/>
                      <w:lang w:val="en-US" w:eastAsia="zh-CN" w:bidi="ar"/>
                    </w:rPr>
                  </w:pPr>
                  <w:r>
                    <w:rPr>
                      <w:rFonts w:hint="eastAsia" w:cs="宋体"/>
                      <w:color w:val="auto"/>
                      <w:kern w:val="0"/>
                      <w:sz w:val="21"/>
                      <w:szCs w:val="21"/>
                      <w:lang w:val="en-US" w:eastAsia="zh-CN" w:bidi="ar"/>
                    </w:rPr>
                    <w:t>废机油、废机油桶、含油废抹布及含油废手套</w:t>
                  </w:r>
                </w:p>
              </w:tc>
              <w:tc>
                <w:tcPr>
                  <w:tcW w:w="1346" w:type="pct"/>
                  <w:tcBorders>
                    <w:tl2br w:val="nil"/>
                    <w:tr2bl w:val="nil"/>
                  </w:tcBorders>
                  <w:vAlign w:val="center"/>
                </w:tcPr>
                <w:p w14:paraId="7FDA062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危废库分类收集暂存，交由有资质的单位处理</w:t>
                  </w:r>
                </w:p>
              </w:tc>
              <w:tc>
                <w:tcPr>
                  <w:tcW w:w="1739" w:type="pct"/>
                  <w:tcBorders>
                    <w:tl2br w:val="nil"/>
                    <w:tr2bl w:val="nil"/>
                  </w:tcBorders>
                  <w:vAlign w:val="center"/>
                </w:tcPr>
                <w:p w14:paraId="540E719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olor w:val="auto"/>
                      <w:lang w:val="en-US" w:eastAsia="zh-CN"/>
                    </w:rPr>
                    <w:t>《危险废物贮存污染控制标准》（GB 18597-2023）中的有关规定</w:t>
                  </w:r>
                </w:p>
              </w:tc>
            </w:tr>
          </w:tbl>
          <w:p w14:paraId="5AE2FD4A">
            <w:pPr>
              <w:pStyle w:val="2"/>
              <w:keepNext w:val="0"/>
              <w:keepLines w:val="0"/>
              <w:suppressLineNumbers w:val="0"/>
              <w:spacing w:before="0" w:beforeAutospacing="0" w:after="0" w:afterAutospacing="0"/>
              <w:ind w:left="0" w:right="0"/>
              <w:jc w:val="right"/>
              <w:rPr>
                <w:rFonts w:hint="eastAsia"/>
                <w:color w:val="auto"/>
                <w:lang w:val="en-US" w:eastAsia="zh-CN"/>
              </w:rPr>
            </w:pPr>
          </w:p>
          <w:p w14:paraId="7E19214F">
            <w:pPr>
              <w:keepNext w:val="0"/>
              <w:keepLines w:val="0"/>
              <w:suppressLineNumbers w:val="0"/>
              <w:spacing w:before="0" w:beforeAutospacing="0" w:after="0" w:afterAutospacing="0"/>
              <w:ind w:left="0" w:right="0"/>
              <w:jc w:val="right"/>
              <w:rPr>
                <w:rFonts w:hint="eastAsia"/>
                <w:color w:val="auto"/>
                <w:lang w:val="en-US" w:eastAsia="zh-CN"/>
              </w:rPr>
            </w:pPr>
          </w:p>
          <w:p w14:paraId="22A06560">
            <w:pPr>
              <w:pStyle w:val="2"/>
              <w:keepNext w:val="0"/>
              <w:keepLines w:val="0"/>
              <w:suppressLineNumbers w:val="0"/>
              <w:spacing w:before="0" w:beforeAutospacing="0" w:after="0" w:afterAutospacing="0"/>
              <w:ind w:left="0" w:right="0"/>
              <w:jc w:val="right"/>
              <w:rPr>
                <w:rFonts w:hint="eastAsia"/>
                <w:color w:val="auto"/>
                <w:lang w:val="en-US" w:eastAsia="zh-CN"/>
              </w:rPr>
            </w:pPr>
          </w:p>
          <w:p w14:paraId="5354F8EC">
            <w:pPr>
              <w:keepNext w:val="0"/>
              <w:keepLines w:val="0"/>
              <w:suppressLineNumbers w:val="0"/>
              <w:spacing w:before="0" w:beforeAutospacing="0" w:after="0" w:afterAutospacing="0"/>
              <w:ind w:left="0" w:right="0"/>
              <w:jc w:val="right"/>
              <w:rPr>
                <w:rFonts w:hint="eastAsia"/>
                <w:color w:val="auto"/>
                <w:lang w:val="en-US" w:eastAsia="zh-CN"/>
              </w:rPr>
            </w:pPr>
          </w:p>
          <w:p w14:paraId="59FCC67B">
            <w:pPr>
              <w:pStyle w:val="2"/>
              <w:keepNext w:val="0"/>
              <w:keepLines w:val="0"/>
              <w:suppressLineNumbers w:val="0"/>
              <w:spacing w:before="0" w:beforeAutospacing="0" w:after="0" w:afterAutospacing="0"/>
              <w:ind w:left="0" w:right="0"/>
              <w:jc w:val="right"/>
              <w:rPr>
                <w:rFonts w:hint="eastAsia"/>
                <w:color w:val="auto"/>
                <w:lang w:val="en-US" w:eastAsia="zh-CN"/>
              </w:rPr>
            </w:pPr>
          </w:p>
          <w:p w14:paraId="156C994B">
            <w:pPr>
              <w:keepNext w:val="0"/>
              <w:keepLines w:val="0"/>
              <w:suppressLineNumbers w:val="0"/>
              <w:spacing w:before="0" w:beforeAutospacing="0" w:after="0" w:afterAutospacing="0"/>
              <w:ind w:left="0" w:right="0"/>
              <w:jc w:val="right"/>
              <w:rPr>
                <w:rFonts w:hint="eastAsia"/>
                <w:color w:val="auto"/>
                <w:lang w:val="en-US" w:eastAsia="zh-CN"/>
              </w:rPr>
            </w:pPr>
          </w:p>
          <w:p w14:paraId="56002FA5">
            <w:pPr>
              <w:pStyle w:val="2"/>
              <w:keepNext w:val="0"/>
              <w:keepLines w:val="0"/>
              <w:suppressLineNumbers w:val="0"/>
              <w:spacing w:before="0" w:beforeAutospacing="0" w:after="0" w:afterAutospacing="0"/>
              <w:ind w:left="0" w:right="0"/>
              <w:jc w:val="right"/>
              <w:rPr>
                <w:rFonts w:hint="eastAsia"/>
                <w:color w:val="auto"/>
                <w:lang w:val="en-US" w:eastAsia="zh-CN"/>
              </w:rPr>
            </w:pPr>
          </w:p>
          <w:p w14:paraId="7CDFF849">
            <w:pPr>
              <w:keepNext w:val="0"/>
              <w:keepLines w:val="0"/>
              <w:suppressLineNumbers w:val="0"/>
              <w:spacing w:before="0" w:beforeAutospacing="0" w:after="0" w:afterAutospacing="0"/>
              <w:ind w:left="0" w:right="0"/>
              <w:jc w:val="right"/>
              <w:rPr>
                <w:rFonts w:hint="eastAsia"/>
                <w:color w:val="auto"/>
                <w:lang w:val="en-US" w:eastAsia="zh-CN"/>
              </w:rPr>
            </w:pPr>
          </w:p>
          <w:p w14:paraId="6E990C66">
            <w:pPr>
              <w:pStyle w:val="2"/>
              <w:keepNext w:val="0"/>
              <w:keepLines w:val="0"/>
              <w:suppressLineNumbers w:val="0"/>
              <w:spacing w:before="0" w:beforeAutospacing="0" w:after="0" w:afterAutospacing="0"/>
              <w:ind w:left="0" w:right="0"/>
              <w:jc w:val="right"/>
              <w:rPr>
                <w:rFonts w:hint="eastAsia"/>
                <w:color w:val="auto"/>
                <w:lang w:val="en-US" w:eastAsia="zh-CN"/>
              </w:rPr>
            </w:pPr>
          </w:p>
          <w:p w14:paraId="79954E5E">
            <w:pPr>
              <w:keepNext w:val="0"/>
              <w:keepLines w:val="0"/>
              <w:suppressLineNumbers w:val="0"/>
              <w:spacing w:before="0" w:beforeAutospacing="0" w:after="0" w:afterAutospacing="0"/>
              <w:ind w:left="0" w:right="0"/>
              <w:jc w:val="right"/>
              <w:rPr>
                <w:rFonts w:hint="eastAsia"/>
                <w:color w:val="auto"/>
                <w:lang w:val="en-US" w:eastAsia="zh-CN"/>
              </w:rPr>
            </w:pPr>
          </w:p>
          <w:p w14:paraId="04D7982F">
            <w:pPr>
              <w:pStyle w:val="2"/>
              <w:keepNext w:val="0"/>
              <w:keepLines w:val="0"/>
              <w:suppressLineNumbers w:val="0"/>
              <w:spacing w:before="0" w:beforeAutospacing="0" w:after="0" w:afterAutospacing="0"/>
              <w:ind w:left="0" w:right="0"/>
              <w:jc w:val="right"/>
              <w:rPr>
                <w:rFonts w:hint="eastAsia"/>
                <w:color w:val="auto"/>
                <w:lang w:val="en-US" w:eastAsia="zh-CN"/>
              </w:rPr>
            </w:pPr>
          </w:p>
          <w:p w14:paraId="3AF3BA5E">
            <w:pPr>
              <w:keepNext w:val="0"/>
              <w:keepLines w:val="0"/>
              <w:suppressLineNumbers w:val="0"/>
              <w:spacing w:before="0" w:beforeAutospacing="0" w:after="0" w:afterAutospacing="0"/>
              <w:ind w:left="0" w:right="0"/>
              <w:jc w:val="right"/>
              <w:rPr>
                <w:rFonts w:hint="eastAsia"/>
                <w:color w:val="auto"/>
                <w:lang w:val="en-US" w:eastAsia="zh-CN"/>
              </w:rPr>
            </w:pPr>
          </w:p>
          <w:p w14:paraId="661EAB9E">
            <w:pPr>
              <w:pStyle w:val="2"/>
              <w:keepNext w:val="0"/>
              <w:keepLines w:val="0"/>
              <w:suppressLineNumbers w:val="0"/>
              <w:spacing w:before="0" w:beforeAutospacing="0" w:after="0" w:afterAutospacing="0"/>
              <w:ind w:left="0" w:right="0"/>
              <w:jc w:val="right"/>
              <w:rPr>
                <w:rFonts w:hint="eastAsia"/>
                <w:color w:val="auto"/>
                <w:lang w:val="en-US" w:eastAsia="zh-CN"/>
              </w:rPr>
            </w:pPr>
          </w:p>
          <w:p w14:paraId="30769CB8">
            <w:pPr>
              <w:keepNext w:val="0"/>
              <w:keepLines w:val="0"/>
              <w:suppressLineNumbers w:val="0"/>
              <w:spacing w:before="0" w:beforeAutospacing="0" w:after="0" w:afterAutospacing="0"/>
              <w:ind w:left="0" w:right="0"/>
              <w:jc w:val="right"/>
              <w:rPr>
                <w:rFonts w:hint="eastAsia"/>
                <w:color w:val="auto"/>
                <w:lang w:val="en-US" w:eastAsia="zh-CN"/>
              </w:rPr>
            </w:pPr>
          </w:p>
          <w:p w14:paraId="6687D962">
            <w:pPr>
              <w:pStyle w:val="2"/>
              <w:keepNext w:val="0"/>
              <w:keepLines w:val="0"/>
              <w:suppressLineNumbers w:val="0"/>
              <w:spacing w:before="0" w:beforeAutospacing="0" w:after="0" w:afterAutospacing="0"/>
              <w:ind w:left="0" w:right="0"/>
              <w:jc w:val="right"/>
              <w:rPr>
                <w:rFonts w:hint="eastAsia"/>
                <w:color w:val="auto"/>
                <w:lang w:val="en-US" w:eastAsia="zh-CN"/>
              </w:rPr>
            </w:pPr>
          </w:p>
          <w:p w14:paraId="18AAEB84">
            <w:pPr>
              <w:keepNext w:val="0"/>
              <w:keepLines w:val="0"/>
              <w:suppressLineNumbers w:val="0"/>
              <w:spacing w:before="0" w:beforeAutospacing="0" w:after="0" w:afterAutospacing="0"/>
              <w:ind w:left="0" w:right="0"/>
              <w:jc w:val="right"/>
              <w:rPr>
                <w:rFonts w:hint="eastAsia"/>
                <w:color w:val="auto"/>
                <w:lang w:val="en-US" w:eastAsia="zh-CN"/>
              </w:rPr>
            </w:pPr>
          </w:p>
          <w:p w14:paraId="52A3BA6A">
            <w:pPr>
              <w:pStyle w:val="2"/>
              <w:keepNext w:val="0"/>
              <w:keepLines w:val="0"/>
              <w:suppressLineNumbers w:val="0"/>
              <w:spacing w:before="0" w:beforeAutospacing="0" w:after="0" w:afterAutospacing="0"/>
              <w:ind w:left="0" w:right="0"/>
              <w:jc w:val="right"/>
              <w:rPr>
                <w:rFonts w:hint="eastAsia"/>
                <w:color w:val="auto"/>
                <w:lang w:val="en-US" w:eastAsia="zh-CN"/>
              </w:rPr>
            </w:pPr>
          </w:p>
          <w:p w14:paraId="22DB8C64">
            <w:pPr>
              <w:keepNext w:val="0"/>
              <w:keepLines w:val="0"/>
              <w:suppressLineNumbers w:val="0"/>
              <w:spacing w:before="0" w:beforeAutospacing="0" w:after="0" w:afterAutospacing="0"/>
              <w:ind w:left="0" w:right="0"/>
              <w:jc w:val="right"/>
              <w:rPr>
                <w:rFonts w:hint="eastAsia"/>
                <w:color w:val="auto"/>
                <w:lang w:val="en-US" w:eastAsia="zh-CN"/>
              </w:rPr>
            </w:pPr>
          </w:p>
          <w:p w14:paraId="72E45EF0">
            <w:pPr>
              <w:pStyle w:val="2"/>
              <w:keepNext w:val="0"/>
              <w:keepLines w:val="0"/>
              <w:suppressLineNumbers w:val="0"/>
              <w:spacing w:before="0" w:beforeAutospacing="0" w:after="0" w:afterAutospacing="0"/>
              <w:ind w:left="0" w:right="0"/>
              <w:jc w:val="right"/>
              <w:rPr>
                <w:rFonts w:hint="eastAsia"/>
                <w:color w:val="auto"/>
                <w:lang w:val="en-US" w:eastAsia="zh-CN"/>
              </w:rPr>
            </w:pPr>
          </w:p>
          <w:p w14:paraId="7E133574">
            <w:pPr>
              <w:keepNext w:val="0"/>
              <w:keepLines w:val="0"/>
              <w:suppressLineNumbers w:val="0"/>
              <w:spacing w:before="0" w:beforeAutospacing="0" w:after="0" w:afterAutospacing="0"/>
              <w:ind w:left="0" w:right="0"/>
              <w:jc w:val="right"/>
              <w:rPr>
                <w:rFonts w:hint="eastAsia"/>
                <w:color w:val="auto"/>
                <w:lang w:val="en-US" w:eastAsia="zh-CN"/>
              </w:rPr>
            </w:pPr>
          </w:p>
          <w:p w14:paraId="52E8C2B8">
            <w:pPr>
              <w:pStyle w:val="2"/>
              <w:keepNext w:val="0"/>
              <w:keepLines w:val="0"/>
              <w:suppressLineNumbers w:val="0"/>
              <w:spacing w:before="0" w:beforeAutospacing="0" w:after="0" w:afterAutospacing="0"/>
              <w:ind w:left="0" w:right="0"/>
              <w:jc w:val="right"/>
              <w:rPr>
                <w:rFonts w:hint="eastAsia"/>
                <w:color w:val="auto"/>
                <w:lang w:val="en-US" w:eastAsia="zh-CN"/>
              </w:rPr>
            </w:pPr>
          </w:p>
          <w:p w14:paraId="7CF5D42C">
            <w:pPr>
              <w:keepNext w:val="0"/>
              <w:keepLines w:val="0"/>
              <w:suppressLineNumbers w:val="0"/>
              <w:spacing w:before="0" w:beforeAutospacing="0" w:after="0" w:afterAutospacing="0"/>
              <w:ind w:left="0" w:right="0"/>
              <w:jc w:val="right"/>
              <w:rPr>
                <w:rFonts w:hint="eastAsia"/>
                <w:color w:val="auto"/>
                <w:lang w:val="en-US" w:eastAsia="zh-CN"/>
              </w:rPr>
            </w:pPr>
          </w:p>
          <w:p w14:paraId="7664D3D7">
            <w:pPr>
              <w:pStyle w:val="2"/>
              <w:keepNext w:val="0"/>
              <w:keepLines w:val="0"/>
              <w:suppressLineNumbers w:val="0"/>
              <w:spacing w:before="0" w:beforeAutospacing="0" w:after="0" w:afterAutospacing="0"/>
              <w:ind w:left="0" w:right="0"/>
              <w:jc w:val="right"/>
              <w:rPr>
                <w:rFonts w:hint="eastAsia"/>
                <w:color w:val="auto"/>
                <w:lang w:val="en-US" w:eastAsia="zh-CN"/>
              </w:rPr>
            </w:pPr>
          </w:p>
          <w:p w14:paraId="160DB100">
            <w:pPr>
              <w:keepNext w:val="0"/>
              <w:keepLines w:val="0"/>
              <w:suppressLineNumbers w:val="0"/>
              <w:spacing w:before="0" w:beforeAutospacing="0" w:after="0" w:afterAutospacing="0"/>
              <w:ind w:left="0" w:right="0"/>
              <w:jc w:val="right"/>
              <w:rPr>
                <w:rFonts w:hint="eastAsia"/>
                <w:color w:val="auto"/>
                <w:lang w:val="en-US" w:eastAsia="zh-CN"/>
              </w:rPr>
            </w:pPr>
          </w:p>
          <w:p w14:paraId="40A21C7F">
            <w:pPr>
              <w:pStyle w:val="2"/>
              <w:keepNext w:val="0"/>
              <w:keepLines w:val="0"/>
              <w:suppressLineNumbers w:val="0"/>
              <w:spacing w:before="0" w:beforeAutospacing="0" w:after="0" w:afterAutospacing="0"/>
              <w:ind w:left="0" w:right="0"/>
              <w:jc w:val="right"/>
              <w:rPr>
                <w:rFonts w:hint="eastAsia"/>
                <w:color w:val="auto"/>
                <w:lang w:val="en-US" w:eastAsia="zh-CN"/>
              </w:rPr>
            </w:pPr>
          </w:p>
          <w:p w14:paraId="2B89CD42">
            <w:pPr>
              <w:keepNext w:val="0"/>
              <w:keepLines w:val="0"/>
              <w:suppressLineNumbers w:val="0"/>
              <w:spacing w:before="0" w:beforeAutospacing="0" w:after="0" w:afterAutospacing="0"/>
              <w:ind w:left="0" w:right="0"/>
              <w:jc w:val="right"/>
              <w:rPr>
                <w:rFonts w:hint="eastAsia"/>
                <w:color w:val="auto"/>
                <w:lang w:val="en-US" w:eastAsia="zh-CN"/>
              </w:rPr>
            </w:pPr>
          </w:p>
          <w:p w14:paraId="457E0B9E">
            <w:pPr>
              <w:pStyle w:val="2"/>
              <w:keepNext w:val="0"/>
              <w:keepLines w:val="0"/>
              <w:suppressLineNumbers w:val="0"/>
              <w:spacing w:before="0" w:beforeAutospacing="0" w:after="0" w:afterAutospacing="0"/>
              <w:ind w:left="0" w:right="0"/>
              <w:jc w:val="right"/>
              <w:rPr>
                <w:rFonts w:hint="eastAsia"/>
                <w:color w:val="auto"/>
                <w:lang w:val="en-US" w:eastAsia="zh-CN"/>
              </w:rPr>
            </w:pPr>
          </w:p>
          <w:p w14:paraId="1D2C82B6">
            <w:pPr>
              <w:keepNext w:val="0"/>
              <w:keepLines w:val="0"/>
              <w:suppressLineNumbers w:val="0"/>
              <w:spacing w:before="0" w:beforeAutospacing="0" w:after="0" w:afterAutospacing="0"/>
              <w:ind w:left="0" w:right="0"/>
              <w:jc w:val="right"/>
              <w:rPr>
                <w:rFonts w:hint="eastAsia"/>
                <w:color w:val="auto"/>
                <w:lang w:val="en-US" w:eastAsia="zh-CN"/>
              </w:rPr>
            </w:pPr>
          </w:p>
          <w:p w14:paraId="10928D51">
            <w:pPr>
              <w:pStyle w:val="2"/>
              <w:keepNext w:val="0"/>
              <w:keepLines w:val="0"/>
              <w:suppressLineNumbers w:val="0"/>
              <w:spacing w:before="0" w:beforeAutospacing="0" w:after="0" w:afterAutospacing="0"/>
              <w:ind w:left="0" w:right="0"/>
              <w:jc w:val="right"/>
              <w:rPr>
                <w:rFonts w:hint="eastAsia"/>
                <w:color w:val="auto"/>
                <w:lang w:val="en-US" w:eastAsia="zh-CN"/>
              </w:rPr>
            </w:pPr>
          </w:p>
          <w:p w14:paraId="1B1BCCF4">
            <w:pPr>
              <w:keepNext w:val="0"/>
              <w:keepLines w:val="0"/>
              <w:suppressLineNumbers w:val="0"/>
              <w:spacing w:before="0" w:beforeAutospacing="0" w:after="0" w:afterAutospacing="0"/>
              <w:ind w:left="0" w:right="0"/>
              <w:jc w:val="right"/>
              <w:rPr>
                <w:rFonts w:hint="eastAsia"/>
                <w:color w:val="auto"/>
                <w:lang w:val="en-US" w:eastAsia="zh-CN"/>
              </w:rPr>
            </w:pPr>
          </w:p>
          <w:p w14:paraId="210CDB1E">
            <w:pPr>
              <w:pStyle w:val="2"/>
              <w:keepNext w:val="0"/>
              <w:keepLines w:val="0"/>
              <w:suppressLineNumbers w:val="0"/>
              <w:spacing w:before="0" w:beforeAutospacing="0" w:after="0" w:afterAutospacing="0"/>
              <w:ind w:left="0" w:right="0"/>
              <w:jc w:val="right"/>
              <w:rPr>
                <w:rFonts w:hint="eastAsia"/>
                <w:color w:val="auto"/>
                <w:lang w:val="en-US" w:eastAsia="zh-CN"/>
              </w:rPr>
            </w:pPr>
          </w:p>
          <w:p w14:paraId="5FB2F591">
            <w:pPr>
              <w:keepNext w:val="0"/>
              <w:keepLines w:val="0"/>
              <w:suppressLineNumbers w:val="0"/>
              <w:spacing w:before="0" w:beforeAutospacing="0" w:after="0" w:afterAutospacing="0"/>
              <w:ind w:left="0" w:right="0"/>
              <w:jc w:val="right"/>
              <w:rPr>
                <w:rFonts w:hint="eastAsia"/>
                <w:color w:val="auto"/>
                <w:lang w:val="en-US" w:eastAsia="zh-CN"/>
              </w:rPr>
            </w:pPr>
          </w:p>
          <w:p w14:paraId="7942C20C">
            <w:pPr>
              <w:pStyle w:val="2"/>
              <w:keepNext w:val="0"/>
              <w:keepLines w:val="0"/>
              <w:suppressLineNumbers w:val="0"/>
              <w:spacing w:before="0" w:beforeAutospacing="0" w:after="0" w:afterAutospacing="0"/>
              <w:ind w:left="0" w:right="0"/>
              <w:jc w:val="right"/>
              <w:rPr>
                <w:rFonts w:hint="eastAsia"/>
                <w:color w:val="auto"/>
                <w:lang w:val="en-US" w:eastAsia="zh-CN"/>
              </w:rPr>
            </w:pPr>
          </w:p>
          <w:p w14:paraId="4857DAF0">
            <w:pPr>
              <w:keepNext w:val="0"/>
              <w:keepLines w:val="0"/>
              <w:suppressLineNumbers w:val="0"/>
              <w:spacing w:before="0" w:beforeAutospacing="0" w:after="0" w:afterAutospacing="0"/>
              <w:ind w:left="0" w:right="0"/>
              <w:jc w:val="right"/>
              <w:rPr>
                <w:rFonts w:hint="eastAsia"/>
                <w:color w:val="auto"/>
                <w:lang w:val="en-US" w:eastAsia="zh-CN"/>
              </w:rPr>
            </w:pPr>
          </w:p>
          <w:p w14:paraId="63FD5490">
            <w:pPr>
              <w:pStyle w:val="2"/>
              <w:keepNext w:val="0"/>
              <w:keepLines w:val="0"/>
              <w:suppressLineNumbers w:val="0"/>
              <w:spacing w:before="0" w:beforeAutospacing="0" w:after="0" w:afterAutospacing="0"/>
              <w:ind w:left="0" w:right="0"/>
              <w:jc w:val="right"/>
              <w:rPr>
                <w:rFonts w:hint="eastAsia"/>
                <w:color w:val="auto"/>
                <w:lang w:val="en-US" w:eastAsia="zh-CN"/>
              </w:rPr>
            </w:pPr>
          </w:p>
          <w:p w14:paraId="679105BB">
            <w:pPr>
              <w:keepNext w:val="0"/>
              <w:keepLines w:val="0"/>
              <w:suppressLineNumbers w:val="0"/>
              <w:spacing w:before="0" w:beforeAutospacing="0" w:after="0" w:afterAutospacing="0"/>
              <w:ind w:left="0" w:right="0"/>
              <w:jc w:val="right"/>
              <w:rPr>
                <w:rFonts w:hint="eastAsia"/>
                <w:color w:val="auto"/>
                <w:lang w:val="en-US" w:eastAsia="zh-CN"/>
              </w:rPr>
            </w:pPr>
          </w:p>
          <w:p w14:paraId="0C8A8FE0">
            <w:pPr>
              <w:pStyle w:val="2"/>
              <w:keepNext w:val="0"/>
              <w:keepLines w:val="0"/>
              <w:suppressLineNumbers w:val="0"/>
              <w:spacing w:before="0" w:beforeAutospacing="0" w:after="0" w:afterAutospacing="0"/>
              <w:ind w:left="0" w:right="0"/>
              <w:jc w:val="right"/>
              <w:rPr>
                <w:rFonts w:hint="eastAsia"/>
                <w:color w:val="auto"/>
                <w:lang w:val="en-US" w:eastAsia="zh-CN"/>
              </w:rPr>
            </w:pPr>
          </w:p>
          <w:p w14:paraId="0D17CD64">
            <w:pPr>
              <w:keepNext w:val="0"/>
              <w:keepLines w:val="0"/>
              <w:suppressLineNumbers w:val="0"/>
              <w:spacing w:before="0" w:beforeAutospacing="0" w:after="0" w:afterAutospacing="0"/>
              <w:ind w:left="0" w:right="0"/>
              <w:jc w:val="right"/>
              <w:rPr>
                <w:rFonts w:hint="eastAsia"/>
                <w:color w:val="auto"/>
                <w:lang w:val="en-US" w:eastAsia="zh-CN"/>
              </w:rPr>
            </w:pPr>
          </w:p>
          <w:p w14:paraId="7581A08E">
            <w:pPr>
              <w:pStyle w:val="2"/>
              <w:keepNext w:val="0"/>
              <w:keepLines w:val="0"/>
              <w:suppressLineNumbers w:val="0"/>
              <w:spacing w:before="0" w:beforeAutospacing="0" w:after="0" w:afterAutospacing="0"/>
              <w:ind w:left="0" w:right="0"/>
              <w:jc w:val="right"/>
              <w:rPr>
                <w:rFonts w:hint="eastAsia"/>
                <w:color w:val="auto"/>
                <w:lang w:val="en-US" w:eastAsia="zh-CN"/>
              </w:rPr>
            </w:pPr>
          </w:p>
          <w:p w14:paraId="57E8BD84">
            <w:pPr>
              <w:keepNext w:val="0"/>
              <w:keepLines w:val="0"/>
              <w:suppressLineNumbers w:val="0"/>
              <w:spacing w:before="0" w:beforeAutospacing="0" w:after="0" w:afterAutospacing="0"/>
              <w:ind w:left="0" w:right="0"/>
              <w:jc w:val="right"/>
              <w:rPr>
                <w:rFonts w:hint="eastAsia"/>
                <w:color w:val="auto"/>
                <w:lang w:val="en-US" w:eastAsia="zh-CN"/>
              </w:rPr>
            </w:pPr>
          </w:p>
        </w:tc>
      </w:tr>
    </w:tbl>
    <w:p w14:paraId="5A67E79E">
      <w:pPr>
        <w:adjustRightInd w:val="0"/>
        <w:snapToGrid w:val="0"/>
        <w:spacing w:line="360" w:lineRule="auto"/>
        <w:rPr>
          <w:rFonts w:hint="default" w:ascii="Times New Roman" w:hAnsi="Times New Roman" w:eastAsia="宋体" w:cs="Times New Roman"/>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7C316C9D">
      <w:pPr>
        <w:pStyle w:val="48"/>
        <w:keepNext w:val="0"/>
        <w:keepLines w:val="0"/>
        <w:pageBreakBefore w:val="0"/>
        <w:widowControl/>
        <w:kinsoku/>
        <w:wordWrap/>
        <w:overflowPunct/>
        <w:topLinePunct w:val="0"/>
        <w:autoSpaceDE/>
        <w:autoSpaceDN/>
        <w:bidi w:val="0"/>
        <w:adjustRightInd/>
        <w:snapToGrid/>
        <w:spacing w:beforeAutospacing="0"/>
        <w:textAlignment w:val="auto"/>
        <w:rPr>
          <w:rFonts w:hint="default" w:ascii="Times New Roman" w:hAnsi="Times New Roman" w:eastAsia="宋体" w:cs="Times New Roman"/>
          <w:color w:val="auto"/>
        </w:rPr>
      </w:pPr>
      <w:bookmarkStart w:id="11" w:name="_Toc740"/>
      <w:bookmarkStart w:id="12" w:name="_Toc4757"/>
      <w:r>
        <w:rPr>
          <w:rFonts w:hint="default" w:ascii="Times New Roman" w:hAnsi="Times New Roman" w:eastAsia="宋体" w:cs="Times New Roman"/>
          <w:color w:val="auto"/>
        </w:rPr>
        <w:t>五、</w:t>
      </w:r>
      <w:bookmarkStart w:id="13" w:name="_Hlk54167917"/>
      <w:r>
        <w:rPr>
          <w:rFonts w:hint="default" w:ascii="Times New Roman" w:hAnsi="Times New Roman" w:eastAsia="宋体" w:cs="Times New Roman"/>
          <w:color w:val="auto"/>
        </w:rPr>
        <w:t>环境保护措施监督检查清单</w:t>
      </w:r>
      <w:bookmarkEnd w:id="11"/>
      <w:bookmarkEnd w:id="12"/>
      <w:bookmarkEnd w:id="13"/>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195"/>
        <w:gridCol w:w="1010"/>
        <w:gridCol w:w="2369"/>
        <w:gridCol w:w="3065"/>
      </w:tblGrid>
      <w:tr w14:paraId="0A84BF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tcBorders>
              <w:tl2br w:val="single" w:color="auto" w:sz="4" w:space="0"/>
            </w:tcBorders>
            <w:noWrap w:val="0"/>
            <w:vAlign w:val="top"/>
          </w:tcPr>
          <w:p w14:paraId="714EDEA6">
            <w:pPr>
              <w:keepNext w:val="0"/>
              <w:keepLines w:val="0"/>
              <w:suppressLineNumbers w:val="0"/>
              <w:adjustRightInd w:val="0"/>
              <w:snapToGrid w:val="0"/>
              <w:spacing w:before="0" w:beforeAutospacing="0" w:after="0" w:afterAutospacing="0"/>
              <w:ind w:left="0" w:right="0"/>
              <w:jc w:val="right"/>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内容</w:t>
            </w:r>
          </w:p>
          <w:p w14:paraId="72386B1E">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要素</w:t>
            </w:r>
          </w:p>
        </w:tc>
        <w:tc>
          <w:tcPr>
            <w:tcW w:w="1195" w:type="dxa"/>
            <w:noWrap w:val="0"/>
            <w:vAlign w:val="center"/>
          </w:tcPr>
          <w:p w14:paraId="044EDC1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排放口</w:t>
            </w:r>
            <w:r>
              <w:rPr>
                <w:rFonts w:hint="eastAsia" w:ascii="Times New Roman" w:hAnsi="Times New Roman" w:eastAsia="宋体" w:cs="Times New Roman"/>
                <w:b/>
                <w:color w:val="auto"/>
                <w:szCs w:val="21"/>
                <w:lang w:eastAsia="zh-CN"/>
              </w:rPr>
              <w:t>（</w:t>
            </w:r>
            <w:r>
              <w:rPr>
                <w:rFonts w:hint="default" w:ascii="Times New Roman" w:hAnsi="Times New Roman" w:eastAsia="宋体" w:cs="Times New Roman"/>
                <w:b/>
                <w:color w:val="auto"/>
                <w:szCs w:val="21"/>
              </w:rPr>
              <w:t>编号、名称</w:t>
            </w:r>
            <w:r>
              <w:rPr>
                <w:rFonts w:hint="eastAsia" w:cs="Times New Roman"/>
                <w:b/>
                <w:color w:val="auto"/>
                <w:szCs w:val="21"/>
                <w:lang w:eastAsia="zh-CN"/>
              </w:rPr>
              <w:t>）</w:t>
            </w:r>
            <w:r>
              <w:rPr>
                <w:rFonts w:hint="default" w:ascii="Times New Roman" w:hAnsi="Times New Roman" w:eastAsia="宋体" w:cs="Times New Roman"/>
                <w:b/>
                <w:color w:val="auto"/>
                <w:szCs w:val="21"/>
              </w:rPr>
              <w:t>/污染源</w:t>
            </w:r>
          </w:p>
        </w:tc>
        <w:tc>
          <w:tcPr>
            <w:tcW w:w="1010" w:type="dxa"/>
            <w:noWrap w:val="0"/>
            <w:vAlign w:val="center"/>
          </w:tcPr>
          <w:p w14:paraId="6399ED9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污染物项目</w:t>
            </w:r>
          </w:p>
        </w:tc>
        <w:tc>
          <w:tcPr>
            <w:tcW w:w="2369" w:type="dxa"/>
            <w:noWrap w:val="0"/>
            <w:vAlign w:val="center"/>
          </w:tcPr>
          <w:p w14:paraId="34E7F2E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环境保护措施</w:t>
            </w:r>
          </w:p>
        </w:tc>
        <w:tc>
          <w:tcPr>
            <w:tcW w:w="3065" w:type="dxa"/>
            <w:noWrap w:val="0"/>
            <w:vAlign w:val="center"/>
          </w:tcPr>
          <w:p w14:paraId="3FD9674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执行标准</w:t>
            </w:r>
          </w:p>
        </w:tc>
      </w:tr>
      <w:tr w14:paraId="574F0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restart"/>
            <w:noWrap w:val="0"/>
            <w:vAlign w:val="center"/>
          </w:tcPr>
          <w:p w14:paraId="497C583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大气环境</w:t>
            </w:r>
          </w:p>
        </w:tc>
        <w:tc>
          <w:tcPr>
            <w:tcW w:w="1195" w:type="dxa"/>
            <w:noWrap w:val="0"/>
            <w:vAlign w:val="center"/>
          </w:tcPr>
          <w:p w14:paraId="2A49B12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lang w:val="en-US" w:eastAsia="zh-CN"/>
              </w:rPr>
            </w:pPr>
            <w:r>
              <w:rPr>
                <w:rFonts w:hint="eastAsia" w:cs="Times New Roman"/>
                <w:color w:val="auto"/>
                <w:sz w:val="21"/>
                <w:szCs w:val="21"/>
                <w:lang w:val="en-US" w:eastAsia="zh-CN"/>
              </w:rPr>
              <w:t>生物质热风炉排放口</w:t>
            </w:r>
            <w:r>
              <w:rPr>
                <w:rFonts w:hint="eastAsia" w:ascii="Times New Roman" w:hAnsi="Times New Roman" w:eastAsia="宋体" w:cs="Times New Roman"/>
                <w:color w:val="auto"/>
                <w:sz w:val="21"/>
                <w:szCs w:val="21"/>
                <w:lang w:val="en-US" w:eastAsia="zh-CN"/>
              </w:rPr>
              <w:t>（DA001）</w:t>
            </w:r>
          </w:p>
        </w:tc>
        <w:tc>
          <w:tcPr>
            <w:tcW w:w="1010" w:type="dxa"/>
            <w:noWrap w:val="0"/>
            <w:vAlign w:val="center"/>
          </w:tcPr>
          <w:p w14:paraId="2D85896A">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 w:val="21"/>
                <w:szCs w:val="21"/>
                <w:lang w:val="en-US" w:eastAsia="zh-CN"/>
              </w:rPr>
              <w:t>颗粒物、</w:t>
            </w:r>
            <w:r>
              <w:rPr>
                <w:rFonts w:hint="default" w:ascii="Times New Roman" w:hAnsi="Times New Roman" w:eastAsia="宋体" w:cs="Times New Roman"/>
                <w:color w:val="auto"/>
                <w:kern w:val="2"/>
                <w:sz w:val="21"/>
                <w:szCs w:val="21"/>
                <w:lang w:val="en-US" w:eastAsia="zh-CN" w:bidi="ar"/>
              </w:rPr>
              <w:t>SO</w:t>
            </w:r>
            <w:r>
              <w:rPr>
                <w:rFonts w:hint="default" w:ascii="Times New Roman" w:hAnsi="Times New Roman" w:eastAsia="宋体" w:cs="Times New Roman"/>
                <w:color w:val="auto"/>
                <w:kern w:val="2"/>
                <w:sz w:val="21"/>
                <w:szCs w:val="21"/>
                <w:vertAlign w:val="subscript"/>
                <w:lang w:val="en-US" w:eastAsia="zh-CN" w:bidi="ar"/>
              </w:rPr>
              <w:t>2</w:t>
            </w:r>
            <w:r>
              <w:rPr>
                <w:rFonts w:hint="eastAsia" w:ascii="Times New Roman" w:hAnsi="Times New Roman" w:eastAsia="宋体" w:cs="Times New Roman"/>
                <w:color w:val="auto"/>
                <w:kern w:val="2"/>
                <w:sz w:val="21"/>
                <w:szCs w:val="21"/>
                <w:vertAlign w:val="baseline"/>
                <w:lang w:val="en-US" w:eastAsia="zh-CN" w:bidi="ar"/>
              </w:rPr>
              <w:t>、</w:t>
            </w:r>
            <w:r>
              <w:rPr>
                <w:rFonts w:hint="default" w:ascii="Times New Roman" w:hAnsi="Times New Roman" w:eastAsia="宋体" w:cs="Times New Roman"/>
                <w:color w:val="auto"/>
                <w:kern w:val="0"/>
                <w:sz w:val="21"/>
                <w:szCs w:val="21"/>
                <w:lang w:val="en-US" w:eastAsia="zh-CN" w:bidi="ar"/>
              </w:rPr>
              <w:t>NO</w:t>
            </w:r>
            <w:r>
              <w:rPr>
                <w:rFonts w:hint="default" w:ascii="Times New Roman" w:hAnsi="Times New Roman" w:eastAsia="宋体" w:cs="Times New Roman"/>
                <w:color w:val="auto"/>
                <w:kern w:val="0"/>
                <w:sz w:val="21"/>
                <w:szCs w:val="21"/>
                <w:vertAlign w:val="subscript"/>
                <w:lang w:val="en-US" w:eastAsia="zh-CN" w:bidi="ar"/>
              </w:rPr>
              <w:t>x</w:t>
            </w:r>
            <w:r>
              <w:rPr>
                <w:rFonts w:hint="eastAsia" w:ascii="Times New Roman" w:hAnsi="Times New Roman" w:eastAsia="宋体" w:cs="Times New Roman"/>
                <w:color w:val="auto"/>
                <w:kern w:val="0"/>
                <w:sz w:val="21"/>
                <w:szCs w:val="21"/>
                <w:vertAlign w:val="baseline"/>
                <w:lang w:val="en-US" w:eastAsia="zh-CN" w:bidi="ar"/>
              </w:rPr>
              <w:t>、</w:t>
            </w:r>
            <w:r>
              <w:rPr>
                <w:rFonts w:hint="eastAsia" w:cs="Times New Roman"/>
                <w:color w:val="auto"/>
                <w:kern w:val="0"/>
                <w:sz w:val="21"/>
                <w:szCs w:val="21"/>
                <w:vertAlign w:val="baseline"/>
                <w:lang w:val="en-US" w:eastAsia="zh-CN" w:bidi="ar"/>
              </w:rPr>
              <w:t>林格曼黑度</w:t>
            </w:r>
          </w:p>
        </w:tc>
        <w:tc>
          <w:tcPr>
            <w:tcW w:w="2369" w:type="dxa"/>
            <w:noWrap w:val="0"/>
            <w:vAlign w:val="center"/>
          </w:tcPr>
          <w:p w14:paraId="496CC8B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锅炉燃烧产生的废气经</w:t>
            </w:r>
            <w:r>
              <w:rPr>
                <w:rFonts w:hint="eastAsia" w:eastAsia="宋体" w:cs="Times New Roman"/>
                <w:color w:val="auto"/>
                <w:sz w:val="21"/>
                <w:szCs w:val="21"/>
                <w:lang w:val="en-US" w:eastAsia="zh-CN"/>
              </w:rPr>
              <w:t>SNCR+</w:t>
            </w:r>
            <w:r>
              <w:rPr>
                <w:rFonts w:hint="eastAsia" w:cs="Times New Roman"/>
                <w:color w:val="auto"/>
                <w:sz w:val="21"/>
                <w:szCs w:val="21"/>
                <w:lang w:val="en-US" w:eastAsia="zh-CN"/>
              </w:rPr>
              <w:t>旋风除尘+布袋除尘器</w:t>
            </w:r>
            <w:r>
              <w:rPr>
                <w:rFonts w:hint="eastAsia" w:ascii="Times New Roman" w:hAnsi="Times New Roman" w:eastAsia="宋体" w:cs="Times New Roman"/>
                <w:color w:val="auto"/>
                <w:sz w:val="21"/>
                <w:szCs w:val="21"/>
                <w:lang w:val="en-US" w:eastAsia="zh-CN"/>
              </w:rPr>
              <w:t>处理达标后，经</w:t>
            </w:r>
            <w:r>
              <w:rPr>
                <w:rFonts w:hint="eastAsia" w:cs="Times New Roman"/>
                <w:color w:val="auto"/>
                <w:sz w:val="21"/>
                <w:szCs w:val="21"/>
                <w:lang w:val="en-US" w:eastAsia="zh-CN"/>
              </w:rPr>
              <w:t>不低于17m</w:t>
            </w:r>
            <w:r>
              <w:rPr>
                <w:rFonts w:hint="eastAsia" w:ascii="Times New Roman" w:hAnsi="Times New Roman" w:eastAsia="宋体" w:cs="Times New Roman"/>
                <w:color w:val="auto"/>
                <w:sz w:val="21"/>
                <w:szCs w:val="21"/>
                <w:lang w:val="en-US" w:eastAsia="zh-CN"/>
              </w:rPr>
              <w:t>高排气筒排放。</w:t>
            </w:r>
          </w:p>
        </w:tc>
        <w:tc>
          <w:tcPr>
            <w:tcW w:w="3065" w:type="dxa"/>
            <w:noWrap w:val="0"/>
            <w:vAlign w:val="center"/>
          </w:tcPr>
          <w:p w14:paraId="5EF25712">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highlight w:val="none"/>
              </w:rPr>
              <w:t>《锅炉大气污染物排放标准》（GB13271-2014）表3燃气锅炉大气污染物特别排放限值</w:t>
            </w:r>
          </w:p>
        </w:tc>
      </w:tr>
      <w:tr w14:paraId="70CAF6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5EDADB8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p>
        </w:tc>
        <w:tc>
          <w:tcPr>
            <w:tcW w:w="1195" w:type="dxa"/>
            <w:noWrap w:val="0"/>
            <w:vAlign w:val="center"/>
          </w:tcPr>
          <w:p w14:paraId="21FB5188">
            <w:pPr>
              <w:keepNext w:val="0"/>
              <w:keepLines w:val="0"/>
              <w:suppressLineNumbers w:val="0"/>
              <w:adjustRightInd w:val="0"/>
              <w:snapToGrid w:val="0"/>
              <w:spacing w:before="0" w:beforeAutospacing="0" w:after="0" w:afterAutospacing="0"/>
              <w:ind w:left="0" w:leftChars="0" w:right="0" w:rightChars="0"/>
              <w:jc w:val="center"/>
              <w:rPr>
                <w:rFonts w:hint="eastAsia" w:cs="Times New Roman"/>
                <w:color w:val="auto"/>
                <w:sz w:val="21"/>
                <w:szCs w:val="21"/>
                <w:lang w:val="en-US" w:eastAsia="zh-CN"/>
              </w:rPr>
            </w:pPr>
            <w:r>
              <w:rPr>
                <w:rFonts w:hint="default" w:ascii="Times New Roman" w:hAnsi="Times New Roman" w:cs="Times New Roman"/>
                <w:color w:val="auto"/>
                <w:highlight w:val="none"/>
                <w:lang w:val="en-US" w:eastAsia="zh-CN"/>
              </w:rPr>
              <w:t>过筛和清理</w:t>
            </w:r>
          </w:p>
        </w:tc>
        <w:tc>
          <w:tcPr>
            <w:tcW w:w="1010" w:type="dxa"/>
            <w:noWrap w:val="0"/>
            <w:vAlign w:val="center"/>
          </w:tcPr>
          <w:p w14:paraId="49AEEEFF">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颗粒物</w:t>
            </w:r>
          </w:p>
        </w:tc>
        <w:tc>
          <w:tcPr>
            <w:tcW w:w="2369" w:type="dxa"/>
            <w:noWrap w:val="0"/>
            <w:vAlign w:val="center"/>
          </w:tcPr>
          <w:p w14:paraId="6215F592">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highlight w:val="none"/>
                <w:lang w:val="en-US" w:eastAsia="zh-CN"/>
              </w:rPr>
              <w:t>布袋除尘</w:t>
            </w:r>
          </w:p>
        </w:tc>
        <w:tc>
          <w:tcPr>
            <w:tcW w:w="3065" w:type="dxa"/>
            <w:vMerge w:val="restart"/>
            <w:noWrap w:val="0"/>
            <w:vAlign w:val="center"/>
          </w:tcPr>
          <w:p w14:paraId="2845B8EE">
            <w:pPr>
              <w:keepNext w:val="0"/>
              <w:keepLines w:val="0"/>
              <w:widowControl/>
              <w:suppressLineNumbers w:val="0"/>
              <w:spacing w:before="0" w:beforeAutospacing="0" w:after="0" w:afterAutospacing="0"/>
              <w:ind w:left="0" w:right="0"/>
              <w:jc w:val="center"/>
              <w:rPr>
                <w:rFonts w:hint="eastAsia" w:ascii="Times New Roman" w:hAnsi="Times New Roman" w:eastAsia="宋体"/>
                <w:bCs/>
                <w:color w:val="auto"/>
                <w:kern w:val="0"/>
                <w:sz w:val="21"/>
                <w:szCs w:val="21"/>
                <w:lang w:val="en-US" w:eastAsia="zh-CN"/>
              </w:rPr>
            </w:pPr>
            <w:r>
              <w:rPr>
                <w:rFonts w:hint="default" w:ascii="Times New Roman" w:hAnsi="Times New Roman" w:cs="Times New Roman"/>
                <w:color w:val="auto"/>
                <w:kern w:val="0"/>
                <w:szCs w:val="21"/>
                <w:highlight w:val="none"/>
              </w:rPr>
              <w:t>《大气污染物综合排放标准》（GB16297-1996）表2 无组织排放监控浓度限值</w:t>
            </w:r>
          </w:p>
        </w:tc>
      </w:tr>
      <w:tr w14:paraId="4BB53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vMerge w:val="continue"/>
            <w:noWrap w:val="0"/>
            <w:vAlign w:val="center"/>
          </w:tcPr>
          <w:p w14:paraId="45168C7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p>
        </w:tc>
        <w:tc>
          <w:tcPr>
            <w:tcW w:w="1195" w:type="dxa"/>
            <w:noWrap w:val="0"/>
            <w:vAlign w:val="center"/>
          </w:tcPr>
          <w:p w14:paraId="514B4EE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kern w:val="0"/>
                <w:sz w:val="21"/>
                <w:szCs w:val="21"/>
                <w:lang w:val="en-US" w:eastAsia="zh-CN"/>
              </w:rPr>
            </w:pPr>
            <w:r>
              <w:rPr>
                <w:rFonts w:hint="eastAsia" w:cs="Times New Roman"/>
                <w:color w:val="auto"/>
                <w:sz w:val="21"/>
                <w:szCs w:val="21"/>
                <w:lang w:val="en-US" w:eastAsia="zh-CN"/>
              </w:rPr>
              <w:t>厂界</w:t>
            </w:r>
          </w:p>
        </w:tc>
        <w:tc>
          <w:tcPr>
            <w:tcW w:w="1010" w:type="dxa"/>
            <w:noWrap w:val="0"/>
            <w:vAlign w:val="center"/>
          </w:tcPr>
          <w:p w14:paraId="480761D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kern w:val="0"/>
                <w:sz w:val="21"/>
                <w:szCs w:val="21"/>
                <w:lang w:val="en-US" w:eastAsia="zh-CN"/>
              </w:rPr>
            </w:pPr>
            <w:r>
              <w:rPr>
                <w:rFonts w:hint="eastAsia" w:cs="Times New Roman"/>
                <w:color w:val="auto"/>
                <w:sz w:val="21"/>
                <w:szCs w:val="21"/>
                <w:lang w:val="en-US" w:eastAsia="zh-CN"/>
              </w:rPr>
              <w:t>颗粒物</w:t>
            </w:r>
          </w:p>
        </w:tc>
        <w:tc>
          <w:tcPr>
            <w:tcW w:w="2369" w:type="dxa"/>
            <w:noWrap w:val="0"/>
            <w:vAlign w:val="center"/>
          </w:tcPr>
          <w:p w14:paraId="72FF5E3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kern w:val="0"/>
                <w:sz w:val="21"/>
                <w:szCs w:val="21"/>
                <w:lang w:val="en-US" w:eastAsia="zh-CN"/>
              </w:rPr>
            </w:pPr>
            <w:r>
              <w:rPr>
                <w:rFonts w:hint="eastAsia" w:cs="Times New Roman"/>
                <w:color w:val="auto"/>
                <w:sz w:val="21"/>
                <w:szCs w:val="21"/>
                <w:lang w:val="en-US" w:eastAsia="zh-CN"/>
              </w:rPr>
              <w:t>洒水降尘，锅炉灰渣及收集尘以编织袋覆盖</w:t>
            </w:r>
          </w:p>
        </w:tc>
        <w:tc>
          <w:tcPr>
            <w:tcW w:w="3065" w:type="dxa"/>
            <w:vMerge w:val="continue"/>
            <w:noWrap w:val="0"/>
            <w:vAlign w:val="center"/>
          </w:tcPr>
          <w:p w14:paraId="33B8669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4"/>
                <w:lang w:val="en-US" w:eastAsia="zh-CN" w:bidi="ar-SA"/>
              </w:rPr>
            </w:pPr>
          </w:p>
        </w:tc>
      </w:tr>
      <w:tr w14:paraId="1FD9F9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1421" w:type="dxa"/>
            <w:noWrap w:val="0"/>
            <w:vAlign w:val="center"/>
          </w:tcPr>
          <w:p w14:paraId="24F3BB2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地表水环境</w:t>
            </w:r>
          </w:p>
        </w:tc>
        <w:tc>
          <w:tcPr>
            <w:tcW w:w="1195" w:type="dxa"/>
            <w:noWrap w:val="0"/>
            <w:vAlign w:val="center"/>
          </w:tcPr>
          <w:p w14:paraId="295A77AB">
            <w:pPr>
              <w:pStyle w:val="7"/>
              <w:pageBreakBefore w:val="0"/>
              <w:widowControl w:val="0"/>
              <w:numPr>
                <w:ilvl w:val="3"/>
                <w:numId w:val="0"/>
              </w:numPr>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firstLine="0" w:firstLineChars="0"/>
              <w:jc w:val="center"/>
              <w:textAlignment w:val="auto"/>
              <w:rPr>
                <w:rFonts w:hint="default" w:ascii="Times New Roman" w:hAnsi="Times New Roman" w:eastAsia="宋体" w:cs="Times New Roman"/>
                <w:color w:val="auto"/>
                <w:szCs w:val="21"/>
              </w:rPr>
            </w:pPr>
            <w:r>
              <w:rPr>
                <w:rFonts w:hint="eastAsia"/>
                <w:b w:val="0"/>
                <w:bCs w:val="0"/>
                <w:color w:val="auto"/>
                <w:sz w:val="21"/>
                <w:szCs w:val="21"/>
                <w:lang w:val="en-US" w:eastAsia="zh-CN"/>
              </w:rPr>
              <w:t>生活污水</w:t>
            </w:r>
          </w:p>
        </w:tc>
        <w:tc>
          <w:tcPr>
            <w:tcW w:w="1010" w:type="dxa"/>
            <w:noWrap w:val="0"/>
            <w:vAlign w:val="center"/>
          </w:tcPr>
          <w:p w14:paraId="5F283B8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rPr>
            </w:pPr>
            <w:r>
              <w:rPr>
                <w:rFonts w:hint="eastAsia"/>
                <w:iCs/>
                <w:color w:val="auto"/>
                <w:sz w:val="21"/>
                <w:szCs w:val="21"/>
                <w:lang w:eastAsia="zh-CN"/>
              </w:rPr>
              <w:t>pH</w:t>
            </w:r>
            <w:r>
              <w:rPr>
                <w:rFonts w:hint="eastAsia" w:ascii="Times New Roman" w:hAnsi="Times New Roman" w:eastAsia="宋体"/>
                <w:iCs/>
                <w:color w:val="auto"/>
                <w:sz w:val="21"/>
                <w:szCs w:val="21"/>
              </w:rPr>
              <w:t>值、</w:t>
            </w:r>
            <w:r>
              <w:rPr>
                <w:rFonts w:hint="eastAsia"/>
                <w:iCs/>
                <w:color w:val="auto"/>
                <w:sz w:val="21"/>
                <w:szCs w:val="21"/>
                <w:lang w:val="en-US" w:eastAsia="zh-CN"/>
              </w:rPr>
              <w:t>COD、BOD</w:t>
            </w:r>
            <w:r>
              <w:rPr>
                <w:rFonts w:hint="eastAsia"/>
                <w:iCs/>
                <w:color w:val="auto"/>
                <w:sz w:val="21"/>
                <w:szCs w:val="21"/>
                <w:vertAlign w:val="subscript"/>
                <w:lang w:val="en-US" w:eastAsia="zh-CN"/>
              </w:rPr>
              <w:t>5</w:t>
            </w:r>
            <w:r>
              <w:rPr>
                <w:rFonts w:hint="eastAsia"/>
                <w:iCs/>
                <w:color w:val="auto"/>
                <w:sz w:val="21"/>
                <w:szCs w:val="21"/>
                <w:lang w:val="en-US" w:eastAsia="zh-CN"/>
              </w:rPr>
              <w:t>、氨氮</w:t>
            </w:r>
            <w:r>
              <w:rPr>
                <w:rFonts w:hint="eastAsia" w:ascii="Times New Roman" w:hAnsi="Times New Roman" w:eastAsia="宋体"/>
                <w:iCs/>
                <w:color w:val="auto"/>
                <w:sz w:val="21"/>
                <w:szCs w:val="21"/>
              </w:rPr>
              <w:t>、悬浮物</w:t>
            </w:r>
          </w:p>
        </w:tc>
        <w:tc>
          <w:tcPr>
            <w:tcW w:w="2369" w:type="dxa"/>
            <w:noWrap w:val="0"/>
            <w:vAlign w:val="center"/>
          </w:tcPr>
          <w:p w14:paraId="4148DD7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rPr>
            </w:pPr>
            <w:r>
              <w:rPr>
                <w:rFonts w:hint="eastAsia" w:cs="Times New Roman"/>
                <w:color w:val="auto"/>
                <w:sz w:val="21"/>
                <w:szCs w:val="21"/>
                <w:lang w:val="en-US" w:eastAsia="zh-CN"/>
              </w:rPr>
              <w:t>生活污水收集至化粪池，定期吸污拉运</w:t>
            </w:r>
            <w:r>
              <w:rPr>
                <w:rFonts w:hint="eastAsia" w:ascii="Times New Roman" w:hAnsi="Times New Roman" w:eastAsia="宋体" w:cs="Times New Roman"/>
                <w:color w:val="auto"/>
                <w:sz w:val="21"/>
                <w:szCs w:val="21"/>
                <w:lang w:val="en-US" w:eastAsia="zh-CN"/>
              </w:rPr>
              <w:t>至</w:t>
            </w:r>
            <w:r>
              <w:rPr>
                <w:rFonts w:hint="eastAsia" w:cs="Times New Roman"/>
                <w:color w:val="auto"/>
                <w:sz w:val="21"/>
                <w:szCs w:val="21"/>
                <w:lang w:val="en-US" w:eastAsia="zh-CN"/>
              </w:rPr>
              <w:t>天北经济技术开发区污水处理厂</w:t>
            </w:r>
            <w:r>
              <w:rPr>
                <w:rFonts w:hint="eastAsia" w:ascii="Times New Roman" w:hAnsi="Times New Roman" w:eastAsia="宋体" w:cs="Times New Roman"/>
                <w:color w:val="auto"/>
                <w:sz w:val="21"/>
                <w:szCs w:val="21"/>
                <w:lang w:val="en-US" w:eastAsia="zh-CN"/>
              </w:rPr>
              <w:t>处理。</w:t>
            </w:r>
          </w:p>
        </w:tc>
        <w:tc>
          <w:tcPr>
            <w:tcW w:w="3065" w:type="dxa"/>
            <w:noWrap w:val="0"/>
            <w:vAlign w:val="center"/>
          </w:tcPr>
          <w:p w14:paraId="6E71430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污水</w:t>
            </w:r>
            <w:r>
              <w:rPr>
                <w:rFonts w:hint="eastAsia" w:cs="Times New Roman"/>
                <w:color w:val="auto"/>
                <w:sz w:val="21"/>
                <w:szCs w:val="21"/>
                <w:lang w:val="en-US" w:eastAsia="zh-CN"/>
              </w:rPr>
              <w:t>综合</w:t>
            </w:r>
            <w:r>
              <w:rPr>
                <w:rFonts w:hint="eastAsia" w:ascii="Times New Roman" w:hAnsi="Times New Roman" w:eastAsia="宋体" w:cs="Times New Roman"/>
                <w:color w:val="auto"/>
                <w:sz w:val="21"/>
                <w:szCs w:val="21"/>
                <w:lang w:val="en-US" w:eastAsia="zh-CN"/>
              </w:rPr>
              <w:t>排放标准</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GB 8978-1996</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中三级标准</w:t>
            </w:r>
          </w:p>
        </w:tc>
      </w:tr>
      <w:tr w14:paraId="1341D0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noWrap w:val="0"/>
            <w:vAlign w:val="center"/>
          </w:tcPr>
          <w:p w14:paraId="531C620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eastAsia" w:cs="Times New Roman"/>
                <w:color w:val="auto"/>
                <w:szCs w:val="21"/>
                <w:lang w:eastAsia="zh-CN" w:bidi="ar"/>
              </w:rPr>
              <w:t>2</w:t>
            </w:r>
            <w:r>
              <w:rPr>
                <w:rFonts w:hint="default" w:ascii="Times New Roman" w:hAnsi="Times New Roman" w:eastAsia="宋体" w:cs="Times New Roman"/>
                <w:color w:val="auto"/>
                <w:szCs w:val="21"/>
                <w:lang w:bidi="ar"/>
              </w:rPr>
              <w:t>声环境</w:t>
            </w:r>
          </w:p>
        </w:tc>
        <w:tc>
          <w:tcPr>
            <w:tcW w:w="1195" w:type="dxa"/>
            <w:noWrap w:val="0"/>
            <w:vAlign w:val="center"/>
          </w:tcPr>
          <w:p w14:paraId="68BFC1E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kern w:val="0"/>
                <w:szCs w:val="21"/>
                <w:lang w:val="en-US" w:eastAsia="zh-CN" w:bidi="ar"/>
              </w:rPr>
              <w:t>生产</w:t>
            </w:r>
            <w:r>
              <w:rPr>
                <w:rFonts w:hint="default" w:ascii="Times New Roman" w:hAnsi="Times New Roman" w:eastAsia="宋体" w:cs="Times New Roman"/>
                <w:color w:val="auto"/>
                <w:kern w:val="0"/>
                <w:szCs w:val="21"/>
                <w:lang w:bidi="ar"/>
              </w:rPr>
              <w:t>设备</w:t>
            </w:r>
          </w:p>
        </w:tc>
        <w:tc>
          <w:tcPr>
            <w:tcW w:w="1010" w:type="dxa"/>
            <w:noWrap w:val="0"/>
            <w:vAlign w:val="center"/>
          </w:tcPr>
          <w:p w14:paraId="3DA3B4F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 w:val="21"/>
                <w:szCs w:val="21"/>
                <w:lang w:val="en-US" w:eastAsia="zh-CN"/>
              </w:rPr>
              <w:t>噪声</w:t>
            </w:r>
          </w:p>
        </w:tc>
        <w:tc>
          <w:tcPr>
            <w:tcW w:w="2369" w:type="dxa"/>
            <w:noWrap w:val="0"/>
            <w:vAlign w:val="center"/>
          </w:tcPr>
          <w:p w14:paraId="70B82DF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 w:val="21"/>
                <w:szCs w:val="21"/>
                <w:lang w:val="en-US" w:eastAsia="zh-CN"/>
              </w:rPr>
              <w:t>隔声、减振、消声。</w:t>
            </w:r>
          </w:p>
        </w:tc>
        <w:tc>
          <w:tcPr>
            <w:tcW w:w="3065" w:type="dxa"/>
            <w:noWrap w:val="0"/>
            <w:vAlign w:val="center"/>
          </w:tcPr>
          <w:p w14:paraId="75C6770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《工业企业厂界环境噪声排放标准》（GB12348-2008</w:t>
            </w:r>
            <w:r>
              <w:rPr>
                <w:rFonts w:hint="eastAsia" w:cs="Times New Roman"/>
                <w:color w:val="auto"/>
                <w:kern w:val="0"/>
                <w:szCs w:val="21"/>
                <w:lang w:eastAsia="zh-CN" w:bidi="ar"/>
              </w:rPr>
              <w:t>）</w:t>
            </w:r>
            <w:r>
              <w:rPr>
                <w:rFonts w:hint="eastAsia" w:cs="Times New Roman"/>
                <w:color w:val="auto"/>
                <w:kern w:val="0"/>
                <w:szCs w:val="21"/>
                <w:lang w:val="en-US" w:eastAsia="zh-CN" w:bidi="ar"/>
              </w:rPr>
              <w:t>2</w:t>
            </w:r>
            <w:r>
              <w:rPr>
                <w:rFonts w:hint="default" w:ascii="Times New Roman" w:hAnsi="Times New Roman" w:eastAsia="宋体" w:cs="Times New Roman"/>
                <w:color w:val="auto"/>
                <w:kern w:val="0"/>
                <w:szCs w:val="21"/>
                <w:lang w:bidi="ar"/>
              </w:rPr>
              <w:t>类标准</w:t>
            </w:r>
          </w:p>
        </w:tc>
      </w:tr>
      <w:tr w14:paraId="2E24C1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noWrap w:val="0"/>
            <w:vAlign w:val="center"/>
          </w:tcPr>
          <w:p w14:paraId="1D96DC7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电磁辐射</w:t>
            </w:r>
          </w:p>
        </w:tc>
        <w:tc>
          <w:tcPr>
            <w:tcW w:w="1195" w:type="dxa"/>
            <w:noWrap w:val="0"/>
            <w:vAlign w:val="center"/>
          </w:tcPr>
          <w:p w14:paraId="7954B66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无</w:t>
            </w:r>
          </w:p>
        </w:tc>
        <w:tc>
          <w:tcPr>
            <w:tcW w:w="1010" w:type="dxa"/>
            <w:noWrap w:val="0"/>
            <w:vAlign w:val="center"/>
          </w:tcPr>
          <w:p w14:paraId="2FA1602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无</w:t>
            </w:r>
          </w:p>
        </w:tc>
        <w:tc>
          <w:tcPr>
            <w:tcW w:w="2369" w:type="dxa"/>
            <w:noWrap w:val="0"/>
            <w:vAlign w:val="center"/>
          </w:tcPr>
          <w:p w14:paraId="160EC46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无</w:t>
            </w:r>
          </w:p>
        </w:tc>
        <w:tc>
          <w:tcPr>
            <w:tcW w:w="3065" w:type="dxa"/>
            <w:noWrap w:val="0"/>
            <w:vAlign w:val="center"/>
          </w:tcPr>
          <w:p w14:paraId="39281C8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无</w:t>
            </w:r>
          </w:p>
        </w:tc>
      </w:tr>
      <w:tr w14:paraId="0312F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noWrap w:val="0"/>
            <w:vAlign w:val="center"/>
          </w:tcPr>
          <w:p w14:paraId="4252200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固体废物</w:t>
            </w:r>
          </w:p>
        </w:tc>
        <w:tc>
          <w:tcPr>
            <w:tcW w:w="7639" w:type="dxa"/>
            <w:gridSpan w:val="4"/>
            <w:noWrap w:val="0"/>
            <w:vAlign w:val="center"/>
          </w:tcPr>
          <w:p w14:paraId="6A738F04">
            <w:pPr>
              <w:keepNext w:val="0"/>
              <w:keepLines w:val="0"/>
              <w:numPr>
                <w:ilvl w:val="0"/>
                <w:numId w:val="0"/>
              </w:numPr>
              <w:suppressLineNumbers w:val="0"/>
              <w:adjustRightInd w:val="0"/>
              <w:snapToGrid w:val="0"/>
              <w:spacing w:before="0" w:beforeAutospacing="0" w:after="0" w:afterAutospacing="0"/>
              <w:ind w:left="0" w:leftChars="0" w:right="0" w:rightChars="0"/>
              <w:jc w:val="left"/>
              <w:rPr>
                <w:rFonts w:hint="eastAsia" w:ascii="Times New Roman" w:hAnsi="Times New Roman"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r>
              <w:rPr>
                <w:rFonts w:hint="eastAsia" w:ascii="Times New Roman" w:hAnsi="Times New Roman" w:eastAsia="宋体" w:cs="宋体"/>
                <w:color w:val="auto"/>
                <w:kern w:val="0"/>
                <w:sz w:val="21"/>
                <w:szCs w:val="21"/>
                <w:lang w:val="en-US" w:eastAsia="zh-CN" w:bidi="ar"/>
              </w:rPr>
              <w:t>锅炉灰渣、收尘灰</w:t>
            </w:r>
            <w:r>
              <w:rPr>
                <w:rFonts w:hint="eastAsia" w:cs="宋体"/>
                <w:color w:val="auto"/>
                <w:kern w:val="0"/>
                <w:sz w:val="21"/>
                <w:szCs w:val="21"/>
                <w:lang w:val="en-US" w:eastAsia="zh-CN" w:bidi="ar"/>
              </w:rPr>
              <w:t>以</w:t>
            </w:r>
            <w:r>
              <w:rPr>
                <w:rFonts w:hint="eastAsia" w:cs="Times New Roman"/>
                <w:color w:val="auto"/>
                <w:sz w:val="21"/>
                <w:szCs w:val="21"/>
                <w:lang w:val="en-US" w:eastAsia="zh-CN"/>
              </w:rPr>
              <w:t>编织袋</w:t>
            </w:r>
            <w:r>
              <w:rPr>
                <w:rFonts w:hint="eastAsia" w:ascii="Times New Roman" w:hAnsi="Times New Roman" w:eastAsia="宋体" w:cs="Times New Roman"/>
                <w:color w:val="auto"/>
                <w:kern w:val="2"/>
                <w:sz w:val="21"/>
                <w:szCs w:val="21"/>
                <w:lang w:val="en-US" w:eastAsia="zh-CN" w:bidi="ar-SA"/>
              </w:rPr>
              <w:t>收集</w:t>
            </w:r>
            <w:r>
              <w:rPr>
                <w:rFonts w:hint="eastAsia" w:cs="Times New Roman"/>
                <w:color w:val="auto"/>
                <w:kern w:val="2"/>
                <w:sz w:val="21"/>
                <w:szCs w:val="21"/>
                <w:lang w:val="en-US" w:eastAsia="zh-CN" w:bidi="ar-SA"/>
              </w:rPr>
              <w:t>于一般固废暂存间，定期作为建筑原料或生产建筑原料的材料外售</w:t>
            </w:r>
            <w:r>
              <w:rPr>
                <w:rFonts w:hint="eastAsia" w:ascii="Times New Roman" w:hAnsi="Times New Roman" w:cs="Times New Roman"/>
                <w:color w:val="auto"/>
                <w:kern w:val="2"/>
                <w:sz w:val="21"/>
                <w:szCs w:val="21"/>
                <w:lang w:val="en-US" w:eastAsia="zh-CN" w:bidi="ar-SA"/>
              </w:rPr>
              <w:t>；</w:t>
            </w:r>
          </w:p>
          <w:p w14:paraId="2CC2B5E2">
            <w:pPr>
              <w:keepNext w:val="0"/>
              <w:keepLines w:val="0"/>
              <w:numPr>
                <w:ilvl w:val="0"/>
                <w:numId w:val="0"/>
              </w:numPr>
              <w:suppressLineNumbers w:val="0"/>
              <w:adjustRightInd w:val="0"/>
              <w:snapToGrid w:val="0"/>
              <w:spacing w:before="0" w:beforeAutospacing="0" w:after="0" w:afterAutospacing="0"/>
              <w:ind w:left="0" w:leftChars="0" w:right="0" w:rightChars="0"/>
              <w:jc w:val="left"/>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2.除尘器废布袋，</w:t>
            </w:r>
            <w:r>
              <w:rPr>
                <w:rFonts w:hint="eastAsia" w:ascii="Times New Roman" w:hAnsi="Times New Roman" w:eastAsia="宋体" w:cs="Times New Roman"/>
                <w:color w:val="auto"/>
                <w:kern w:val="2"/>
                <w:sz w:val="21"/>
                <w:szCs w:val="21"/>
                <w:lang w:val="en-US" w:eastAsia="zh-CN" w:bidi="ar-SA"/>
              </w:rPr>
              <w:t>更换后立即外售处置，不在项目区内储存</w:t>
            </w:r>
            <w:r>
              <w:rPr>
                <w:rFonts w:hint="eastAsia" w:cs="Times New Roman"/>
                <w:color w:val="auto"/>
                <w:kern w:val="2"/>
                <w:sz w:val="21"/>
                <w:szCs w:val="21"/>
                <w:lang w:val="en-US" w:eastAsia="zh-CN" w:bidi="ar-SA"/>
              </w:rPr>
              <w:t>；</w:t>
            </w:r>
          </w:p>
          <w:p w14:paraId="57CFFAE1">
            <w:pPr>
              <w:keepNext w:val="0"/>
              <w:keepLines w:val="0"/>
              <w:numPr>
                <w:ilvl w:val="0"/>
                <w:numId w:val="0"/>
              </w:numPr>
              <w:suppressLineNumbers w:val="0"/>
              <w:adjustRightInd w:val="0"/>
              <w:snapToGrid w:val="0"/>
              <w:spacing w:before="0" w:beforeAutospacing="0" w:after="0" w:afterAutospacing="0"/>
              <w:ind w:left="0" w:leftChars="0" w:right="0" w:rightChars="0"/>
              <w:jc w:val="left"/>
              <w:rPr>
                <w:rFonts w:hint="eastAsia"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3.生活垃圾、</w:t>
            </w:r>
            <w:r>
              <w:rPr>
                <w:rFonts w:hint="default" w:ascii="Times New Roman" w:hAnsi="Times New Roman" w:cs="Times New Roman"/>
                <w:color w:val="auto"/>
                <w:sz w:val="21"/>
                <w:szCs w:val="21"/>
                <w:highlight w:val="none"/>
                <w:lang w:eastAsia="zh-CN"/>
              </w:rPr>
              <w:t>筛分杂质及霉变玉米</w:t>
            </w:r>
            <w:r>
              <w:rPr>
                <w:rFonts w:hint="eastAsia" w:cs="Times New Roman"/>
                <w:color w:val="auto"/>
                <w:sz w:val="21"/>
                <w:szCs w:val="21"/>
                <w:highlight w:val="none"/>
                <w:lang w:val="en-US" w:eastAsia="zh-CN"/>
              </w:rPr>
              <w:t>集中收集</w:t>
            </w:r>
            <w:r>
              <w:rPr>
                <w:rFonts w:hint="default" w:ascii="Times New Roman" w:hAnsi="Times New Roman" w:cs="Times New Roman"/>
                <w:color w:val="auto"/>
                <w:sz w:val="21"/>
                <w:szCs w:val="21"/>
                <w:highlight w:val="none"/>
              </w:rPr>
              <w:t>，定期由环卫部门处理</w:t>
            </w:r>
            <w:r>
              <w:rPr>
                <w:rFonts w:hint="eastAsia" w:cs="Times New Roman"/>
                <w:color w:val="auto"/>
                <w:sz w:val="21"/>
                <w:szCs w:val="21"/>
                <w:highlight w:val="none"/>
                <w:lang w:eastAsia="zh-CN"/>
              </w:rPr>
              <w:t>；</w:t>
            </w:r>
          </w:p>
          <w:p w14:paraId="714DE672">
            <w:pPr>
              <w:keepNext w:val="0"/>
              <w:keepLines w:val="0"/>
              <w:numPr>
                <w:ilvl w:val="0"/>
                <w:numId w:val="0"/>
              </w:numPr>
              <w:suppressLineNumbers w:val="0"/>
              <w:adjustRightInd w:val="0"/>
              <w:snapToGrid w:val="0"/>
              <w:spacing w:before="0" w:beforeAutospacing="0" w:after="0" w:afterAutospacing="0"/>
              <w:ind w:left="0" w:leftChars="0" w:right="0" w:rightChars="0"/>
              <w:jc w:val="left"/>
              <w:rPr>
                <w:rFonts w:hint="default"/>
                <w:color w:val="auto"/>
                <w:lang w:val="en-US" w:eastAsia="zh-CN"/>
              </w:rPr>
            </w:pPr>
            <w:r>
              <w:rPr>
                <w:rFonts w:hint="eastAsia" w:cs="Times New Roman"/>
                <w:color w:val="auto"/>
                <w:kern w:val="2"/>
                <w:sz w:val="21"/>
                <w:szCs w:val="21"/>
                <w:lang w:val="en-US" w:eastAsia="zh-CN" w:bidi="ar-SA"/>
              </w:rPr>
              <w:t>4.废机油、废机油桶、含油废抹布和含油废手套分类收集暂存于危废库，定期交由有资质的单位处理。</w:t>
            </w:r>
          </w:p>
        </w:tc>
      </w:tr>
      <w:tr w14:paraId="248E5C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1" w:type="dxa"/>
            <w:noWrap w:val="0"/>
            <w:vAlign w:val="center"/>
          </w:tcPr>
          <w:p w14:paraId="1753626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土壤及地下水污染防治措施</w:t>
            </w:r>
          </w:p>
        </w:tc>
        <w:tc>
          <w:tcPr>
            <w:tcW w:w="7639" w:type="dxa"/>
            <w:gridSpan w:val="4"/>
            <w:noWrap w:val="0"/>
            <w:vAlign w:val="center"/>
          </w:tcPr>
          <w:p w14:paraId="0CA87C1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rPr>
            </w:pPr>
            <w:r>
              <w:rPr>
                <w:rFonts w:hint="eastAsia"/>
                <w:color w:val="auto"/>
                <w:lang w:val="en-US" w:eastAsia="zh-CN"/>
              </w:rPr>
              <w:t>危废暂存库</w:t>
            </w:r>
            <w:r>
              <w:rPr>
                <w:rFonts w:hint="eastAsia"/>
                <w:color w:val="auto"/>
              </w:rPr>
              <w:t>至少1m厚粘土层（渗透系数</w:t>
            </w:r>
            <w:r>
              <w:rPr>
                <w:rFonts w:hint="default" w:ascii="Times New Roman" w:hAnsi="Times New Roman" w:cs="Times New Roman"/>
                <w:color w:val="auto"/>
              </w:rPr>
              <w:t>≤</w:t>
            </w:r>
            <w:r>
              <w:rPr>
                <w:rFonts w:hint="eastAsia"/>
                <w:color w:val="auto"/>
              </w:rPr>
              <w:t>10</w:t>
            </w:r>
            <w:r>
              <w:rPr>
                <w:rFonts w:hint="eastAsia"/>
                <w:color w:val="auto"/>
                <w:vertAlign w:val="superscript"/>
              </w:rPr>
              <w:t>-7</w:t>
            </w:r>
            <w:r>
              <w:rPr>
                <w:rFonts w:hint="eastAsia"/>
                <w:color w:val="auto"/>
              </w:rPr>
              <w:t>cm/s），或2mm厚高密度聚乙烯，或至少2mm厚的</w:t>
            </w:r>
            <w:r>
              <w:rPr>
                <w:rFonts w:hint="eastAsia"/>
                <w:color w:val="auto"/>
                <w:lang w:eastAsia="zh-CN"/>
              </w:rPr>
              <w:t>其他人工</w:t>
            </w:r>
            <w:r>
              <w:rPr>
                <w:rFonts w:hint="eastAsia"/>
                <w:color w:val="auto"/>
              </w:rPr>
              <w:t>材料，渗透系数</w:t>
            </w:r>
            <w:r>
              <w:rPr>
                <w:rFonts w:hint="default" w:ascii="Times New Roman" w:hAnsi="Times New Roman" w:cs="Times New Roman"/>
                <w:color w:val="auto"/>
              </w:rPr>
              <w:t>≤</w:t>
            </w:r>
            <w:r>
              <w:rPr>
                <w:rFonts w:hint="eastAsia"/>
                <w:color w:val="auto"/>
              </w:rPr>
              <w:t>10</w:t>
            </w:r>
            <w:r>
              <w:rPr>
                <w:rFonts w:hint="eastAsia"/>
                <w:color w:val="auto"/>
                <w:vertAlign w:val="superscript"/>
              </w:rPr>
              <w:t>-10</w:t>
            </w:r>
            <w:r>
              <w:rPr>
                <w:rFonts w:hint="eastAsia"/>
                <w:color w:val="auto"/>
              </w:rPr>
              <w:t>cm/s</w:t>
            </w:r>
            <w:r>
              <w:rPr>
                <w:rFonts w:hint="eastAsia"/>
                <w:color w:val="auto"/>
                <w:lang w:eastAsia="zh-CN"/>
              </w:rPr>
              <w:t>；</w:t>
            </w:r>
            <w:r>
              <w:rPr>
                <w:rFonts w:hint="default" w:ascii="Times New Roman" w:hAnsi="Times New Roman" w:eastAsia="宋体" w:cs="Times New Roman"/>
                <w:color w:val="auto"/>
                <w:kern w:val="0"/>
                <w:szCs w:val="21"/>
              </w:rPr>
              <w:t>场区地面采用混凝土硬化。</w:t>
            </w:r>
          </w:p>
        </w:tc>
      </w:tr>
      <w:tr w14:paraId="24552E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noWrap w:val="0"/>
            <w:vAlign w:val="center"/>
          </w:tcPr>
          <w:p w14:paraId="573EC6A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生态保护措施</w:t>
            </w:r>
          </w:p>
        </w:tc>
        <w:tc>
          <w:tcPr>
            <w:tcW w:w="7639" w:type="dxa"/>
            <w:gridSpan w:val="4"/>
            <w:noWrap w:val="0"/>
            <w:vAlign w:val="center"/>
          </w:tcPr>
          <w:p w14:paraId="7910835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highlight w:val="none"/>
                <w:lang w:val="en-US" w:eastAsia="zh-CN" w:bidi="ar"/>
              </w:rPr>
              <w:t>严格控制</w:t>
            </w:r>
            <w:r>
              <w:rPr>
                <w:rFonts w:hint="eastAsia" w:cs="Times New Roman"/>
                <w:color w:val="auto"/>
                <w:szCs w:val="21"/>
                <w:highlight w:val="none"/>
                <w:lang w:val="en-US" w:eastAsia="zh-CN" w:bidi="ar"/>
              </w:rPr>
              <w:t>项目</w:t>
            </w:r>
            <w:r>
              <w:rPr>
                <w:rFonts w:hint="eastAsia" w:ascii="Times New Roman" w:hAnsi="Times New Roman" w:eastAsia="宋体" w:cs="Times New Roman"/>
                <w:color w:val="auto"/>
                <w:szCs w:val="21"/>
                <w:highlight w:val="none"/>
                <w:lang w:val="en-US" w:eastAsia="zh-CN" w:bidi="ar"/>
              </w:rPr>
              <w:t>占地范围和边界，减少生态植被破坏。</w:t>
            </w:r>
          </w:p>
        </w:tc>
      </w:tr>
      <w:tr w14:paraId="2F2EF5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noWrap w:val="0"/>
            <w:vAlign w:val="center"/>
          </w:tcPr>
          <w:p w14:paraId="0476DF2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环境风险防范措施</w:t>
            </w:r>
          </w:p>
        </w:tc>
        <w:tc>
          <w:tcPr>
            <w:tcW w:w="7639" w:type="dxa"/>
            <w:gridSpan w:val="4"/>
            <w:noWrap w:val="0"/>
            <w:vAlign w:val="center"/>
          </w:tcPr>
          <w:p w14:paraId="1F8B9C0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val="en-US" w:eastAsia="zh-CN" w:bidi="ar"/>
              </w:rPr>
            </w:pPr>
            <w:r>
              <w:rPr>
                <w:rFonts w:hint="default" w:ascii="Times New Roman" w:hAnsi="Times New Roman" w:eastAsia="宋体" w:cs="Times New Roman"/>
                <w:color w:val="auto"/>
                <w:szCs w:val="21"/>
                <w:lang w:val="en-US" w:eastAsia="zh-CN" w:bidi="ar"/>
              </w:rPr>
              <w:t>加强风险防范措施监控。对工作人员进行岗位培训，</w:t>
            </w:r>
            <w:r>
              <w:rPr>
                <w:rFonts w:hint="eastAsia" w:cs="Times New Roman"/>
                <w:color w:val="auto"/>
                <w:szCs w:val="21"/>
                <w:lang w:val="en-US" w:eastAsia="zh-CN" w:bidi="ar"/>
              </w:rPr>
              <w:t>增强风险意识</w:t>
            </w:r>
            <w:r>
              <w:rPr>
                <w:rFonts w:hint="default" w:ascii="Times New Roman" w:hAnsi="Times New Roman" w:eastAsia="宋体" w:cs="Times New Roman"/>
                <w:color w:val="auto"/>
                <w:szCs w:val="21"/>
                <w:lang w:val="en-US" w:eastAsia="zh-CN" w:bidi="ar"/>
              </w:rPr>
              <w:t>；</w:t>
            </w:r>
            <w:r>
              <w:rPr>
                <w:rFonts w:hint="eastAsia" w:ascii="Times New Roman" w:hAnsi="Times New Roman" w:eastAsia="宋体" w:cs="Times New Roman"/>
                <w:color w:val="auto"/>
                <w:szCs w:val="21"/>
                <w:lang w:val="en-US" w:eastAsia="zh-CN" w:bidi="ar"/>
              </w:rPr>
              <w:t>加强设备保养和巡检，保证设备设施的正常运行，不得出现跑冒滴漏的情况。加强消防巡检和管理，防止出现大规模火灾。</w:t>
            </w:r>
          </w:p>
        </w:tc>
      </w:tr>
      <w:tr w14:paraId="2C7BEA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21" w:type="dxa"/>
            <w:noWrap w:val="0"/>
            <w:vAlign w:val="center"/>
          </w:tcPr>
          <w:p w14:paraId="400A082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其他环境管理要求</w:t>
            </w:r>
          </w:p>
        </w:tc>
        <w:tc>
          <w:tcPr>
            <w:tcW w:w="7639" w:type="dxa"/>
            <w:gridSpan w:val="4"/>
            <w:noWrap w:val="0"/>
            <w:vAlign w:val="center"/>
          </w:tcPr>
          <w:p w14:paraId="5D0692A8">
            <w:pPr>
              <w:keepNext w:val="0"/>
              <w:keepLines w:val="0"/>
              <w:suppressLineNumbers w:val="0"/>
              <w:adjustRightInd w:val="0"/>
              <w:snapToGrid w:val="0"/>
              <w:spacing w:before="0" w:beforeAutospacing="0" w:after="0" w:afterAutospacing="0"/>
              <w:ind w:left="0" w:right="0"/>
              <w:jc w:val="left"/>
              <w:rPr>
                <w:rFonts w:hint="default"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rPr>
              <w:t>/</w:t>
            </w:r>
          </w:p>
        </w:tc>
      </w:tr>
    </w:tbl>
    <w:p w14:paraId="0C23E93A">
      <w:pPr>
        <w:pStyle w:val="48"/>
        <w:keepNext w:val="0"/>
        <w:keepLines w:val="0"/>
        <w:pageBreakBefore w:val="0"/>
        <w:widowControl/>
        <w:kinsoku/>
        <w:wordWrap/>
        <w:overflowPunct/>
        <w:topLinePunct w:val="0"/>
        <w:autoSpaceDE/>
        <w:autoSpaceDN/>
        <w:bidi w:val="0"/>
        <w:adjustRightInd/>
        <w:snapToGrid/>
        <w:spacing w:beforeAutospacing="0"/>
        <w:textAlignment w:val="auto"/>
        <w:rPr>
          <w:rFonts w:hint="default" w:ascii="Times New Roman" w:hAnsi="Times New Roman" w:eastAsia="宋体" w:cs="Times New Roman"/>
          <w:b/>
          <w:bCs/>
          <w:snapToGrid w:val="0"/>
          <w:color w:val="auto"/>
          <w:sz w:val="30"/>
          <w:szCs w:val="30"/>
        </w:rPr>
      </w:pPr>
      <w:r>
        <w:rPr>
          <w:rFonts w:hint="default" w:ascii="Times New Roman" w:hAnsi="Times New Roman" w:eastAsia="宋体" w:cs="Times New Roman"/>
          <w:snapToGrid w:val="0"/>
          <w:color w:val="auto"/>
        </w:rPr>
        <w:br w:type="page"/>
      </w:r>
      <w:bookmarkStart w:id="14" w:name="_Toc17832"/>
      <w:bookmarkStart w:id="15" w:name="_Toc20773"/>
      <w:r>
        <w:rPr>
          <w:rFonts w:hint="default" w:ascii="Times New Roman" w:hAnsi="Times New Roman" w:eastAsia="宋体" w:cs="Times New Roman"/>
          <w:color w:val="auto"/>
        </w:rPr>
        <w:t>六、结论</w:t>
      </w:r>
      <w:bookmarkEnd w:id="14"/>
      <w:bookmarkEnd w:id="15"/>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4D5DD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331" w:hRule="atLeast"/>
          <w:jc w:val="center"/>
        </w:trPr>
        <w:tc>
          <w:tcPr>
            <w:tcW w:w="8865" w:type="dxa"/>
            <w:noWrap w:val="0"/>
            <w:vAlign w:val="center"/>
          </w:tcPr>
          <w:p w14:paraId="20277D09">
            <w:pPr>
              <w:pStyle w:val="69"/>
              <w:keepNext w:val="0"/>
              <w:keepLines w:val="0"/>
              <w:suppressLineNumbers w:val="0"/>
              <w:spacing w:before="0" w:beforeAutospacing="0" w:after="0" w:afterAutospacing="0"/>
              <w:ind w:left="0" w:right="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本次评价对建</w:t>
            </w:r>
            <w:r>
              <w:rPr>
                <w:rFonts w:hint="eastAsia" w:eastAsia="宋体" w:cs="Times New Roman"/>
                <w:color w:val="auto"/>
                <w:sz w:val="24"/>
                <w:szCs w:val="24"/>
                <w:lang w:val="en-US" w:eastAsia="zh-CN"/>
              </w:rPr>
              <w:t>设</w:t>
            </w:r>
            <w:r>
              <w:rPr>
                <w:rFonts w:hint="default" w:ascii="Times New Roman" w:hAnsi="Times New Roman" w:eastAsia="宋体" w:cs="Times New Roman"/>
                <w:color w:val="auto"/>
                <w:sz w:val="24"/>
                <w:szCs w:val="24"/>
              </w:rPr>
              <w:t>项目及其周围区域环境现状进行了调查和评价分析，通过对营运期污染物排放的环境影响分析，提出了项目污染防治措施以及要求和建议，污染物的排放均能够严于相关标准，符合国家环境保护的要求。</w:t>
            </w:r>
          </w:p>
          <w:p w14:paraId="77381BB2">
            <w:pPr>
              <w:pStyle w:val="69"/>
              <w:keepNext w:val="0"/>
              <w:keepLines w:val="0"/>
              <w:suppressLineNumbers w:val="0"/>
              <w:spacing w:before="0" w:beforeAutospacing="0" w:after="0" w:afterAutospacing="0"/>
              <w:ind w:left="0" w:right="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运行期间产生一定量的废气、废水、噪声和固废，通过采取有效的污染防治措施，可将项目对周围环境造成的影响降到最低。同时，项目建设和运营过程中，依据本次评价所提出的有关污染防治措施，全面落实</w:t>
            </w:r>
            <w:r>
              <w:rPr>
                <w:rFonts w:hint="eastAsia" w:eastAsia="宋体" w:cs="Times New Roman"/>
                <w:color w:val="auto"/>
                <w:sz w:val="24"/>
                <w:szCs w:val="24"/>
                <w:lang w:eastAsia="zh-CN"/>
              </w:rPr>
              <w:t>“</w:t>
            </w:r>
            <w:r>
              <w:rPr>
                <w:rFonts w:hint="default" w:ascii="Times New Roman" w:hAnsi="Times New Roman" w:eastAsia="宋体" w:cs="Times New Roman"/>
                <w:color w:val="auto"/>
                <w:sz w:val="24"/>
                <w:szCs w:val="24"/>
              </w:rPr>
              <w:t>三同时</w:t>
            </w:r>
            <w:r>
              <w:rPr>
                <w:rFonts w:hint="eastAsia" w:eastAsia="宋体" w:cs="Times New Roman"/>
                <w:color w:val="auto"/>
                <w:sz w:val="24"/>
                <w:szCs w:val="24"/>
                <w:lang w:eastAsia="zh-CN"/>
              </w:rPr>
              <w:t>”</w:t>
            </w:r>
            <w:r>
              <w:rPr>
                <w:rFonts w:hint="default" w:ascii="Times New Roman" w:hAnsi="Times New Roman" w:eastAsia="宋体" w:cs="Times New Roman"/>
                <w:color w:val="auto"/>
                <w:sz w:val="24"/>
                <w:szCs w:val="24"/>
              </w:rPr>
              <w:t>制度，加强运营期环境管理，定期监测，确保污染防治设施稳定达标运行，则项目建设对周围环境质量不会产生明显的影响，从环境保护角度出发，本项目建设是可行的。</w:t>
            </w:r>
          </w:p>
          <w:p w14:paraId="3904CB08">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240DF92F">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12CFADF3">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2E7F776C">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63F3F5E2">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3F39EC39">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7279C185">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2542E878">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05FFE279">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0454FC92">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1550E18A">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3F93CA15">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6369FEA8">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58E7D7E2">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7B0AEBDB">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2D93936C">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p w14:paraId="2713E7D9">
            <w:pPr>
              <w:pStyle w:val="69"/>
              <w:keepNext w:val="0"/>
              <w:keepLines w:val="0"/>
              <w:suppressLineNumbers w:val="0"/>
              <w:spacing w:before="0" w:beforeAutospacing="0" w:after="0" w:afterAutospacing="0"/>
              <w:ind w:left="0" w:right="0"/>
              <w:jc w:val="right"/>
              <w:rPr>
                <w:rFonts w:hint="default" w:ascii="Times New Roman" w:hAnsi="Times New Roman" w:eastAsia="宋体" w:cs="Times New Roman"/>
                <w:color w:val="auto"/>
                <w:sz w:val="24"/>
              </w:rPr>
            </w:pPr>
          </w:p>
        </w:tc>
      </w:tr>
    </w:tbl>
    <w:p w14:paraId="1D7CDB5F">
      <w:pPr>
        <w:rPr>
          <w:rFonts w:hint="default" w:ascii="Times New Roman" w:hAnsi="Times New Roman" w:eastAsia="宋体" w:cs="Times New Roman"/>
          <w:color w:val="auto"/>
        </w:rPr>
        <w:sectPr>
          <w:pgSz w:w="11906" w:h="16838"/>
          <w:pgMar w:top="1587" w:right="1531" w:bottom="1587" w:left="1531" w:header="851" w:footer="851" w:gutter="0"/>
          <w:pgBorders>
            <w:top w:val="none" w:sz="0" w:space="0"/>
            <w:left w:val="none" w:sz="0" w:space="0"/>
            <w:bottom w:val="none" w:sz="0" w:space="0"/>
            <w:right w:val="none" w:sz="0" w:space="0"/>
          </w:pgBorders>
          <w:cols w:space="720" w:num="1"/>
          <w:docGrid w:linePitch="312" w:charSpace="0"/>
        </w:sectPr>
      </w:pPr>
    </w:p>
    <w:p w14:paraId="794AE5D3">
      <w:pPr>
        <w:pStyle w:val="34"/>
        <w:adjustRightInd w:val="0"/>
        <w:snapToGrid w:val="0"/>
        <w:spacing w:before="0" w:beforeAutospacing="0" w:after="0" w:afterAutospacing="0"/>
        <w:outlineLvl w:val="0"/>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附表</w:t>
      </w:r>
    </w:p>
    <w:p w14:paraId="7074B2F7">
      <w:pPr>
        <w:pStyle w:val="34"/>
        <w:adjustRightInd w:val="0"/>
        <w:snapToGrid w:val="0"/>
        <w:spacing w:before="0" w:beforeAutospacing="0" w:after="0" w:afterAutospacing="0"/>
        <w:jc w:val="center"/>
        <w:outlineLvl w:val="0"/>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建设项目污染物排放量汇总表</w:t>
      </w:r>
    </w:p>
    <w:tbl>
      <w:tblPr>
        <w:tblStyle w:val="39"/>
        <w:tblW w:w="498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2609"/>
        <w:gridCol w:w="1500"/>
        <w:gridCol w:w="976"/>
        <w:gridCol w:w="1711"/>
        <w:gridCol w:w="1566"/>
        <w:gridCol w:w="1865"/>
        <w:gridCol w:w="2019"/>
        <w:gridCol w:w="1652"/>
      </w:tblGrid>
      <w:tr w14:paraId="3D995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tcBorders>
              <w:tl2br w:val="single" w:color="auto" w:sz="4" w:space="0"/>
            </w:tcBorders>
            <w:noWrap w:val="0"/>
            <w:tcMar>
              <w:left w:w="28" w:type="dxa"/>
              <w:right w:w="28" w:type="dxa"/>
            </w:tcMar>
            <w:vAlign w:val="center"/>
          </w:tcPr>
          <w:p w14:paraId="222FFC9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jc w:val="right"/>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项目</w:t>
            </w:r>
          </w:p>
          <w:p w14:paraId="03410CD2">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jc w:val="left"/>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分类</w:t>
            </w:r>
          </w:p>
        </w:tc>
        <w:tc>
          <w:tcPr>
            <w:tcW w:w="880" w:type="pct"/>
            <w:noWrap w:val="0"/>
            <w:tcMar>
              <w:left w:w="28" w:type="dxa"/>
              <w:right w:w="28" w:type="dxa"/>
            </w:tcMar>
            <w:vAlign w:val="center"/>
          </w:tcPr>
          <w:p w14:paraId="3B6B181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污染物名称</w:t>
            </w:r>
          </w:p>
        </w:tc>
        <w:tc>
          <w:tcPr>
            <w:tcW w:w="506" w:type="pct"/>
            <w:noWrap w:val="0"/>
            <w:tcMar>
              <w:left w:w="28" w:type="dxa"/>
              <w:right w:w="28" w:type="dxa"/>
            </w:tcMar>
            <w:vAlign w:val="center"/>
          </w:tcPr>
          <w:p w14:paraId="1EAD970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现有工程</w:t>
            </w:r>
          </w:p>
          <w:p w14:paraId="42F8B19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排放量（固体废物产生量</w:t>
            </w:r>
            <w:r>
              <w:rPr>
                <w:rFonts w:hint="eastAsia" w:ascii="Times New Roman" w:cs="Times New Roman"/>
                <w:b/>
                <w:bCs/>
                <w:snapToGrid w:val="0"/>
                <w:color w:val="auto"/>
                <w:spacing w:val="-6"/>
                <w:kern w:val="21"/>
                <w:sz w:val="21"/>
                <w:szCs w:val="21"/>
                <w:lang w:eastAsia="zh-CN"/>
              </w:rPr>
              <w:t>）</w:t>
            </w:r>
            <w:r>
              <w:rPr>
                <w:rFonts w:hint="default" w:ascii="Times New Roman" w:hAnsi="Times New Roman" w:eastAsia="宋体" w:cs="Times New Roman"/>
                <w:b/>
                <w:bCs/>
                <w:snapToGrid w:val="0"/>
                <w:color w:val="auto"/>
                <w:spacing w:val="-6"/>
                <w:kern w:val="21"/>
                <w:sz w:val="21"/>
                <w:szCs w:val="21"/>
              </w:rPr>
              <w:fldChar w:fldCharType="begin"/>
            </w:r>
            <w:r>
              <w:rPr>
                <w:rFonts w:hint="default" w:ascii="Times New Roman" w:hAnsi="Times New Roman" w:eastAsia="宋体" w:cs="Times New Roman"/>
                <w:b/>
                <w:bCs/>
                <w:snapToGrid w:val="0"/>
                <w:color w:val="auto"/>
                <w:spacing w:val="-6"/>
                <w:kern w:val="21"/>
                <w:sz w:val="21"/>
                <w:szCs w:val="21"/>
              </w:rPr>
              <w:instrText xml:space="preserve"> = 1 \* GB3 \* MERGEFORMAT </w:instrText>
            </w:r>
            <w:r>
              <w:rPr>
                <w:rFonts w:hint="default" w:ascii="Times New Roman" w:hAnsi="Times New Roman" w:eastAsia="宋体" w:cs="Times New Roman"/>
                <w:b/>
                <w:bCs/>
                <w:snapToGrid w:val="0"/>
                <w:color w:val="auto"/>
                <w:spacing w:val="-6"/>
                <w:kern w:val="21"/>
                <w:sz w:val="21"/>
                <w:szCs w:val="21"/>
              </w:rPr>
              <w:fldChar w:fldCharType="separate"/>
            </w:r>
            <w:r>
              <w:rPr>
                <w:rFonts w:hint="default" w:ascii="Times New Roman" w:hAnsi="Times New Roman" w:eastAsia="宋体" w:cs="Times New Roman"/>
                <w:b/>
                <w:bCs/>
                <w:color w:val="auto"/>
                <w:kern w:val="2"/>
                <w:sz w:val="21"/>
                <w:szCs w:val="21"/>
              </w:rPr>
              <w:t>①</w:t>
            </w:r>
            <w:r>
              <w:rPr>
                <w:rFonts w:hint="default" w:ascii="Times New Roman" w:hAnsi="Times New Roman" w:eastAsia="宋体" w:cs="Times New Roman"/>
                <w:b/>
                <w:bCs/>
                <w:snapToGrid w:val="0"/>
                <w:color w:val="auto"/>
                <w:spacing w:val="-6"/>
                <w:kern w:val="21"/>
                <w:sz w:val="21"/>
                <w:szCs w:val="21"/>
              </w:rPr>
              <w:fldChar w:fldCharType="end"/>
            </w:r>
          </w:p>
        </w:tc>
        <w:tc>
          <w:tcPr>
            <w:tcW w:w="329" w:type="pct"/>
            <w:noWrap w:val="0"/>
            <w:tcMar>
              <w:left w:w="28" w:type="dxa"/>
              <w:right w:w="28" w:type="dxa"/>
            </w:tcMar>
            <w:vAlign w:val="center"/>
          </w:tcPr>
          <w:p w14:paraId="384B4C3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现有工程</w:t>
            </w:r>
          </w:p>
          <w:p w14:paraId="76060EF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许可排放量</w:t>
            </w:r>
            <w:r>
              <w:rPr>
                <w:rFonts w:hint="default" w:ascii="Times New Roman" w:hAnsi="Times New Roman" w:eastAsia="宋体" w:cs="Times New Roman"/>
                <w:b/>
                <w:bCs/>
                <w:snapToGrid w:val="0"/>
                <w:color w:val="auto"/>
                <w:spacing w:val="-6"/>
                <w:kern w:val="21"/>
                <w:sz w:val="21"/>
                <w:szCs w:val="21"/>
              </w:rPr>
              <w:fldChar w:fldCharType="begin"/>
            </w:r>
            <w:r>
              <w:rPr>
                <w:rFonts w:hint="default" w:ascii="Times New Roman" w:hAnsi="Times New Roman" w:eastAsia="宋体" w:cs="Times New Roman"/>
                <w:b/>
                <w:bCs/>
                <w:snapToGrid w:val="0"/>
                <w:color w:val="auto"/>
                <w:spacing w:val="-6"/>
                <w:kern w:val="21"/>
                <w:sz w:val="21"/>
                <w:szCs w:val="21"/>
              </w:rPr>
              <w:instrText xml:space="preserve"> = 2 \* GB3 \* MERGEFORMAT </w:instrText>
            </w:r>
            <w:r>
              <w:rPr>
                <w:rFonts w:hint="default" w:ascii="Times New Roman" w:hAnsi="Times New Roman" w:eastAsia="宋体" w:cs="Times New Roman"/>
                <w:b/>
                <w:bCs/>
                <w:snapToGrid w:val="0"/>
                <w:color w:val="auto"/>
                <w:spacing w:val="-6"/>
                <w:kern w:val="21"/>
                <w:sz w:val="21"/>
                <w:szCs w:val="21"/>
              </w:rPr>
              <w:fldChar w:fldCharType="separate"/>
            </w:r>
            <w:r>
              <w:rPr>
                <w:rFonts w:hint="default" w:ascii="Times New Roman" w:hAnsi="Times New Roman" w:eastAsia="宋体" w:cs="Times New Roman"/>
                <w:b/>
                <w:bCs/>
                <w:snapToGrid w:val="0"/>
                <w:color w:val="auto"/>
                <w:spacing w:val="-6"/>
                <w:kern w:val="21"/>
                <w:sz w:val="21"/>
                <w:szCs w:val="21"/>
              </w:rPr>
              <w:t>②</w:t>
            </w:r>
            <w:r>
              <w:rPr>
                <w:rFonts w:hint="default" w:ascii="Times New Roman" w:hAnsi="Times New Roman" w:eastAsia="宋体" w:cs="Times New Roman"/>
                <w:b/>
                <w:bCs/>
                <w:snapToGrid w:val="0"/>
                <w:color w:val="auto"/>
                <w:spacing w:val="-6"/>
                <w:kern w:val="21"/>
                <w:sz w:val="21"/>
                <w:szCs w:val="21"/>
              </w:rPr>
              <w:fldChar w:fldCharType="end"/>
            </w:r>
          </w:p>
        </w:tc>
        <w:tc>
          <w:tcPr>
            <w:tcW w:w="577" w:type="pct"/>
            <w:noWrap w:val="0"/>
            <w:tcMar>
              <w:left w:w="28" w:type="dxa"/>
              <w:right w:w="28" w:type="dxa"/>
            </w:tcMar>
            <w:vAlign w:val="center"/>
          </w:tcPr>
          <w:p w14:paraId="227FFA63">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在建工程</w:t>
            </w:r>
          </w:p>
          <w:p w14:paraId="0FBF55A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排放量（固体废物产生量</w:t>
            </w:r>
            <w:r>
              <w:rPr>
                <w:rFonts w:hint="eastAsia" w:ascii="Times New Roman" w:cs="Times New Roman"/>
                <w:b/>
                <w:bCs/>
                <w:snapToGrid w:val="0"/>
                <w:color w:val="auto"/>
                <w:spacing w:val="-6"/>
                <w:kern w:val="21"/>
                <w:sz w:val="21"/>
                <w:szCs w:val="21"/>
                <w:lang w:eastAsia="zh-CN"/>
              </w:rPr>
              <w:t>）</w:t>
            </w:r>
            <w:r>
              <w:rPr>
                <w:rFonts w:hint="default" w:ascii="Times New Roman" w:hAnsi="Times New Roman" w:eastAsia="宋体" w:cs="Times New Roman"/>
                <w:b/>
                <w:bCs/>
                <w:snapToGrid w:val="0"/>
                <w:color w:val="auto"/>
                <w:spacing w:val="-6"/>
                <w:kern w:val="21"/>
                <w:sz w:val="21"/>
                <w:szCs w:val="21"/>
              </w:rPr>
              <w:fldChar w:fldCharType="begin"/>
            </w:r>
            <w:r>
              <w:rPr>
                <w:rFonts w:hint="default" w:ascii="Times New Roman" w:hAnsi="Times New Roman" w:eastAsia="宋体" w:cs="Times New Roman"/>
                <w:b/>
                <w:bCs/>
                <w:snapToGrid w:val="0"/>
                <w:color w:val="auto"/>
                <w:spacing w:val="-6"/>
                <w:kern w:val="21"/>
                <w:sz w:val="21"/>
                <w:szCs w:val="21"/>
              </w:rPr>
              <w:instrText xml:space="preserve"> = 3 \* GB3 \* MERGEFORMAT </w:instrText>
            </w:r>
            <w:r>
              <w:rPr>
                <w:rFonts w:hint="default" w:ascii="Times New Roman" w:hAnsi="Times New Roman" w:eastAsia="宋体" w:cs="Times New Roman"/>
                <w:b/>
                <w:bCs/>
                <w:snapToGrid w:val="0"/>
                <w:color w:val="auto"/>
                <w:spacing w:val="-6"/>
                <w:kern w:val="21"/>
                <w:sz w:val="21"/>
                <w:szCs w:val="21"/>
              </w:rPr>
              <w:fldChar w:fldCharType="separate"/>
            </w:r>
            <w:r>
              <w:rPr>
                <w:rFonts w:hint="default" w:ascii="Times New Roman" w:hAnsi="Times New Roman" w:eastAsia="宋体" w:cs="Times New Roman"/>
                <w:b/>
                <w:bCs/>
                <w:color w:val="auto"/>
                <w:kern w:val="2"/>
                <w:sz w:val="21"/>
                <w:szCs w:val="21"/>
              </w:rPr>
              <w:t>③</w:t>
            </w:r>
            <w:r>
              <w:rPr>
                <w:rFonts w:hint="default" w:ascii="Times New Roman" w:hAnsi="Times New Roman" w:eastAsia="宋体" w:cs="Times New Roman"/>
                <w:b/>
                <w:bCs/>
                <w:snapToGrid w:val="0"/>
                <w:color w:val="auto"/>
                <w:spacing w:val="-6"/>
                <w:kern w:val="21"/>
                <w:sz w:val="21"/>
                <w:szCs w:val="21"/>
              </w:rPr>
              <w:fldChar w:fldCharType="end"/>
            </w:r>
          </w:p>
        </w:tc>
        <w:tc>
          <w:tcPr>
            <w:tcW w:w="528" w:type="pct"/>
            <w:noWrap w:val="0"/>
            <w:tcMar>
              <w:left w:w="28" w:type="dxa"/>
              <w:right w:w="28" w:type="dxa"/>
            </w:tcMar>
            <w:vAlign w:val="center"/>
          </w:tcPr>
          <w:p w14:paraId="5F068A14">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本项目</w:t>
            </w:r>
          </w:p>
          <w:p w14:paraId="396C2154">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排放量（固体废物产生量</w:t>
            </w:r>
            <w:r>
              <w:rPr>
                <w:rFonts w:hint="eastAsia" w:ascii="Times New Roman" w:cs="Times New Roman"/>
                <w:b/>
                <w:bCs/>
                <w:snapToGrid w:val="0"/>
                <w:color w:val="auto"/>
                <w:spacing w:val="-6"/>
                <w:kern w:val="21"/>
                <w:sz w:val="21"/>
                <w:szCs w:val="21"/>
                <w:lang w:eastAsia="zh-CN"/>
              </w:rPr>
              <w:t>）</w:t>
            </w:r>
            <w:r>
              <w:rPr>
                <w:rFonts w:hint="default" w:ascii="Times New Roman" w:hAnsi="Times New Roman" w:eastAsia="宋体" w:cs="Times New Roman"/>
                <w:b/>
                <w:bCs/>
                <w:snapToGrid w:val="0"/>
                <w:color w:val="auto"/>
                <w:spacing w:val="-6"/>
                <w:kern w:val="21"/>
                <w:sz w:val="21"/>
                <w:szCs w:val="21"/>
              </w:rPr>
              <w:fldChar w:fldCharType="begin"/>
            </w:r>
            <w:r>
              <w:rPr>
                <w:rFonts w:hint="default" w:ascii="Times New Roman" w:hAnsi="Times New Roman" w:eastAsia="宋体" w:cs="Times New Roman"/>
                <w:b/>
                <w:bCs/>
                <w:snapToGrid w:val="0"/>
                <w:color w:val="auto"/>
                <w:spacing w:val="-6"/>
                <w:kern w:val="21"/>
                <w:sz w:val="21"/>
                <w:szCs w:val="21"/>
              </w:rPr>
              <w:instrText xml:space="preserve"> = 4 \* GB3 \* MERGEFORMAT </w:instrText>
            </w:r>
            <w:r>
              <w:rPr>
                <w:rFonts w:hint="default" w:ascii="Times New Roman" w:hAnsi="Times New Roman" w:eastAsia="宋体" w:cs="Times New Roman"/>
                <w:b/>
                <w:bCs/>
                <w:snapToGrid w:val="0"/>
                <w:color w:val="auto"/>
                <w:spacing w:val="-6"/>
                <w:kern w:val="21"/>
                <w:sz w:val="21"/>
                <w:szCs w:val="21"/>
              </w:rPr>
              <w:fldChar w:fldCharType="separate"/>
            </w:r>
            <w:r>
              <w:rPr>
                <w:rFonts w:hint="default" w:ascii="Times New Roman" w:hAnsi="Times New Roman" w:eastAsia="宋体" w:cs="Times New Roman"/>
                <w:b/>
                <w:bCs/>
                <w:color w:val="auto"/>
                <w:kern w:val="2"/>
                <w:sz w:val="21"/>
                <w:szCs w:val="21"/>
              </w:rPr>
              <w:t>④</w:t>
            </w:r>
            <w:r>
              <w:rPr>
                <w:rFonts w:hint="default" w:ascii="Times New Roman" w:hAnsi="Times New Roman" w:eastAsia="宋体" w:cs="Times New Roman"/>
                <w:b/>
                <w:bCs/>
                <w:snapToGrid w:val="0"/>
                <w:color w:val="auto"/>
                <w:spacing w:val="-6"/>
                <w:kern w:val="21"/>
                <w:sz w:val="21"/>
                <w:szCs w:val="21"/>
              </w:rPr>
              <w:fldChar w:fldCharType="end"/>
            </w:r>
          </w:p>
        </w:tc>
        <w:tc>
          <w:tcPr>
            <w:tcW w:w="629" w:type="pct"/>
            <w:noWrap w:val="0"/>
            <w:tcMar>
              <w:left w:w="28" w:type="dxa"/>
              <w:right w:w="28" w:type="dxa"/>
            </w:tcMar>
            <w:vAlign w:val="center"/>
          </w:tcPr>
          <w:p w14:paraId="41D32C49">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16"/>
                <w:kern w:val="21"/>
                <w:sz w:val="21"/>
                <w:szCs w:val="21"/>
              </w:rPr>
            </w:pPr>
            <w:r>
              <w:rPr>
                <w:rFonts w:hint="default" w:ascii="Times New Roman" w:hAnsi="Times New Roman" w:eastAsia="宋体" w:cs="Times New Roman"/>
                <w:b/>
                <w:bCs/>
                <w:snapToGrid w:val="0"/>
                <w:color w:val="auto"/>
                <w:spacing w:val="-16"/>
                <w:kern w:val="21"/>
                <w:sz w:val="21"/>
                <w:szCs w:val="21"/>
              </w:rPr>
              <w:t>以新带老削减量</w:t>
            </w:r>
          </w:p>
          <w:p w14:paraId="0F61C5B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16"/>
                <w:kern w:val="21"/>
                <w:sz w:val="21"/>
                <w:szCs w:val="21"/>
              </w:rPr>
            </w:pPr>
            <w:r>
              <w:rPr>
                <w:rFonts w:hint="default" w:ascii="Times New Roman" w:hAnsi="Times New Roman" w:eastAsia="宋体" w:cs="Times New Roman"/>
                <w:b/>
                <w:bCs/>
                <w:snapToGrid w:val="0"/>
                <w:color w:val="auto"/>
                <w:spacing w:val="-16"/>
                <w:kern w:val="21"/>
                <w:sz w:val="21"/>
                <w:szCs w:val="21"/>
              </w:rPr>
              <w:t>（新建项目不填</w:t>
            </w:r>
            <w:r>
              <w:rPr>
                <w:rFonts w:hint="eastAsia" w:ascii="Times New Roman" w:cs="Times New Roman"/>
                <w:b/>
                <w:bCs/>
                <w:snapToGrid w:val="0"/>
                <w:color w:val="auto"/>
                <w:spacing w:val="-16"/>
                <w:kern w:val="21"/>
                <w:sz w:val="21"/>
                <w:szCs w:val="21"/>
                <w:lang w:eastAsia="zh-CN"/>
              </w:rPr>
              <w:t>）</w:t>
            </w:r>
            <w:r>
              <w:rPr>
                <w:rFonts w:hint="default" w:ascii="Times New Roman" w:hAnsi="Times New Roman" w:eastAsia="宋体" w:cs="Times New Roman"/>
                <w:b/>
                <w:bCs/>
                <w:snapToGrid w:val="0"/>
                <w:color w:val="auto"/>
                <w:spacing w:val="-16"/>
                <w:kern w:val="21"/>
                <w:sz w:val="21"/>
                <w:szCs w:val="21"/>
              </w:rPr>
              <w:fldChar w:fldCharType="begin"/>
            </w:r>
            <w:r>
              <w:rPr>
                <w:rFonts w:hint="default" w:ascii="Times New Roman" w:hAnsi="Times New Roman" w:eastAsia="宋体" w:cs="Times New Roman"/>
                <w:b/>
                <w:bCs/>
                <w:snapToGrid w:val="0"/>
                <w:color w:val="auto"/>
                <w:spacing w:val="-16"/>
                <w:kern w:val="21"/>
                <w:sz w:val="21"/>
                <w:szCs w:val="21"/>
              </w:rPr>
              <w:instrText xml:space="preserve"> = 5 \* GB3 \* MERGEFORMAT </w:instrText>
            </w:r>
            <w:r>
              <w:rPr>
                <w:rFonts w:hint="default" w:ascii="Times New Roman" w:hAnsi="Times New Roman" w:eastAsia="宋体" w:cs="Times New Roman"/>
                <w:b/>
                <w:bCs/>
                <w:snapToGrid w:val="0"/>
                <w:color w:val="auto"/>
                <w:spacing w:val="-16"/>
                <w:kern w:val="21"/>
                <w:sz w:val="21"/>
                <w:szCs w:val="21"/>
              </w:rPr>
              <w:fldChar w:fldCharType="separate"/>
            </w:r>
            <w:r>
              <w:rPr>
                <w:rFonts w:hint="default" w:ascii="Times New Roman" w:hAnsi="Times New Roman" w:eastAsia="宋体" w:cs="Times New Roman"/>
                <w:b/>
                <w:bCs/>
                <w:color w:val="auto"/>
                <w:kern w:val="2"/>
                <w:sz w:val="21"/>
                <w:szCs w:val="21"/>
              </w:rPr>
              <w:t>⑤</w:t>
            </w:r>
            <w:r>
              <w:rPr>
                <w:rFonts w:hint="default" w:ascii="Times New Roman" w:hAnsi="Times New Roman" w:eastAsia="宋体" w:cs="Times New Roman"/>
                <w:b/>
                <w:bCs/>
                <w:snapToGrid w:val="0"/>
                <w:color w:val="auto"/>
                <w:spacing w:val="-16"/>
                <w:kern w:val="21"/>
                <w:sz w:val="21"/>
                <w:szCs w:val="21"/>
              </w:rPr>
              <w:fldChar w:fldCharType="end"/>
            </w:r>
          </w:p>
        </w:tc>
        <w:tc>
          <w:tcPr>
            <w:tcW w:w="681" w:type="pct"/>
            <w:noWrap w:val="0"/>
            <w:tcMar>
              <w:left w:w="28" w:type="dxa"/>
              <w:right w:w="28" w:type="dxa"/>
            </w:tcMar>
            <w:vAlign w:val="center"/>
          </w:tcPr>
          <w:p w14:paraId="2A0964A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16"/>
                <w:kern w:val="21"/>
                <w:sz w:val="21"/>
                <w:szCs w:val="21"/>
              </w:rPr>
            </w:pPr>
            <w:r>
              <w:rPr>
                <w:rFonts w:hint="default" w:ascii="Times New Roman" w:hAnsi="Times New Roman" w:eastAsia="宋体" w:cs="Times New Roman"/>
                <w:b/>
                <w:bCs/>
                <w:snapToGrid w:val="0"/>
                <w:color w:val="auto"/>
                <w:spacing w:val="-16"/>
                <w:kern w:val="21"/>
                <w:sz w:val="21"/>
                <w:szCs w:val="21"/>
              </w:rPr>
              <w:t>本项目建成后</w:t>
            </w:r>
          </w:p>
          <w:p w14:paraId="5A7D642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16"/>
                <w:kern w:val="21"/>
                <w:sz w:val="21"/>
                <w:szCs w:val="21"/>
              </w:rPr>
            </w:pPr>
            <w:r>
              <w:rPr>
                <w:rFonts w:hint="default" w:ascii="Times New Roman" w:hAnsi="Times New Roman" w:eastAsia="宋体" w:cs="Times New Roman"/>
                <w:b/>
                <w:bCs/>
                <w:snapToGrid w:val="0"/>
                <w:color w:val="auto"/>
                <w:spacing w:val="-16"/>
                <w:kern w:val="21"/>
                <w:sz w:val="21"/>
                <w:szCs w:val="21"/>
              </w:rPr>
              <w:t>全厂排放量（固体废物产生量</w:t>
            </w:r>
            <w:r>
              <w:rPr>
                <w:rFonts w:hint="eastAsia" w:ascii="Times New Roman" w:cs="Times New Roman"/>
                <w:b/>
                <w:bCs/>
                <w:snapToGrid w:val="0"/>
                <w:color w:val="auto"/>
                <w:spacing w:val="-16"/>
                <w:kern w:val="21"/>
                <w:sz w:val="21"/>
                <w:szCs w:val="21"/>
                <w:lang w:eastAsia="zh-CN"/>
              </w:rPr>
              <w:t>）</w:t>
            </w:r>
            <w:r>
              <w:rPr>
                <w:rFonts w:hint="default" w:ascii="Times New Roman" w:hAnsi="Times New Roman" w:eastAsia="宋体" w:cs="Times New Roman"/>
                <w:b/>
                <w:bCs/>
                <w:snapToGrid w:val="0"/>
                <w:color w:val="auto"/>
                <w:spacing w:val="-16"/>
                <w:kern w:val="21"/>
                <w:sz w:val="21"/>
                <w:szCs w:val="21"/>
              </w:rPr>
              <w:fldChar w:fldCharType="begin"/>
            </w:r>
            <w:r>
              <w:rPr>
                <w:rFonts w:hint="default" w:ascii="Times New Roman" w:hAnsi="Times New Roman" w:eastAsia="宋体" w:cs="Times New Roman"/>
                <w:b/>
                <w:bCs/>
                <w:snapToGrid w:val="0"/>
                <w:color w:val="auto"/>
                <w:spacing w:val="-16"/>
                <w:kern w:val="21"/>
                <w:sz w:val="21"/>
                <w:szCs w:val="21"/>
              </w:rPr>
              <w:instrText xml:space="preserve"> = 6 \* GB3 \* MERGEFORMAT </w:instrText>
            </w:r>
            <w:r>
              <w:rPr>
                <w:rFonts w:hint="default" w:ascii="Times New Roman" w:hAnsi="Times New Roman" w:eastAsia="宋体" w:cs="Times New Roman"/>
                <w:b/>
                <w:bCs/>
                <w:snapToGrid w:val="0"/>
                <w:color w:val="auto"/>
                <w:spacing w:val="-16"/>
                <w:kern w:val="21"/>
                <w:sz w:val="21"/>
                <w:szCs w:val="21"/>
              </w:rPr>
              <w:fldChar w:fldCharType="separate"/>
            </w:r>
            <w:r>
              <w:rPr>
                <w:rFonts w:hint="default" w:ascii="Times New Roman" w:hAnsi="Times New Roman" w:eastAsia="宋体" w:cs="Times New Roman"/>
                <w:b/>
                <w:bCs/>
                <w:color w:val="auto"/>
                <w:kern w:val="2"/>
                <w:sz w:val="21"/>
                <w:szCs w:val="21"/>
              </w:rPr>
              <w:t>⑥</w:t>
            </w:r>
            <w:r>
              <w:rPr>
                <w:rFonts w:hint="default" w:ascii="Times New Roman" w:hAnsi="Times New Roman" w:eastAsia="宋体" w:cs="Times New Roman"/>
                <w:b/>
                <w:bCs/>
                <w:snapToGrid w:val="0"/>
                <w:color w:val="auto"/>
                <w:spacing w:val="-16"/>
                <w:kern w:val="21"/>
                <w:sz w:val="21"/>
                <w:szCs w:val="21"/>
              </w:rPr>
              <w:fldChar w:fldCharType="end"/>
            </w:r>
          </w:p>
        </w:tc>
        <w:tc>
          <w:tcPr>
            <w:tcW w:w="557" w:type="pct"/>
            <w:noWrap w:val="0"/>
            <w:tcMar>
              <w:left w:w="28" w:type="dxa"/>
              <w:right w:w="28" w:type="dxa"/>
            </w:tcMar>
            <w:vAlign w:val="center"/>
          </w:tcPr>
          <w:p w14:paraId="083BA4E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t>变化量</w:t>
            </w:r>
          </w:p>
          <w:p w14:paraId="1527AB89">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b/>
                <w:bCs/>
                <w:snapToGrid w:val="0"/>
                <w:color w:val="auto"/>
                <w:spacing w:val="-6"/>
                <w:kern w:val="21"/>
                <w:sz w:val="21"/>
                <w:szCs w:val="21"/>
              </w:rPr>
            </w:pPr>
            <w:r>
              <w:rPr>
                <w:rFonts w:hint="default" w:ascii="Times New Roman" w:hAnsi="Times New Roman" w:eastAsia="宋体" w:cs="Times New Roman"/>
                <w:b/>
                <w:bCs/>
                <w:snapToGrid w:val="0"/>
                <w:color w:val="auto"/>
                <w:spacing w:val="-6"/>
                <w:kern w:val="21"/>
                <w:sz w:val="21"/>
                <w:szCs w:val="21"/>
              </w:rPr>
              <w:fldChar w:fldCharType="begin"/>
            </w:r>
            <w:r>
              <w:rPr>
                <w:rFonts w:hint="default" w:ascii="Times New Roman" w:hAnsi="Times New Roman" w:eastAsia="宋体" w:cs="Times New Roman"/>
                <w:b/>
                <w:bCs/>
                <w:snapToGrid w:val="0"/>
                <w:color w:val="auto"/>
                <w:spacing w:val="-6"/>
                <w:kern w:val="21"/>
                <w:sz w:val="21"/>
                <w:szCs w:val="21"/>
              </w:rPr>
              <w:instrText xml:space="preserve"> = 7 \* GB3 \* MERGEFORMAT </w:instrText>
            </w:r>
            <w:r>
              <w:rPr>
                <w:rFonts w:hint="default" w:ascii="Times New Roman" w:hAnsi="Times New Roman" w:eastAsia="宋体" w:cs="Times New Roman"/>
                <w:b/>
                <w:bCs/>
                <w:snapToGrid w:val="0"/>
                <w:color w:val="auto"/>
                <w:spacing w:val="-6"/>
                <w:kern w:val="21"/>
                <w:sz w:val="21"/>
                <w:szCs w:val="21"/>
              </w:rPr>
              <w:fldChar w:fldCharType="separate"/>
            </w:r>
            <w:r>
              <w:rPr>
                <w:rFonts w:hint="default" w:ascii="Times New Roman" w:hAnsi="Times New Roman" w:eastAsia="宋体" w:cs="Times New Roman"/>
                <w:b/>
                <w:bCs/>
                <w:color w:val="auto"/>
                <w:kern w:val="2"/>
                <w:sz w:val="21"/>
                <w:szCs w:val="21"/>
              </w:rPr>
              <w:t>⑦</w:t>
            </w:r>
            <w:r>
              <w:rPr>
                <w:rFonts w:hint="default" w:ascii="Times New Roman" w:hAnsi="Times New Roman" w:eastAsia="宋体" w:cs="Times New Roman"/>
                <w:b/>
                <w:bCs/>
                <w:snapToGrid w:val="0"/>
                <w:color w:val="auto"/>
                <w:spacing w:val="-6"/>
                <w:kern w:val="21"/>
                <w:sz w:val="21"/>
                <w:szCs w:val="21"/>
              </w:rPr>
              <w:fldChar w:fldCharType="end"/>
            </w:r>
          </w:p>
        </w:tc>
      </w:tr>
      <w:tr w14:paraId="47040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restart"/>
            <w:noWrap w:val="0"/>
            <w:vAlign w:val="center"/>
          </w:tcPr>
          <w:p w14:paraId="0772A6C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废气</w:t>
            </w:r>
          </w:p>
        </w:tc>
        <w:tc>
          <w:tcPr>
            <w:tcW w:w="880" w:type="pct"/>
            <w:noWrap w:val="0"/>
            <w:vAlign w:val="center"/>
          </w:tcPr>
          <w:p w14:paraId="4CE5C13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tc>
        <w:tc>
          <w:tcPr>
            <w:tcW w:w="506" w:type="pct"/>
            <w:noWrap w:val="0"/>
            <w:vAlign w:val="center"/>
          </w:tcPr>
          <w:p w14:paraId="47272093">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4E5FF0E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1B930E5B">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131DD82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9.8304t/a</w:t>
            </w:r>
          </w:p>
        </w:tc>
        <w:tc>
          <w:tcPr>
            <w:tcW w:w="629" w:type="pct"/>
            <w:noWrap w:val="0"/>
            <w:vAlign w:val="center"/>
          </w:tcPr>
          <w:p w14:paraId="74E209F3">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1" w:type="pct"/>
            <w:noWrap w:val="0"/>
            <w:vAlign w:val="center"/>
          </w:tcPr>
          <w:p w14:paraId="608CD52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rPr>
              <w:t>9.8304t/a</w:t>
            </w:r>
          </w:p>
        </w:tc>
        <w:tc>
          <w:tcPr>
            <w:tcW w:w="557" w:type="pct"/>
            <w:noWrap w:val="0"/>
            <w:vAlign w:val="center"/>
          </w:tcPr>
          <w:p w14:paraId="5F6BE432">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rPr>
              <w:t>+9.8304t/a</w:t>
            </w:r>
          </w:p>
        </w:tc>
      </w:tr>
      <w:tr w14:paraId="7B1E38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0D7DE19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noWrap w:val="0"/>
            <w:vAlign w:val="center"/>
          </w:tcPr>
          <w:p w14:paraId="1461E97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NO</w:t>
            </w:r>
            <w:r>
              <w:rPr>
                <w:rFonts w:hint="default" w:ascii="Times New Roman" w:hAnsi="Times New Roman" w:eastAsia="宋体" w:cs="Times New Roman"/>
                <w:color w:val="auto"/>
                <w:kern w:val="0"/>
                <w:sz w:val="21"/>
                <w:szCs w:val="21"/>
                <w:vertAlign w:val="subscript"/>
                <w:lang w:val="en-US" w:eastAsia="zh-CN" w:bidi="ar"/>
              </w:rPr>
              <w:t>x</w:t>
            </w:r>
          </w:p>
        </w:tc>
        <w:tc>
          <w:tcPr>
            <w:tcW w:w="506" w:type="pct"/>
            <w:noWrap w:val="0"/>
            <w:vAlign w:val="center"/>
          </w:tcPr>
          <w:p w14:paraId="21B9224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244AF9D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217591E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22C26B77">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1.53t/a</w:t>
            </w:r>
          </w:p>
        </w:tc>
        <w:tc>
          <w:tcPr>
            <w:tcW w:w="629" w:type="pct"/>
            <w:noWrap w:val="0"/>
            <w:vAlign w:val="center"/>
          </w:tcPr>
          <w:p w14:paraId="7AC926B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1" w:type="pct"/>
            <w:noWrap w:val="0"/>
            <w:vAlign w:val="center"/>
          </w:tcPr>
          <w:p w14:paraId="10FAC6F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rPr>
              <w:t>1.53t/a</w:t>
            </w:r>
          </w:p>
        </w:tc>
        <w:tc>
          <w:tcPr>
            <w:tcW w:w="557" w:type="pct"/>
            <w:noWrap w:val="0"/>
            <w:vAlign w:val="center"/>
          </w:tcPr>
          <w:p w14:paraId="4B73728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rPr>
              <w:t>+1.53t/a</w:t>
            </w:r>
          </w:p>
        </w:tc>
      </w:tr>
      <w:tr w14:paraId="21F23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5FB0BC39">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noWrap w:val="0"/>
            <w:vAlign w:val="center"/>
          </w:tcPr>
          <w:p w14:paraId="152CCF9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
              </w:rPr>
              <w:t>SO</w:t>
            </w:r>
            <w:r>
              <w:rPr>
                <w:rFonts w:hint="default" w:ascii="Times New Roman" w:hAnsi="Times New Roman" w:eastAsia="宋体" w:cs="Times New Roman"/>
                <w:color w:val="auto"/>
                <w:kern w:val="2"/>
                <w:sz w:val="21"/>
                <w:szCs w:val="21"/>
                <w:vertAlign w:val="subscript"/>
                <w:lang w:val="en-US" w:eastAsia="zh-CN" w:bidi="ar"/>
              </w:rPr>
              <w:t>2</w:t>
            </w:r>
          </w:p>
        </w:tc>
        <w:tc>
          <w:tcPr>
            <w:tcW w:w="506" w:type="pct"/>
            <w:noWrap w:val="0"/>
            <w:vAlign w:val="center"/>
          </w:tcPr>
          <w:p w14:paraId="5B73B3C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523254C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4BC1BAA7">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4F3B59C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bidi="ar-SA"/>
              </w:rPr>
              <w:t>0.691t</w:t>
            </w:r>
            <w:r>
              <w:rPr>
                <w:rFonts w:hint="eastAsia" w:ascii="Times New Roman" w:cs="Times New Roman"/>
                <w:snapToGrid w:val="0"/>
                <w:color w:val="auto"/>
                <w:kern w:val="21"/>
                <w:sz w:val="21"/>
                <w:szCs w:val="21"/>
                <w:highlight w:val="none"/>
                <w:lang w:val="en-US" w:eastAsia="zh-CN"/>
              </w:rPr>
              <w:t>/a</w:t>
            </w:r>
          </w:p>
        </w:tc>
        <w:tc>
          <w:tcPr>
            <w:tcW w:w="629" w:type="pct"/>
            <w:noWrap w:val="0"/>
            <w:vAlign w:val="center"/>
          </w:tcPr>
          <w:p w14:paraId="5B406E23">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81" w:type="pct"/>
            <w:noWrap w:val="0"/>
            <w:vAlign w:val="center"/>
          </w:tcPr>
          <w:p w14:paraId="0309770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bidi="ar-SA"/>
              </w:rPr>
              <w:t>0.691t</w:t>
            </w:r>
            <w:r>
              <w:rPr>
                <w:rFonts w:hint="eastAsia" w:ascii="Times New Roman" w:cs="Times New Roman"/>
                <w:snapToGrid w:val="0"/>
                <w:color w:val="auto"/>
                <w:kern w:val="21"/>
                <w:sz w:val="21"/>
                <w:szCs w:val="21"/>
                <w:highlight w:val="none"/>
                <w:lang w:val="en-US" w:eastAsia="zh-CN"/>
              </w:rPr>
              <w:t>/a</w:t>
            </w:r>
          </w:p>
        </w:tc>
        <w:tc>
          <w:tcPr>
            <w:tcW w:w="557" w:type="pct"/>
            <w:noWrap w:val="0"/>
            <w:vAlign w:val="center"/>
          </w:tcPr>
          <w:p w14:paraId="38DB379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w:t>
            </w:r>
            <w:r>
              <w:rPr>
                <w:rFonts w:hint="eastAsia" w:ascii="Times New Roman" w:cs="Times New Roman"/>
                <w:snapToGrid w:val="0"/>
                <w:color w:val="auto"/>
                <w:kern w:val="21"/>
                <w:sz w:val="21"/>
                <w:szCs w:val="21"/>
                <w:highlight w:val="none"/>
                <w:lang w:val="en-US" w:eastAsia="zh-CN" w:bidi="ar-SA"/>
              </w:rPr>
              <w:t>0.691t</w:t>
            </w:r>
            <w:r>
              <w:rPr>
                <w:rFonts w:hint="eastAsia" w:ascii="Times New Roman" w:cs="Times New Roman"/>
                <w:snapToGrid w:val="0"/>
                <w:color w:val="auto"/>
                <w:kern w:val="21"/>
                <w:sz w:val="21"/>
                <w:szCs w:val="21"/>
                <w:highlight w:val="none"/>
                <w:lang w:val="en-US" w:eastAsia="zh-CN"/>
              </w:rPr>
              <w:t>/a</w:t>
            </w:r>
          </w:p>
        </w:tc>
      </w:tr>
      <w:tr w14:paraId="3F437F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7B5FFFA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noWrap w:val="0"/>
            <w:vAlign w:val="center"/>
          </w:tcPr>
          <w:p w14:paraId="0029627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06" w:type="pct"/>
            <w:noWrap w:val="0"/>
            <w:vAlign w:val="center"/>
          </w:tcPr>
          <w:p w14:paraId="78B1BCB0">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5F1E9794">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74C4529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78D5B37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rPr>
              <w:t>/</w:t>
            </w:r>
          </w:p>
        </w:tc>
        <w:tc>
          <w:tcPr>
            <w:tcW w:w="629" w:type="pct"/>
            <w:noWrap w:val="0"/>
            <w:vAlign w:val="center"/>
          </w:tcPr>
          <w:p w14:paraId="5F7B7AB3">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1" w:type="pct"/>
            <w:noWrap w:val="0"/>
            <w:vAlign w:val="center"/>
          </w:tcPr>
          <w:p w14:paraId="22B8C556">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57" w:type="pct"/>
            <w:noWrap w:val="0"/>
            <w:vAlign w:val="center"/>
          </w:tcPr>
          <w:p w14:paraId="28A705B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r>
      <w:tr w14:paraId="44418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6ED461F0">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noWrap w:val="0"/>
            <w:vAlign w:val="center"/>
          </w:tcPr>
          <w:p w14:paraId="6DD9171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06" w:type="pct"/>
            <w:noWrap w:val="0"/>
            <w:vAlign w:val="center"/>
          </w:tcPr>
          <w:p w14:paraId="68E8ED8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7E964E97">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7EFEE5B7">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72449B3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rPr>
              <w:t>/</w:t>
            </w:r>
          </w:p>
        </w:tc>
        <w:tc>
          <w:tcPr>
            <w:tcW w:w="629" w:type="pct"/>
            <w:noWrap w:val="0"/>
            <w:vAlign w:val="center"/>
          </w:tcPr>
          <w:p w14:paraId="3AE0080F">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1" w:type="pct"/>
            <w:noWrap w:val="0"/>
            <w:vAlign w:val="center"/>
          </w:tcPr>
          <w:p w14:paraId="22086BA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57" w:type="pct"/>
            <w:noWrap w:val="0"/>
            <w:vAlign w:val="center"/>
          </w:tcPr>
          <w:p w14:paraId="0FC573A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r>
      <w:tr w14:paraId="7BE2F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restart"/>
            <w:noWrap w:val="0"/>
            <w:vAlign w:val="center"/>
          </w:tcPr>
          <w:p w14:paraId="43952C8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废水</w:t>
            </w:r>
          </w:p>
        </w:tc>
        <w:tc>
          <w:tcPr>
            <w:tcW w:w="880" w:type="pct"/>
            <w:noWrap w:val="0"/>
            <w:vAlign w:val="center"/>
          </w:tcPr>
          <w:p w14:paraId="6D3E948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废水量</w:t>
            </w:r>
          </w:p>
        </w:tc>
        <w:tc>
          <w:tcPr>
            <w:tcW w:w="506" w:type="pct"/>
            <w:noWrap w:val="0"/>
            <w:vAlign w:val="center"/>
          </w:tcPr>
          <w:p w14:paraId="20AD32D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738966F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70885107">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53B49544">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29" w:type="pct"/>
            <w:noWrap w:val="0"/>
            <w:vAlign w:val="center"/>
          </w:tcPr>
          <w:p w14:paraId="1FD19430">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1" w:type="pct"/>
            <w:noWrap w:val="0"/>
            <w:vAlign w:val="center"/>
          </w:tcPr>
          <w:p w14:paraId="38BCD08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57" w:type="pct"/>
            <w:noWrap w:val="0"/>
            <w:vAlign w:val="center"/>
          </w:tcPr>
          <w:p w14:paraId="1F3AAF0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r>
      <w:tr w14:paraId="12B69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13A92A5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noWrap w:val="0"/>
            <w:vAlign w:val="center"/>
          </w:tcPr>
          <w:p w14:paraId="06069E6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COD</w:t>
            </w:r>
            <w:r>
              <w:rPr>
                <w:rFonts w:hint="default" w:ascii="Times New Roman" w:hAnsi="Times New Roman" w:eastAsia="宋体" w:cs="Times New Roman"/>
                <w:color w:val="auto"/>
                <w:sz w:val="21"/>
                <w:szCs w:val="21"/>
                <w:vertAlign w:val="subscript"/>
              </w:rPr>
              <w:t>Cr</w:t>
            </w:r>
          </w:p>
        </w:tc>
        <w:tc>
          <w:tcPr>
            <w:tcW w:w="506" w:type="pct"/>
            <w:noWrap w:val="0"/>
            <w:vAlign w:val="center"/>
          </w:tcPr>
          <w:p w14:paraId="36EFBBC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6B26D6DB">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0545BE3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3C3E54E4">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cs="Times New Roman"/>
                <w:snapToGrid w:val="0"/>
                <w:color w:val="auto"/>
                <w:kern w:val="21"/>
                <w:sz w:val="21"/>
                <w:szCs w:val="21"/>
                <w:highlight w:val="none"/>
                <w:lang w:val="en-US" w:eastAsia="zh-CN" w:bidi="ar-SA"/>
              </w:rPr>
            </w:pPr>
            <w:r>
              <w:rPr>
                <w:rFonts w:hint="default" w:ascii="Times New Roman" w:cs="Times New Roman"/>
                <w:snapToGrid w:val="0"/>
                <w:color w:val="auto"/>
                <w:kern w:val="21"/>
                <w:sz w:val="21"/>
                <w:szCs w:val="21"/>
                <w:highlight w:val="none"/>
                <w:lang w:val="en-US" w:eastAsia="zh-CN" w:bidi="ar-SA"/>
              </w:rPr>
              <w:t>0.0</w:t>
            </w:r>
            <w:r>
              <w:rPr>
                <w:rFonts w:hint="eastAsia" w:ascii="Times New Roman" w:cs="Times New Roman"/>
                <w:snapToGrid w:val="0"/>
                <w:color w:val="auto"/>
                <w:kern w:val="21"/>
                <w:sz w:val="21"/>
                <w:szCs w:val="21"/>
                <w:highlight w:val="none"/>
                <w:lang w:val="en-US" w:eastAsia="zh-CN" w:bidi="ar-SA"/>
              </w:rPr>
              <w:t>768t/a</w:t>
            </w:r>
          </w:p>
        </w:tc>
        <w:tc>
          <w:tcPr>
            <w:tcW w:w="629" w:type="pct"/>
            <w:noWrap w:val="0"/>
            <w:vAlign w:val="center"/>
          </w:tcPr>
          <w:p w14:paraId="533623D4">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2019" w:type="dxa"/>
            <w:noWrap w:val="0"/>
            <w:vAlign w:val="center"/>
          </w:tcPr>
          <w:p w14:paraId="2C92E49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cs="Times New Roman"/>
                <w:snapToGrid w:val="0"/>
                <w:color w:val="auto"/>
                <w:kern w:val="21"/>
                <w:sz w:val="21"/>
                <w:szCs w:val="21"/>
                <w:highlight w:val="none"/>
                <w:lang w:val="en-US" w:eastAsia="zh-CN" w:bidi="ar-SA"/>
              </w:rPr>
              <w:t>0.0</w:t>
            </w:r>
            <w:r>
              <w:rPr>
                <w:rFonts w:hint="eastAsia" w:ascii="Times New Roman" w:cs="Times New Roman"/>
                <w:snapToGrid w:val="0"/>
                <w:color w:val="auto"/>
                <w:kern w:val="21"/>
                <w:sz w:val="21"/>
                <w:szCs w:val="21"/>
                <w:highlight w:val="none"/>
                <w:lang w:val="en-US" w:eastAsia="zh-CN" w:bidi="ar-SA"/>
              </w:rPr>
              <w:t>768t/a</w:t>
            </w:r>
          </w:p>
        </w:tc>
        <w:tc>
          <w:tcPr>
            <w:tcW w:w="1652" w:type="dxa"/>
            <w:noWrap w:val="0"/>
            <w:vAlign w:val="center"/>
          </w:tcPr>
          <w:p w14:paraId="515FC95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bidi="ar-SA"/>
              </w:rPr>
              <w:t>+</w:t>
            </w:r>
            <w:r>
              <w:rPr>
                <w:rFonts w:hint="default" w:ascii="Times New Roman" w:cs="Times New Roman"/>
                <w:snapToGrid w:val="0"/>
                <w:color w:val="auto"/>
                <w:kern w:val="21"/>
                <w:sz w:val="21"/>
                <w:szCs w:val="21"/>
                <w:highlight w:val="none"/>
                <w:lang w:val="en-US" w:eastAsia="zh-CN" w:bidi="ar-SA"/>
              </w:rPr>
              <w:t>0.0</w:t>
            </w:r>
            <w:r>
              <w:rPr>
                <w:rFonts w:hint="eastAsia" w:ascii="Times New Roman" w:cs="Times New Roman"/>
                <w:snapToGrid w:val="0"/>
                <w:color w:val="auto"/>
                <w:kern w:val="21"/>
                <w:sz w:val="21"/>
                <w:szCs w:val="21"/>
                <w:highlight w:val="none"/>
                <w:lang w:val="en-US" w:eastAsia="zh-CN" w:bidi="ar-SA"/>
              </w:rPr>
              <w:t>768t/a</w:t>
            </w:r>
          </w:p>
        </w:tc>
      </w:tr>
      <w:tr w14:paraId="24509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16FAC86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noWrap w:val="0"/>
            <w:vAlign w:val="center"/>
          </w:tcPr>
          <w:p w14:paraId="695AD47F">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color w:val="auto"/>
                <w:sz w:val="21"/>
                <w:szCs w:val="21"/>
              </w:rPr>
              <w:t>BOD</w:t>
            </w:r>
            <w:r>
              <w:rPr>
                <w:rFonts w:hint="default" w:ascii="Times New Roman" w:hAnsi="Times New Roman" w:eastAsia="宋体" w:cs="Times New Roman"/>
                <w:color w:val="auto"/>
                <w:sz w:val="21"/>
                <w:szCs w:val="21"/>
                <w:vertAlign w:val="subscript"/>
              </w:rPr>
              <w:t>5</w:t>
            </w:r>
          </w:p>
        </w:tc>
        <w:tc>
          <w:tcPr>
            <w:tcW w:w="506" w:type="pct"/>
            <w:noWrap w:val="0"/>
            <w:vAlign w:val="center"/>
          </w:tcPr>
          <w:p w14:paraId="2483785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1603D50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0E42C15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060B6C0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bidi="ar-SA"/>
              </w:rPr>
              <w:t>0.048t/a</w:t>
            </w:r>
          </w:p>
        </w:tc>
        <w:tc>
          <w:tcPr>
            <w:tcW w:w="629" w:type="pct"/>
            <w:noWrap w:val="0"/>
            <w:vAlign w:val="center"/>
          </w:tcPr>
          <w:p w14:paraId="0C083EFB">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2019" w:type="dxa"/>
            <w:noWrap w:val="0"/>
            <w:vAlign w:val="center"/>
          </w:tcPr>
          <w:p w14:paraId="3EFE2BFB">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bidi="ar-SA"/>
              </w:rPr>
              <w:t>0.048t/a</w:t>
            </w:r>
          </w:p>
        </w:tc>
        <w:tc>
          <w:tcPr>
            <w:tcW w:w="1652" w:type="dxa"/>
            <w:noWrap w:val="0"/>
            <w:vAlign w:val="center"/>
          </w:tcPr>
          <w:p w14:paraId="4278369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bidi="ar-SA"/>
              </w:rPr>
              <w:t>+0.048t/a</w:t>
            </w:r>
          </w:p>
        </w:tc>
      </w:tr>
      <w:tr w14:paraId="38F8E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73E002E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shd w:val="clear" w:color="auto" w:fill="auto"/>
            <w:noWrap w:val="0"/>
            <w:vAlign w:val="center"/>
          </w:tcPr>
          <w:p w14:paraId="684150E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 w:val="21"/>
                <w:szCs w:val="21"/>
              </w:rPr>
              <w:t>NH</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-N</w:t>
            </w:r>
          </w:p>
        </w:tc>
        <w:tc>
          <w:tcPr>
            <w:tcW w:w="506" w:type="pct"/>
            <w:shd w:val="clear" w:color="auto" w:fill="auto"/>
            <w:noWrap w:val="0"/>
            <w:vAlign w:val="center"/>
          </w:tcPr>
          <w:p w14:paraId="55C8C350">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329" w:type="pct"/>
            <w:shd w:val="clear" w:color="auto" w:fill="auto"/>
            <w:noWrap w:val="0"/>
            <w:vAlign w:val="center"/>
          </w:tcPr>
          <w:p w14:paraId="5DF08FA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577" w:type="pct"/>
            <w:shd w:val="clear" w:color="auto" w:fill="auto"/>
            <w:noWrap w:val="0"/>
            <w:vAlign w:val="center"/>
          </w:tcPr>
          <w:p w14:paraId="29BEF0A7">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528" w:type="pct"/>
            <w:shd w:val="clear" w:color="auto" w:fill="auto"/>
            <w:noWrap w:val="0"/>
            <w:vAlign w:val="center"/>
          </w:tcPr>
          <w:p w14:paraId="33640FE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cs="Times New Roman"/>
                <w:snapToGrid w:val="0"/>
                <w:color w:val="auto"/>
                <w:kern w:val="21"/>
                <w:sz w:val="21"/>
                <w:szCs w:val="21"/>
                <w:highlight w:val="none"/>
                <w:lang w:val="en-US" w:eastAsia="zh-CN" w:bidi="ar-SA"/>
              </w:rPr>
            </w:pPr>
            <w:r>
              <w:rPr>
                <w:rFonts w:hint="default" w:ascii="Times New Roman" w:cs="Times New Roman"/>
                <w:snapToGrid w:val="0"/>
                <w:color w:val="auto"/>
                <w:kern w:val="21"/>
                <w:sz w:val="21"/>
                <w:szCs w:val="21"/>
                <w:highlight w:val="none"/>
                <w:lang w:val="en-US" w:eastAsia="zh-CN" w:bidi="ar-SA"/>
              </w:rPr>
              <w:t>0.00</w:t>
            </w:r>
            <w:r>
              <w:rPr>
                <w:rFonts w:hint="eastAsia" w:ascii="Times New Roman" w:cs="Times New Roman"/>
                <w:snapToGrid w:val="0"/>
                <w:color w:val="auto"/>
                <w:kern w:val="21"/>
                <w:sz w:val="21"/>
                <w:szCs w:val="21"/>
                <w:highlight w:val="none"/>
                <w:lang w:val="en-US" w:eastAsia="zh-CN" w:bidi="ar-SA"/>
              </w:rPr>
              <w:t>192t/a</w:t>
            </w:r>
          </w:p>
        </w:tc>
        <w:tc>
          <w:tcPr>
            <w:tcW w:w="629" w:type="pct"/>
            <w:noWrap w:val="0"/>
            <w:vAlign w:val="center"/>
          </w:tcPr>
          <w:p w14:paraId="647A1970">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2019" w:type="dxa"/>
            <w:noWrap w:val="0"/>
            <w:vAlign w:val="center"/>
          </w:tcPr>
          <w:p w14:paraId="1EDA41D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cs="Times New Roman"/>
                <w:snapToGrid w:val="0"/>
                <w:color w:val="auto"/>
                <w:kern w:val="21"/>
                <w:sz w:val="21"/>
                <w:szCs w:val="21"/>
                <w:highlight w:val="none"/>
                <w:lang w:val="en-US" w:eastAsia="zh-CN" w:bidi="ar-SA"/>
              </w:rPr>
              <w:t>0.00</w:t>
            </w:r>
            <w:r>
              <w:rPr>
                <w:rFonts w:hint="eastAsia" w:ascii="Times New Roman" w:cs="Times New Roman"/>
                <w:snapToGrid w:val="0"/>
                <w:color w:val="auto"/>
                <w:kern w:val="21"/>
                <w:sz w:val="21"/>
                <w:szCs w:val="21"/>
                <w:highlight w:val="none"/>
                <w:lang w:val="en-US" w:eastAsia="zh-CN" w:bidi="ar-SA"/>
              </w:rPr>
              <w:t>192t/a</w:t>
            </w:r>
          </w:p>
        </w:tc>
        <w:tc>
          <w:tcPr>
            <w:tcW w:w="1652" w:type="dxa"/>
            <w:noWrap w:val="0"/>
            <w:vAlign w:val="center"/>
          </w:tcPr>
          <w:p w14:paraId="3023E903">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bidi="ar-SA"/>
              </w:rPr>
              <w:t>+</w:t>
            </w:r>
            <w:r>
              <w:rPr>
                <w:rFonts w:hint="default" w:ascii="Times New Roman" w:cs="Times New Roman"/>
                <w:snapToGrid w:val="0"/>
                <w:color w:val="auto"/>
                <w:kern w:val="21"/>
                <w:sz w:val="21"/>
                <w:szCs w:val="21"/>
                <w:highlight w:val="none"/>
                <w:lang w:val="en-US" w:eastAsia="zh-CN" w:bidi="ar-SA"/>
              </w:rPr>
              <w:t>0.00</w:t>
            </w:r>
            <w:r>
              <w:rPr>
                <w:rFonts w:hint="eastAsia" w:ascii="Times New Roman" w:cs="Times New Roman"/>
                <w:snapToGrid w:val="0"/>
                <w:color w:val="auto"/>
                <w:kern w:val="21"/>
                <w:sz w:val="21"/>
                <w:szCs w:val="21"/>
                <w:highlight w:val="none"/>
                <w:lang w:val="en-US" w:eastAsia="zh-CN" w:bidi="ar-SA"/>
              </w:rPr>
              <w:t>192t/a</w:t>
            </w:r>
          </w:p>
        </w:tc>
      </w:tr>
      <w:tr w14:paraId="3CA4B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2D9504B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noWrap w:val="0"/>
            <w:vAlign w:val="center"/>
          </w:tcPr>
          <w:p w14:paraId="43A590D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jc w:val="center"/>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color w:val="auto"/>
                <w:sz w:val="21"/>
                <w:szCs w:val="21"/>
              </w:rPr>
              <w:t>SS</w:t>
            </w:r>
          </w:p>
        </w:tc>
        <w:tc>
          <w:tcPr>
            <w:tcW w:w="506" w:type="pct"/>
            <w:noWrap w:val="0"/>
            <w:vAlign w:val="center"/>
          </w:tcPr>
          <w:p w14:paraId="799B712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329" w:type="pct"/>
            <w:noWrap w:val="0"/>
            <w:vAlign w:val="center"/>
          </w:tcPr>
          <w:p w14:paraId="1CB5B6D2">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77" w:type="pct"/>
            <w:noWrap w:val="0"/>
            <w:vAlign w:val="center"/>
          </w:tcPr>
          <w:p w14:paraId="1910594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w:t>
            </w:r>
          </w:p>
        </w:tc>
        <w:tc>
          <w:tcPr>
            <w:tcW w:w="528" w:type="pct"/>
            <w:noWrap w:val="0"/>
            <w:vAlign w:val="center"/>
          </w:tcPr>
          <w:p w14:paraId="48DA9FB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cs="Times New Roman"/>
                <w:snapToGrid w:val="0"/>
                <w:color w:val="auto"/>
                <w:kern w:val="21"/>
                <w:sz w:val="21"/>
                <w:szCs w:val="21"/>
                <w:highlight w:val="none"/>
                <w:lang w:val="en-US" w:eastAsia="zh-CN" w:bidi="ar-SA"/>
              </w:rPr>
            </w:pPr>
            <w:r>
              <w:rPr>
                <w:rFonts w:hint="default" w:ascii="Times New Roman" w:cs="Times New Roman"/>
                <w:snapToGrid w:val="0"/>
                <w:color w:val="auto"/>
                <w:kern w:val="21"/>
                <w:sz w:val="21"/>
                <w:szCs w:val="21"/>
                <w:highlight w:val="none"/>
                <w:lang w:val="en-US" w:eastAsia="zh-CN" w:bidi="ar-SA"/>
              </w:rPr>
              <w:t>0.0</w:t>
            </w:r>
            <w:r>
              <w:rPr>
                <w:rFonts w:hint="eastAsia" w:ascii="Times New Roman" w:cs="Times New Roman"/>
                <w:snapToGrid w:val="0"/>
                <w:color w:val="auto"/>
                <w:kern w:val="21"/>
                <w:sz w:val="21"/>
                <w:szCs w:val="21"/>
                <w:highlight w:val="none"/>
                <w:lang w:val="en-US" w:eastAsia="zh-CN" w:bidi="ar-SA"/>
              </w:rPr>
              <w:t>48t/a</w:t>
            </w:r>
          </w:p>
        </w:tc>
        <w:tc>
          <w:tcPr>
            <w:tcW w:w="629" w:type="pct"/>
            <w:noWrap w:val="0"/>
            <w:vAlign w:val="center"/>
          </w:tcPr>
          <w:p w14:paraId="7185F503">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2019" w:type="dxa"/>
            <w:noWrap w:val="0"/>
            <w:vAlign w:val="center"/>
          </w:tcPr>
          <w:p w14:paraId="737664B3">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cs="Times New Roman"/>
                <w:snapToGrid w:val="0"/>
                <w:color w:val="auto"/>
                <w:kern w:val="21"/>
                <w:sz w:val="21"/>
                <w:szCs w:val="21"/>
                <w:highlight w:val="none"/>
                <w:lang w:val="en-US" w:eastAsia="zh-CN" w:bidi="ar-SA"/>
              </w:rPr>
              <w:t>0.0</w:t>
            </w:r>
            <w:r>
              <w:rPr>
                <w:rFonts w:hint="eastAsia" w:ascii="Times New Roman" w:cs="Times New Roman"/>
                <w:snapToGrid w:val="0"/>
                <w:color w:val="auto"/>
                <w:kern w:val="21"/>
                <w:sz w:val="21"/>
                <w:szCs w:val="21"/>
                <w:highlight w:val="none"/>
                <w:lang w:val="en-US" w:eastAsia="zh-CN" w:bidi="ar-SA"/>
              </w:rPr>
              <w:t>48t/a</w:t>
            </w:r>
          </w:p>
        </w:tc>
        <w:tc>
          <w:tcPr>
            <w:tcW w:w="1652" w:type="dxa"/>
            <w:noWrap w:val="0"/>
            <w:vAlign w:val="center"/>
          </w:tcPr>
          <w:p w14:paraId="24D3AEC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rPr>
            </w:pPr>
            <w:r>
              <w:rPr>
                <w:rFonts w:hint="eastAsia" w:ascii="Times New Roman" w:cs="Times New Roman"/>
                <w:snapToGrid w:val="0"/>
                <w:color w:val="auto"/>
                <w:kern w:val="21"/>
                <w:sz w:val="21"/>
                <w:szCs w:val="21"/>
                <w:highlight w:val="none"/>
                <w:lang w:val="en-US" w:eastAsia="zh-CN" w:bidi="ar-SA"/>
              </w:rPr>
              <w:t>+</w:t>
            </w:r>
            <w:r>
              <w:rPr>
                <w:rFonts w:hint="default" w:ascii="Times New Roman" w:cs="Times New Roman"/>
                <w:snapToGrid w:val="0"/>
                <w:color w:val="auto"/>
                <w:kern w:val="21"/>
                <w:sz w:val="21"/>
                <w:szCs w:val="21"/>
                <w:highlight w:val="none"/>
                <w:lang w:val="en-US" w:eastAsia="zh-CN" w:bidi="ar-SA"/>
              </w:rPr>
              <w:t>0.0</w:t>
            </w:r>
            <w:r>
              <w:rPr>
                <w:rFonts w:hint="eastAsia" w:ascii="Times New Roman" w:cs="Times New Roman"/>
                <w:snapToGrid w:val="0"/>
                <w:color w:val="auto"/>
                <w:kern w:val="21"/>
                <w:sz w:val="21"/>
                <w:szCs w:val="21"/>
                <w:highlight w:val="none"/>
                <w:lang w:val="en-US" w:eastAsia="zh-CN" w:bidi="ar-SA"/>
              </w:rPr>
              <w:t>48t/a</w:t>
            </w:r>
          </w:p>
        </w:tc>
      </w:tr>
      <w:tr w14:paraId="29D0D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restart"/>
            <w:noWrap w:val="0"/>
            <w:vAlign w:val="center"/>
          </w:tcPr>
          <w:p w14:paraId="4824FAA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snapToGrid w:val="0"/>
                <w:color w:val="auto"/>
                <w:kern w:val="21"/>
                <w:sz w:val="21"/>
                <w:szCs w:val="21"/>
              </w:rPr>
              <w:t>一般工业固体废物</w:t>
            </w:r>
          </w:p>
        </w:tc>
        <w:tc>
          <w:tcPr>
            <w:tcW w:w="880" w:type="pct"/>
            <w:shd w:val="clear" w:color="auto" w:fill="auto"/>
            <w:noWrap w:val="0"/>
            <w:vAlign w:val="center"/>
          </w:tcPr>
          <w:p w14:paraId="7DE12CAF">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锅炉灰渣</w:t>
            </w:r>
          </w:p>
        </w:tc>
        <w:tc>
          <w:tcPr>
            <w:tcW w:w="506" w:type="pct"/>
            <w:shd w:val="clear" w:color="auto" w:fill="auto"/>
            <w:noWrap w:val="0"/>
            <w:vAlign w:val="center"/>
          </w:tcPr>
          <w:p w14:paraId="50BEF393">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329" w:type="pct"/>
            <w:shd w:val="clear" w:color="auto" w:fill="auto"/>
            <w:noWrap w:val="0"/>
            <w:vAlign w:val="center"/>
          </w:tcPr>
          <w:p w14:paraId="49618CA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577" w:type="pct"/>
            <w:shd w:val="clear" w:color="auto" w:fill="auto"/>
            <w:noWrap w:val="0"/>
            <w:vAlign w:val="center"/>
          </w:tcPr>
          <w:p w14:paraId="0DD4AE9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528" w:type="pct"/>
            <w:shd w:val="clear" w:color="auto" w:fill="auto"/>
            <w:noWrap w:val="0"/>
            <w:vAlign w:val="center"/>
          </w:tcPr>
          <w:p w14:paraId="683E0F42">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251t/a</w:t>
            </w:r>
          </w:p>
        </w:tc>
        <w:tc>
          <w:tcPr>
            <w:tcW w:w="629" w:type="pct"/>
            <w:shd w:val="clear" w:color="auto" w:fill="auto"/>
            <w:noWrap w:val="0"/>
            <w:vAlign w:val="center"/>
          </w:tcPr>
          <w:p w14:paraId="7942C3F3">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rPr>
              <w:t>/</w:t>
            </w:r>
          </w:p>
        </w:tc>
        <w:tc>
          <w:tcPr>
            <w:tcW w:w="681" w:type="pct"/>
            <w:shd w:val="clear" w:color="auto" w:fill="auto"/>
            <w:noWrap w:val="0"/>
            <w:vAlign w:val="center"/>
          </w:tcPr>
          <w:p w14:paraId="0D1976C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251t/a</w:t>
            </w:r>
          </w:p>
        </w:tc>
        <w:tc>
          <w:tcPr>
            <w:tcW w:w="557" w:type="pct"/>
            <w:shd w:val="clear" w:color="auto" w:fill="auto"/>
            <w:noWrap w:val="0"/>
            <w:vAlign w:val="center"/>
          </w:tcPr>
          <w:p w14:paraId="521B280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bidi="ar-SA"/>
              </w:rPr>
              <w:t>+</w:t>
            </w:r>
            <w:r>
              <w:rPr>
                <w:rFonts w:hint="eastAsia" w:ascii="Times New Roman" w:cs="Times New Roman"/>
                <w:snapToGrid w:val="0"/>
                <w:color w:val="auto"/>
                <w:kern w:val="21"/>
                <w:sz w:val="21"/>
                <w:szCs w:val="21"/>
                <w:highlight w:val="none"/>
                <w:lang w:val="en-US" w:eastAsia="zh-CN"/>
              </w:rPr>
              <w:t>251t/a</w:t>
            </w:r>
          </w:p>
        </w:tc>
      </w:tr>
      <w:tr w14:paraId="501DF9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76D5C14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shd w:val="clear" w:color="auto" w:fill="auto"/>
            <w:noWrap w:val="0"/>
            <w:vAlign w:val="center"/>
          </w:tcPr>
          <w:p w14:paraId="04B64C15">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除尘器收集灰</w:t>
            </w:r>
          </w:p>
        </w:tc>
        <w:tc>
          <w:tcPr>
            <w:tcW w:w="506" w:type="pct"/>
            <w:shd w:val="clear" w:color="auto" w:fill="auto"/>
            <w:noWrap w:val="0"/>
            <w:vAlign w:val="center"/>
          </w:tcPr>
          <w:p w14:paraId="0EB84D3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329" w:type="pct"/>
            <w:shd w:val="clear" w:color="auto" w:fill="auto"/>
            <w:noWrap w:val="0"/>
            <w:vAlign w:val="center"/>
          </w:tcPr>
          <w:p w14:paraId="08CCEB8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577" w:type="pct"/>
            <w:shd w:val="clear" w:color="auto" w:fill="auto"/>
            <w:noWrap w:val="0"/>
            <w:vAlign w:val="center"/>
          </w:tcPr>
          <w:p w14:paraId="5B016939">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rPr>
              <w:t>/</w:t>
            </w:r>
          </w:p>
        </w:tc>
        <w:tc>
          <w:tcPr>
            <w:tcW w:w="528" w:type="pct"/>
            <w:shd w:val="clear" w:color="auto" w:fill="auto"/>
            <w:noWrap w:val="0"/>
            <w:vAlign w:val="center"/>
          </w:tcPr>
          <w:p w14:paraId="44FD380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textAlignment w:val="auto"/>
              <w:rPr>
                <w:rFonts w:hint="default" w:ascii="Times New Roman" w:hAnsi="Times New Roman" w:eastAsia="宋体" w:cs="Times New Roman"/>
                <w:b/>
                <w:bCs/>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68.151t/a</w:t>
            </w:r>
          </w:p>
        </w:tc>
        <w:tc>
          <w:tcPr>
            <w:tcW w:w="629" w:type="pct"/>
            <w:shd w:val="clear" w:color="auto" w:fill="auto"/>
            <w:noWrap w:val="0"/>
            <w:vAlign w:val="center"/>
          </w:tcPr>
          <w:p w14:paraId="519679D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rPr>
              <w:t>/</w:t>
            </w:r>
          </w:p>
        </w:tc>
        <w:tc>
          <w:tcPr>
            <w:tcW w:w="681" w:type="pct"/>
            <w:shd w:val="clear" w:color="auto" w:fill="auto"/>
            <w:noWrap w:val="0"/>
            <w:vAlign w:val="center"/>
          </w:tcPr>
          <w:p w14:paraId="712331C5">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68.151t/a</w:t>
            </w:r>
          </w:p>
        </w:tc>
        <w:tc>
          <w:tcPr>
            <w:tcW w:w="557" w:type="pct"/>
            <w:shd w:val="clear" w:color="auto" w:fill="auto"/>
            <w:noWrap w:val="0"/>
            <w:vAlign w:val="center"/>
          </w:tcPr>
          <w:p w14:paraId="09C680F8">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w:t>
            </w:r>
            <w:r>
              <w:rPr>
                <w:rFonts w:hint="eastAsia" w:ascii="Times New Roman" w:cs="Times New Roman"/>
                <w:snapToGrid w:val="0"/>
                <w:color w:val="auto"/>
                <w:kern w:val="21"/>
                <w:sz w:val="21"/>
                <w:szCs w:val="21"/>
                <w:highlight w:val="none"/>
                <w:lang w:val="en-US" w:eastAsia="zh-CN"/>
              </w:rPr>
              <w:t>68.151t/a</w:t>
            </w:r>
          </w:p>
        </w:tc>
      </w:tr>
      <w:tr w14:paraId="267D5B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4F10744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shd w:val="clear" w:color="auto" w:fill="auto"/>
            <w:noWrap w:val="0"/>
            <w:vAlign w:val="center"/>
          </w:tcPr>
          <w:p w14:paraId="294C96F2">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生活垃圾</w:t>
            </w:r>
          </w:p>
        </w:tc>
        <w:tc>
          <w:tcPr>
            <w:tcW w:w="506" w:type="pct"/>
            <w:shd w:val="clear" w:color="auto" w:fill="auto"/>
            <w:noWrap w:val="0"/>
            <w:vAlign w:val="center"/>
          </w:tcPr>
          <w:p w14:paraId="3760375B">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329" w:type="pct"/>
            <w:shd w:val="clear" w:color="auto" w:fill="auto"/>
            <w:noWrap w:val="0"/>
            <w:vAlign w:val="center"/>
          </w:tcPr>
          <w:p w14:paraId="6AF0EB2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77" w:type="pct"/>
            <w:shd w:val="clear" w:color="auto" w:fill="auto"/>
            <w:noWrap w:val="0"/>
            <w:vAlign w:val="center"/>
          </w:tcPr>
          <w:p w14:paraId="3E3883E3">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28" w:type="pct"/>
            <w:shd w:val="clear" w:color="auto" w:fill="auto"/>
            <w:noWrap w:val="0"/>
            <w:vAlign w:val="center"/>
          </w:tcPr>
          <w:p w14:paraId="44EAA4F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3t/a</w:t>
            </w:r>
          </w:p>
        </w:tc>
        <w:tc>
          <w:tcPr>
            <w:tcW w:w="629" w:type="pct"/>
            <w:shd w:val="clear" w:color="auto" w:fill="auto"/>
            <w:noWrap w:val="0"/>
            <w:vAlign w:val="center"/>
          </w:tcPr>
          <w:p w14:paraId="3E208E60">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81" w:type="pct"/>
            <w:shd w:val="clear" w:color="auto" w:fill="auto"/>
            <w:noWrap w:val="0"/>
            <w:vAlign w:val="center"/>
          </w:tcPr>
          <w:p w14:paraId="43A041AE">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3t/a</w:t>
            </w:r>
          </w:p>
        </w:tc>
        <w:tc>
          <w:tcPr>
            <w:tcW w:w="557" w:type="pct"/>
            <w:shd w:val="clear" w:color="auto" w:fill="auto"/>
            <w:noWrap w:val="0"/>
            <w:vAlign w:val="center"/>
          </w:tcPr>
          <w:p w14:paraId="4BC0EEB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+3t/a</w:t>
            </w:r>
          </w:p>
        </w:tc>
      </w:tr>
      <w:tr w14:paraId="6D73B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663684F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shd w:val="clear" w:color="auto" w:fill="auto"/>
            <w:noWrap w:val="0"/>
            <w:vAlign w:val="center"/>
          </w:tcPr>
          <w:p w14:paraId="72E38754">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筛分杂质及霉变玉米</w:t>
            </w:r>
          </w:p>
        </w:tc>
        <w:tc>
          <w:tcPr>
            <w:tcW w:w="506" w:type="pct"/>
            <w:shd w:val="clear" w:color="auto" w:fill="auto"/>
            <w:noWrap w:val="0"/>
            <w:vAlign w:val="center"/>
          </w:tcPr>
          <w:p w14:paraId="293E2CE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w:t>
            </w:r>
          </w:p>
        </w:tc>
        <w:tc>
          <w:tcPr>
            <w:tcW w:w="329" w:type="pct"/>
            <w:shd w:val="clear" w:color="auto" w:fill="auto"/>
            <w:noWrap w:val="0"/>
            <w:vAlign w:val="center"/>
          </w:tcPr>
          <w:p w14:paraId="085A28D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w:t>
            </w:r>
          </w:p>
        </w:tc>
        <w:tc>
          <w:tcPr>
            <w:tcW w:w="577" w:type="pct"/>
            <w:shd w:val="clear" w:color="auto" w:fill="auto"/>
            <w:noWrap w:val="0"/>
            <w:vAlign w:val="center"/>
          </w:tcPr>
          <w:p w14:paraId="2C02C97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cs="Times New Roman"/>
                <w:snapToGrid w:val="0"/>
                <w:color w:val="auto"/>
                <w:kern w:val="21"/>
                <w:sz w:val="21"/>
                <w:szCs w:val="21"/>
                <w:lang w:val="en-US" w:eastAsia="zh-CN"/>
              </w:rPr>
            </w:pPr>
            <w:r>
              <w:rPr>
                <w:rFonts w:hint="eastAsia" w:ascii="Times New Roman" w:cs="Times New Roman"/>
                <w:snapToGrid w:val="0"/>
                <w:color w:val="auto"/>
                <w:kern w:val="21"/>
                <w:sz w:val="21"/>
                <w:szCs w:val="21"/>
                <w:lang w:val="en-US" w:eastAsia="zh-CN"/>
              </w:rPr>
              <w:t>/</w:t>
            </w:r>
          </w:p>
        </w:tc>
        <w:tc>
          <w:tcPr>
            <w:tcW w:w="528" w:type="pct"/>
            <w:shd w:val="clear" w:color="auto" w:fill="auto"/>
            <w:noWrap w:val="0"/>
            <w:vAlign w:val="center"/>
          </w:tcPr>
          <w:p w14:paraId="183B86E0">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66.74t/a</w:t>
            </w:r>
          </w:p>
        </w:tc>
        <w:tc>
          <w:tcPr>
            <w:tcW w:w="629" w:type="pct"/>
            <w:shd w:val="clear" w:color="auto" w:fill="auto"/>
            <w:noWrap w:val="0"/>
            <w:vAlign w:val="center"/>
          </w:tcPr>
          <w:p w14:paraId="45050F63">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eastAsia"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rPr>
              <w:t>/</w:t>
            </w:r>
          </w:p>
        </w:tc>
        <w:tc>
          <w:tcPr>
            <w:tcW w:w="681" w:type="pct"/>
            <w:shd w:val="clear" w:color="auto" w:fill="auto"/>
            <w:noWrap w:val="0"/>
            <w:vAlign w:val="center"/>
          </w:tcPr>
          <w:p w14:paraId="0DB380C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66.74t/a</w:t>
            </w:r>
          </w:p>
        </w:tc>
        <w:tc>
          <w:tcPr>
            <w:tcW w:w="557" w:type="pct"/>
            <w:shd w:val="clear" w:color="auto" w:fill="auto"/>
            <w:noWrap w:val="0"/>
            <w:vAlign w:val="center"/>
          </w:tcPr>
          <w:p w14:paraId="10D0FA5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+66.74t/a</w:t>
            </w:r>
          </w:p>
        </w:tc>
      </w:tr>
      <w:tr w14:paraId="76A42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0C005BD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default" w:ascii="Times New Roman" w:hAnsi="Times New Roman" w:eastAsia="宋体" w:cs="Times New Roman"/>
                <w:snapToGrid w:val="0"/>
                <w:color w:val="auto"/>
                <w:kern w:val="21"/>
                <w:sz w:val="21"/>
                <w:szCs w:val="21"/>
              </w:rPr>
            </w:pPr>
          </w:p>
        </w:tc>
        <w:tc>
          <w:tcPr>
            <w:tcW w:w="880" w:type="pct"/>
            <w:shd w:val="clear" w:color="auto" w:fill="auto"/>
            <w:noWrap w:val="0"/>
            <w:vAlign w:val="center"/>
          </w:tcPr>
          <w:p w14:paraId="004993E6">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除尘器废布袋</w:t>
            </w:r>
          </w:p>
        </w:tc>
        <w:tc>
          <w:tcPr>
            <w:tcW w:w="506" w:type="pct"/>
            <w:shd w:val="clear" w:color="auto" w:fill="auto"/>
            <w:noWrap w:val="0"/>
            <w:vAlign w:val="center"/>
          </w:tcPr>
          <w:p w14:paraId="5FE989E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329" w:type="pct"/>
            <w:shd w:val="clear" w:color="auto" w:fill="auto"/>
            <w:noWrap w:val="0"/>
            <w:vAlign w:val="center"/>
          </w:tcPr>
          <w:p w14:paraId="631ECBC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77" w:type="pct"/>
            <w:shd w:val="clear" w:color="auto" w:fill="auto"/>
            <w:noWrap w:val="0"/>
            <w:vAlign w:val="center"/>
          </w:tcPr>
          <w:p w14:paraId="7995FD2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28" w:type="pct"/>
            <w:shd w:val="clear" w:color="auto" w:fill="auto"/>
            <w:noWrap w:val="0"/>
            <w:vAlign w:val="center"/>
          </w:tcPr>
          <w:p w14:paraId="7BAE6429">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0.5t/a</w:t>
            </w:r>
          </w:p>
        </w:tc>
        <w:tc>
          <w:tcPr>
            <w:tcW w:w="629" w:type="pct"/>
            <w:shd w:val="clear" w:color="auto" w:fill="auto"/>
            <w:noWrap w:val="0"/>
            <w:vAlign w:val="center"/>
          </w:tcPr>
          <w:p w14:paraId="74C4010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 w:val="21"/>
                <w:szCs w:val="21"/>
                <w:lang w:val="en-US" w:eastAsia="zh-CN"/>
              </w:rPr>
              <w:t>/</w:t>
            </w:r>
          </w:p>
        </w:tc>
        <w:tc>
          <w:tcPr>
            <w:tcW w:w="681" w:type="pct"/>
            <w:shd w:val="clear" w:color="auto" w:fill="auto"/>
            <w:noWrap w:val="0"/>
            <w:vAlign w:val="center"/>
          </w:tcPr>
          <w:p w14:paraId="2813EC6C">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0.5t/a</w:t>
            </w:r>
          </w:p>
        </w:tc>
        <w:tc>
          <w:tcPr>
            <w:tcW w:w="557" w:type="pct"/>
            <w:shd w:val="clear" w:color="auto" w:fill="auto"/>
            <w:noWrap w:val="0"/>
            <w:vAlign w:val="center"/>
          </w:tcPr>
          <w:p w14:paraId="0ECD80A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bidi="ar-SA"/>
              </w:rPr>
              <w:t>+</w:t>
            </w:r>
            <w:r>
              <w:rPr>
                <w:rFonts w:hint="eastAsia" w:ascii="Times New Roman" w:cs="Times New Roman"/>
                <w:snapToGrid w:val="0"/>
                <w:color w:val="auto"/>
                <w:kern w:val="21"/>
                <w:sz w:val="21"/>
                <w:szCs w:val="21"/>
                <w:highlight w:val="none"/>
                <w:lang w:val="en-US" w:eastAsia="zh-CN"/>
              </w:rPr>
              <w:t>0.5t/a</w:t>
            </w:r>
          </w:p>
        </w:tc>
      </w:tr>
      <w:tr w14:paraId="5D92BC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restart"/>
            <w:noWrap w:val="0"/>
            <w:vAlign w:val="center"/>
          </w:tcPr>
          <w:p w14:paraId="02A330F3">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eastAsia"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危险废物</w:t>
            </w:r>
          </w:p>
        </w:tc>
        <w:tc>
          <w:tcPr>
            <w:tcW w:w="880" w:type="pct"/>
            <w:shd w:val="clear" w:color="auto" w:fill="auto"/>
            <w:noWrap w:val="0"/>
            <w:vAlign w:val="center"/>
          </w:tcPr>
          <w:p w14:paraId="17515F6F">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废机油</w:t>
            </w:r>
          </w:p>
        </w:tc>
        <w:tc>
          <w:tcPr>
            <w:tcW w:w="506" w:type="pct"/>
            <w:shd w:val="clear" w:color="auto" w:fill="auto"/>
            <w:noWrap w:val="0"/>
            <w:vAlign w:val="center"/>
          </w:tcPr>
          <w:p w14:paraId="7893AC16">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329" w:type="pct"/>
            <w:shd w:val="clear" w:color="auto" w:fill="auto"/>
            <w:noWrap w:val="0"/>
            <w:vAlign w:val="center"/>
          </w:tcPr>
          <w:p w14:paraId="5DEEF092">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77" w:type="pct"/>
            <w:shd w:val="clear" w:color="auto" w:fill="auto"/>
            <w:noWrap w:val="0"/>
            <w:vAlign w:val="center"/>
          </w:tcPr>
          <w:p w14:paraId="1C914C51">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28" w:type="pct"/>
            <w:shd w:val="clear" w:color="auto" w:fill="auto"/>
            <w:noWrap w:val="0"/>
            <w:vAlign w:val="center"/>
          </w:tcPr>
          <w:p w14:paraId="620100F2">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0.01t/a</w:t>
            </w:r>
          </w:p>
        </w:tc>
        <w:tc>
          <w:tcPr>
            <w:tcW w:w="629" w:type="pct"/>
            <w:shd w:val="clear" w:color="auto" w:fill="auto"/>
            <w:noWrap w:val="0"/>
            <w:vAlign w:val="center"/>
          </w:tcPr>
          <w:p w14:paraId="677BA1B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 w:val="21"/>
                <w:szCs w:val="21"/>
                <w:lang w:val="en-US" w:eastAsia="zh-CN"/>
              </w:rPr>
              <w:t>/</w:t>
            </w:r>
          </w:p>
        </w:tc>
        <w:tc>
          <w:tcPr>
            <w:tcW w:w="681" w:type="pct"/>
            <w:shd w:val="clear" w:color="auto" w:fill="auto"/>
            <w:noWrap w:val="0"/>
            <w:vAlign w:val="center"/>
          </w:tcPr>
          <w:p w14:paraId="6E385082">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0.01t/a</w:t>
            </w:r>
          </w:p>
        </w:tc>
        <w:tc>
          <w:tcPr>
            <w:tcW w:w="557" w:type="pct"/>
            <w:shd w:val="clear" w:color="auto" w:fill="auto"/>
            <w:noWrap w:val="0"/>
            <w:vAlign w:val="center"/>
          </w:tcPr>
          <w:p w14:paraId="3808E264">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bidi="ar-SA"/>
              </w:rPr>
              <w:t>+</w:t>
            </w:r>
            <w:r>
              <w:rPr>
                <w:rFonts w:hint="eastAsia" w:ascii="Times New Roman" w:cs="Times New Roman"/>
                <w:snapToGrid w:val="0"/>
                <w:color w:val="auto"/>
                <w:kern w:val="21"/>
                <w:sz w:val="21"/>
                <w:szCs w:val="21"/>
                <w:highlight w:val="none"/>
                <w:lang w:val="en-US" w:eastAsia="zh-CN"/>
              </w:rPr>
              <w:t>0.01t/a</w:t>
            </w:r>
          </w:p>
        </w:tc>
      </w:tr>
      <w:tr w14:paraId="5B2D82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2FAF5D8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eastAsia" w:ascii="Times New Roman" w:hAnsi="Times New Roman" w:eastAsia="宋体" w:cs="Times New Roman"/>
                <w:snapToGrid w:val="0"/>
                <w:color w:val="auto"/>
                <w:kern w:val="21"/>
                <w:sz w:val="21"/>
                <w:szCs w:val="21"/>
                <w:lang w:val="en-US" w:eastAsia="zh-CN"/>
              </w:rPr>
            </w:pPr>
          </w:p>
        </w:tc>
        <w:tc>
          <w:tcPr>
            <w:tcW w:w="880" w:type="pct"/>
            <w:shd w:val="clear" w:color="auto" w:fill="auto"/>
            <w:noWrap w:val="0"/>
            <w:vAlign w:val="center"/>
          </w:tcPr>
          <w:p w14:paraId="319A88E5">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kern w:val="0"/>
                <w:sz w:val="21"/>
                <w:szCs w:val="21"/>
                <w:lang w:val="en-US" w:eastAsia="zh-CN"/>
              </w:rPr>
            </w:pPr>
            <w:r>
              <w:rPr>
                <w:rFonts w:hint="eastAsia" w:cs="Times New Roman"/>
                <w:color w:val="auto"/>
                <w:kern w:val="0"/>
                <w:sz w:val="21"/>
                <w:szCs w:val="21"/>
                <w:lang w:val="en-US" w:eastAsia="zh-CN"/>
              </w:rPr>
              <w:t>废机油桶</w:t>
            </w:r>
          </w:p>
        </w:tc>
        <w:tc>
          <w:tcPr>
            <w:tcW w:w="506" w:type="pct"/>
            <w:shd w:val="clear" w:color="auto" w:fill="auto"/>
            <w:noWrap w:val="0"/>
            <w:vAlign w:val="center"/>
          </w:tcPr>
          <w:p w14:paraId="12F55614">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329" w:type="pct"/>
            <w:shd w:val="clear" w:color="auto" w:fill="auto"/>
            <w:noWrap w:val="0"/>
            <w:vAlign w:val="center"/>
          </w:tcPr>
          <w:p w14:paraId="0F2FC14F">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77" w:type="pct"/>
            <w:shd w:val="clear" w:color="auto" w:fill="auto"/>
            <w:noWrap w:val="0"/>
            <w:vAlign w:val="center"/>
          </w:tcPr>
          <w:p w14:paraId="13BF30C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28" w:type="pct"/>
            <w:shd w:val="clear" w:color="auto" w:fill="auto"/>
            <w:noWrap w:val="0"/>
            <w:vAlign w:val="center"/>
          </w:tcPr>
          <w:p w14:paraId="3635D8F7">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0.02t/a</w:t>
            </w:r>
          </w:p>
        </w:tc>
        <w:tc>
          <w:tcPr>
            <w:tcW w:w="629" w:type="pct"/>
            <w:shd w:val="clear" w:color="auto" w:fill="auto"/>
            <w:noWrap w:val="0"/>
            <w:vAlign w:val="center"/>
          </w:tcPr>
          <w:p w14:paraId="394D854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 w:val="21"/>
                <w:szCs w:val="21"/>
                <w:lang w:val="en-US" w:eastAsia="zh-CN"/>
              </w:rPr>
              <w:t>/</w:t>
            </w:r>
          </w:p>
        </w:tc>
        <w:tc>
          <w:tcPr>
            <w:tcW w:w="681" w:type="pct"/>
            <w:shd w:val="clear" w:color="auto" w:fill="auto"/>
            <w:noWrap w:val="0"/>
            <w:vAlign w:val="center"/>
          </w:tcPr>
          <w:p w14:paraId="2B8351DC">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0.0</w:t>
            </w:r>
            <w:r>
              <w:rPr>
                <w:rFonts w:hint="eastAsia" w:cs="Times New Roman"/>
                <w:snapToGrid w:val="0"/>
                <w:color w:val="auto"/>
                <w:kern w:val="21"/>
                <w:sz w:val="21"/>
                <w:szCs w:val="21"/>
                <w:highlight w:val="none"/>
                <w:lang w:val="en-US" w:eastAsia="zh-CN"/>
              </w:rPr>
              <w:t>2</w:t>
            </w:r>
            <w:r>
              <w:rPr>
                <w:rFonts w:hint="eastAsia" w:ascii="Times New Roman" w:cs="Times New Roman"/>
                <w:snapToGrid w:val="0"/>
                <w:color w:val="auto"/>
                <w:kern w:val="21"/>
                <w:sz w:val="21"/>
                <w:szCs w:val="21"/>
                <w:highlight w:val="none"/>
                <w:lang w:val="en-US" w:eastAsia="zh-CN"/>
              </w:rPr>
              <w:t>t/a</w:t>
            </w:r>
          </w:p>
        </w:tc>
        <w:tc>
          <w:tcPr>
            <w:tcW w:w="557" w:type="pct"/>
            <w:shd w:val="clear" w:color="auto" w:fill="auto"/>
            <w:noWrap w:val="0"/>
            <w:vAlign w:val="center"/>
          </w:tcPr>
          <w:p w14:paraId="77A84FC9">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bidi="ar-SA"/>
              </w:rPr>
              <w:t>+</w:t>
            </w:r>
            <w:r>
              <w:rPr>
                <w:rFonts w:hint="eastAsia" w:ascii="Times New Roman" w:cs="Times New Roman"/>
                <w:snapToGrid w:val="0"/>
                <w:color w:val="auto"/>
                <w:kern w:val="21"/>
                <w:sz w:val="21"/>
                <w:szCs w:val="21"/>
                <w:highlight w:val="none"/>
                <w:lang w:val="en-US" w:eastAsia="zh-CN"/>
              </w:rPr>
              <w:t>0.02t/a</w:t>
            </w:r>
          </w:p>
        </w:tc>
      </w:tr>
      <w:tr w14:paraId="6552A2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08" w:type="pct"/>
            <w:vMerge w:val="continue"/>
            <w:noWrap w:val="0"/>
            <w:vAlign w:val="center"/>
          </w:tcPr>
          <w:p w14:paraId="63E15012">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right="0" w:firstLine="0"/>
              <w:textAlignment w:val="auto"/>
              <w:rPr>
                <w:rFonts w:hint="eastAsia" w:ascii="Times New Roman" w:hAnsi="Times New Roman" w:eastAsia="宋体" w:cs="Times New Roman"/>
                <w:snapToGrid w:val="0"/>
                <w:color w:val="auto"/>
                <w:kern w:val="21"/>
                <w:sz w:val="21"/>
                <w:szCs w:val="21"/>
                <w:lang w:val="en-US" w:eastAsia="zh-CN"/>
              </w:rPr>
            </w:pPr>
          </w:p>
        </w:tc>
        <w:tc>
          <w:tcPr>
            <w:tcW w:w="880" w:type="pct"/>
            <w:shd w:val="clear" w:color="auto" w:fill="auto"/>
            <w:noWrap w:val="0"/>
            <w:vAlign w:val="center"/>
          </w:tcPr>
          <w:p w14:paraId="5FB28484">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rPr>
              <w:t>含油废抹布及含油废手套</w:t>
            </w:r>
          </w:p>
        </w:tc>
        <w:tc>
          <w:tcPr>
            <w:tcW w:w="506" w:type="pct"/>
            <w:shd w:val="clear" w:color="auto" w:fill="auto"/>
            <w:noWrap w:val="0"/>
            <w:vAlign w:val="center"/>
          </w:tcPr>
          <w:p w14:paraId="1A23D73A">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329" w:type="pct"/>
            <w:shd w:val="clear" w:color="auto" w:fill="auto"/>
            <w:noWrap w:val="0"/>
            <w:vAlign w:val="center"/>
          </w:tcPr>
          <w:p w14:paraId="043FCF1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77" w:type="pct"/>
            <w:shd w:val="clear" w:color="auto" w:fill="auto"/>
            <w:noWrap w:val="0"/>
            <w:vAlign w:val="center"/>
          </w:tcPr>
          <w:p w14:paraId="0417A958">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ascii="Times New Roman" w:cs="Times New Roman"/>
                <w:snapToGrid w:val="0"/>
                <w:color w:val="auto"/>
                <w:kern w:val="21"/>
                <w:sz w:val="21"/>
                <w:szCs w:val="21"/>
                <w:lang w:val="en-US" w:eastAsia="zh-CN"/>
              </w:rPr>
              <w:t>/</w:t>
            </w:r>
          </w:p>
        </w:tc>
        <w:tc>
          <w:tcPr>
            <w:tcW w:w="528" w:type="pct"/>
            <w:shd w:val="clear" w:color="auto" w:fill="auto"/>
            <w:noWrap w:val="0"/>
            <w:vAlign w:val="center"/>
          </w:tcPr>
          <w:p w14:paraId="1E163A15">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Times New Roman" w:hAnsi="新宋体" w:eastAsia="仿宋_GB2312"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0.02t/a</w:t>
            </w:r>
          </w:p>
        </w:tc>
        <w:tc>
          <w:tcPr>
            <w:tcW w:w="629" w:type="pct"/>
            <w:shd w:val="clear" w:color="auto" w:fill="auto"/>
            <w:noWrap w:val="0"/>
            <w:vAlign w:val="center"/>
          </w:tcPr>
          <w:p w14:paraId="04196FD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21"/>
                <w:sz w:val="21"/>
                <w:szCs w:val="21"/>
                <w:lang w:val="en-US" w:eastAsia="zh-CN" w:bidi="ar-SA"/>
              </w:rPr>
            </w:pPr>
            <w:r>
              <w:rPr>
                <w:rFonts w:hint="eastAsia" w:cs="Times New Roman"/>
                <w:snapToGrid w:val="0"/>
                <w:color w:val="auto"/>
                <w:kern w:val="21"/>
                <w:sz w:val="21"/>
                <w:szCs w:val="21"/>
                <w:lang w:val="en-US" w:eastAsia="zh-CN"/>
              </w:rPr>
              <w:t>/</w:t>
            </w:r>
          </w:p>
        </w:tc>
        <w:tc>
          <w:tcPr>
            <w:tcW w:w="681" w:type="pct"/>
            <w:shd w:val="clear" w:color="auto" w:fill="auto"/>
            <w:noWrap w:val="0"/>
            <w:vAlign w:val="center"/>
          </w:tcPr>
          <w:p w14:paraId="342264A0">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新宋体" w:eastAsia="仿宋_GB2312"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0.0</w:t>
            </w:r>
            <w:r>
              <w:rPr>
                <w:rFonts w:hint="eastAsia" w:cs="Times New Roman"/>
                <w:snapToGrid w:val="0"/>
                <w:color w:val="auto"/>
                <w:kern w:val="21"/>
                <w:sz w:val="21"/>
                <w:szCs w:val="21"/>
                <w:highlight w:val="none"/>
                <w:lang w:val="en-US" w:eastAsia="zh-CN"/>
              </w:rPr>
              <w:t>2</w:t>
            </w:r>
            <w:r>
              <w:rPr>
                <w:rFonts w:hint="eastAsia" w:ascii="Times New Roman" w:cs="Times New Roman"/>
                <w:snapToGrid w:val="0"/>
                <w:color w:val="auto"/>
                <w:kern w:val="21"/>
                <w:sz w:val="21"/>
                <w:szCs w:val="21"/>
                <w:highlight w:val="none"/>
                <w:lang w:val="en-US" w:eastAsia="zh-CN"/>
              </w:rPr>
              <w:t>t/a</w:t>
            </w:r>
          </w:p>
        </w:tc>
        <w:tc>
          <w:tcPr>
            <w:tcW w:w="557" w:type="pct"/>
            <w:shd w:val="clear" w:color="auto" w:fill="auto"/>
            <w:noWrap w:val="0"/>
            <w:vAlign w:val="center"/>
          </w:tcPr>
          <w:p w14:paraId="6931F67D">
            <w:pPr>
              <w:pStyle w:val="75"/>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40" w:lineRule="auto"/>
              <w:ind w:left="0" w:leftChars="0" w:right="0" w:rightChars="0" w:firstLine="0" w:firstLineChars="0"/>
              <w:textAlignment w:val="auto"/>
              <w:rPr>
                <w:rFonts w:hint="default" w:ascii="宋体" w:hAnsi="新宋体" w:eastAsia="仿宋_GB2312"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bidi="ar-SA"/>
              </w:rPr>
              <w:t>+</w:t>
            </w:r>
            <w:r>
              <w:rPr>
                <w:rFonts w:hint="eastAsia" w:ascii="Times New Roman" w:cs="Times New Roman"/>
                <w:snapToGrid w:val="0"/>
                <w:color w:val="auto"/>
                <w:kern w:val="21"/>
                <w:sz w:val="21"/>
                <w:szCs w:val="21"/>
                <w:highlight w:val="none"/>
                <w:lang w:val="en-US" w:eastAsia="zh-CN"/>
              </w:rPr>
              <w:t>0.02t/a</w:t>
            </w:r>
          </w:p>
        </w:tc>
      </w:tr>
    </w:tbl>
    <w:p w14:paraId="7D251905">
      <w:pPr>
        <w:pStyle w:val="75"/>
        <w:keepNext w:val="0"/>
        <w:keepLines w:val="0"/>
        <w:pageBreakBefore w:val="0"/>
        <w:widowControl w:val="0"/>
        <w:kinsoku/>
        <w:wordWrap/>
        <w:overflowPunct/>
        <w:topLinePunct w:val="0"/>
        <w:autoSpaceDE/>
        <w:autoSpaceDN/>
        <w:bidi w:val="0"/>
        <w:adjustRightInd w:val="0"/>
        <w:snapToGrid w:val="0"/>
        <w:spacing w:line="260" w:lineRule="auto"/>
        <w:jc w:val="left"/>
        <w:textAlignment w:val="auto"/>
        <w:rPr>
          <w:rFonts w:hint="default" w:ascii="Times New Roman" w:hAnsi="Times New Roman" w:eastAsia="宋体" w:cs="Times New Roman"/>
          <w:color w:val="auto"/>
        </w:rPr>
      </w:pPr>
      <w:r>
        <w:rPr>
          <w:rFonts w:hint="default" w:ascii="Times New Roman" w:hAnsi="Times New Roman" w:eastAsia="宋体" w:cs="Times New Roman"/>
          <w:snapToGrid w:val="0"/>
          <w:color w:val="auto"/>
          <w:kern w:val="21"/>
          <w:szCs w:val="21"/>
        </w:rPr>
        <w:t>注：</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3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③</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4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④</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5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⑤</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7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⑦</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p>
    <w:p w14:paraId="780A0EDE">
      <w:pPr>
        <w:bidi w:val="0"/>
        <w:rPr>
          <w:rFonts w:hint="eastAsia"/>
          <w:color w:val="auto"/>
          <w:lang w:val="en-US" w:eastAsia="zh-CN"/>
        </w:rPr>
      </w:pPr>
    </w:p>
    <w:bookmarkEnd w:id="16"/>
    <w:sectPr>
      <w:headerReference r:id="rId6" w:type="default"/>
      <w:footerReference r:id="rId7" w:type="default"/>
      <w:pgSz w:w="16838" w:h="11906" w:orient="landscape"/>
      <w:pgMar w:top="1174" w:right="1247" w:bottom="1230" w:left="794" w:header="851" w:footer="992"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avid">
    <w:altName w:val="Courier New"/>
    <w:panose1 w:val="00000000000000000000"/>
    <w:charset w:val="B1"/>
    <w:family w:val="swiss"/>
    <w:pitch w:val="default"/>
    <w:sig w:usb0="00000000" w:usb1="00000000" w:usb2="00000000" w:usb3="00000000" w:csb0="00000021" w:csb1="00000000"/>
  </w:font>
  <w:font w:name="Cambria Math">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D7607">
    <w:pPr>
      <w:pStyle w:val="22"/>
      <w:tabs>
        <w:tab w:val="center" w:pos="4153"/>
        <w:tab w:val="right" w:pos="8306"/>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77F12">
    <w:pPr>
      <w:pStyle w:val="22"/>
      <w:framePr w:wrap="around" w:vAnchor="text" w:hAnchor="margin" w:xAlign="center" w:y="1"/>
      <w:tabs>
        <w:tab w:val="center" w:pos="4153"/>
        <w:tab w:val="right" w:pos="8306"/>
      </w:tabs>
      <w:rPr>
        <w:rStyle w:val="43"/>
      </w:rPr>
    </w:pPr>
    <w:r>
      <w:fldChar w:fldCharType="begin"/>
    </w:r>
    <w:r>
      <w:rPr>
        <w:rStyle w:val="43"/>
      </w:rPr>
      <w:instrText xml:space="preserve">PAGE  </w:instrText>
    </w:r>
    <w:r>
      <w:fldChar w:fldCharType="end"/>
    </w:r>
  </w:p>
  <w:p w14:paraId="7BCFF48C">
    <w:pPr>
      <w:pStyle w:val="22"/>
      <w:tabs>
        <w:tab w:val="center" w:pos="4153"/>
        <w:tab w:val="right" w:pos="8306"/>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8D5F8">
    <w:pPr>
      <w:pStyle w:val="22"/>
      <w:tabs>
        <w:tab w:val="center" w:pos="4153"/>
        <w:tab w:val="right" w:pos="8306"/>
      </w:tabs>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30E7CD">
                          <w:pPr>
                            <w:pStyle w:val="22"/>
                            <w:tabs>
                              <w:tab w:val="center" w:pos="4153"/>
                              <w:tab w:val="right" w:pos="8306"/>
                            </w:tabs>
                            <w:rPr>
                              <w:rStyle w:val="43"/>
                              <w:rFonts w:ascii="宋体" w:hAnsi="宋体"/>
                              <w:sz w:val="28"/>
                              <w:szCs w:val="28"/>
                            </w:rPr>
                          </w:pPr>
                          <w:r>
                            <w:rPr>
                              <w:rStyle w:val="43"/>
                              <w:rFonts w:hint="eastAsia" w:ascii="宋体" w:hAnsi="宋体"/>
                              <w:sz w:val="28"/>
                              <w:szCs w:val="28"/>
                            </w:rPr>
                            <w:t>—</w:t>
                          </w:r>
                          <w:r>
                            <w:rPr>
                              <w:rStyle w:val="43"/>
                              <w:rFonts w:hint="eastAsia" w:ascii="宋体" w:hAnsi="宋体"/>
                              <w:sz w:val="20"/>
                            </w:rPr>
                            <w:t xml:space="preserve">  </w:t>
                          </w:r>
                          <w:r>
                            <w:rPr>
                              <w:rFonts w:ascii="宋体" w:hAnsi="宋体"/>
                              <w:sz w:val="26"/>
                              <w:szCs w:val="26"/>
                            </w:rPr>
                            <w:fldChar w:fldCharType="begin"/>
                          </w:r>
                          <w:r>
                            <w:rPr>
                              <w:rStyle w:val="43"/>
                              <w:rFonts w:ascii="宋体" w:hAnsi="宋体"/>
                              <w:sz w:val="26"/>
                              <w:szCs w:val="26"/>
                            </w:rPr>
                            <w:instrText xml:space="preserve">PAGE  </w:instrText>
                          </w:r>
                          <w:r>
                            <w:rPr>
                              <w:rFonts w:ascii="宋体" w:hAnsi="宋体"/>
                              <w:sz w:val="26"/>
                              <w:szCs w:val="26"/>
                            </w:rPr>
                            <w:fldChar w:fldCharType="separate"/>
                          </w:r>
                          <w:r>
                            <w:rPr>
                              <w:rStyle w:val="43"/>
                              <w:rFonts w:ascii="宋体" w:hAnsi="宋体"/>
                              <w:sz w:val="26"/>
                              <w:szCs w:val="26"/>
                            </w:rPr>
                            <w:t>40</w:t>
                          </w:r>
                          <w:r>
                            <w:rPr>
                              <w:rFonts w:ascii="宋体" w:hAnsi="宋体"/>
                              <w:sz w:val="26"/>
                              <w:szCs w:val="26"/>
                            </w:rPr>
                            <w:fldChar w:fldCharType="end"/>
                          </w:r>
                          <w:r>
                            <w:rPr>
                              <w:rStyle w:val="43"/>
                              <w:rFonts w:hint="eastAsia" w:ascii="宋体" w:hAnsi="宋体"/>
                              <w:sz w:val="20"/>
                            </w:rPr>
                            <w:t xml:space="preserve">  </w:t>
                          </w:r>
                          <w:r>
                            <w:rPr>
                              <w:rStyle w:val="43"/>
                              <w:rFonts w:hint="eastAsia" w:ascii="宋体" w:hAnsi="宋体"/>
                              <w:sz w:val="28"/>
                              <w:szCs w:val="28"/>
                            </w:rPr>
                            <w:t>—</w:t>
                          </w:r>
                        </w:p>
                      </w:txbxContent>
                    </wps:txbx>
                    <wps:bodyPr wrap="none" lIns="0" tIns="0" rIns="0" bIns="0" upright="0">
                      <a:spAutoFit/>
                    </wps:bodyPr>
                  </wps:wsp>
                </a:graphicData>
              </a:graphic>
            </wp:anchor>
          </w:drawing>
        </mc:Choice>
        <mc:Fallback>
          <w:pict>
            <v:shape id="文本框 2050"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qBxskBAACdAwAADgAAAGRycy9lMm9Eb2MueG1srVNNrtMwEN4jcQfL&#10;e+q0Eq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BY3YUmJ4xYnfvn+7fLj1+XnV7Kq&#10;XhaJ+gA1Zj4EzE3DGz9gepYu+wGdmfmgos1f5EQwjgKfrwLLIRGRH61X63WFIYGx+YI47PY8REhv&#10;pbckGw2NOMEiLD+9hzSmzim5mvP32pgyReP+ciBm9rBbj9lKw36YGt/79ox8ehx+Qx3uOiXmnUNt&#10;857MRpyN/WwcQ9SHrixSrgfh9TFhE6W3XGGEnQrj1Aq7acPyWvx5L1m3v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OoHGyQEAAJ0DAAAOAAAAAAAAAAEAIAAAAB4BAABkcnMvZTJvRG9j&#10;LnhtbFBLBQYAAAAABgAGAFkBAABZBQAAAAA=&#10;">
              <v:fill on="f" focussize="0,0"/>
              <v:stroke on="f"/>
              <v:imagedata o:title=""/>
              <o:lock v:ext="edit" aspectratio="f"/>
              <v:textbox inset="0mm,0mm,0mm,0mm" style="mso-fit-shape-to-text:t;">
                <w:txbxContent>
                  <w:p w14:paraId="3F30E7CD">
                    <w:pPr>
                      <w:pStyle w:val="22"/>
                      <w:tabs>
                        <w:tab w:val="center" w:pos="4153"/>
                        <w:tab w:val="right" w:pos="8306"/>
                      </w:tabs>
                      <w:rPr>
                        <w:rStyle w:val="43"/>
                        <w:rFonts w:ascii="宋体" w:hAnsi="宋体"/>
                        <w:sz w:val="28"/>
                        <w:szCs w:val="28"/>
                      </w:rPr>
                    </w:pPr>
                    <w:r>
                      <w:rPr>
                        <w:rStyle w:val="43"/>
                        <w:rFonts w:hint="eastAsia" w:ascii="宋体" w:hAnsi="宋体"/>
                        <w:sz w:val="28"/>
                        <w:szCs w:val="28"/>
                      </w:rPr>
                      <w:t>—</w:t>
                    </w:r>
                    <w:r>
                      <w:rPr>
                        <w:rStyle w:val="43"/>
                        <w:rFonts w:hint="eastAsia" w:ascii="宋体" w:hAnsi="宋体"/>
                        <w:sz w:val="20"/>
                      </w:rPr>
                      <w:t xml:space="preserve">  </w:t>
                    </w:r>
                    <w:r>
                      <w:rPr>
                        <w:rFonts w:ascii="宋体" w:hAnsi="宋体"/>
                        <w:sz w:val="26"/>
                        <w:szCs w:val="26"/>
                      </w:rPr>
                      <w:fldChar w:fldCharType="begin"/>
                    </w:r>
                    <w:r>
                      <w:rPr>
                        <w:rStyle w:val="43"/>
                        <w:rFonts w:ascii="宋体" w:hAnsi="宋体"/>
                        <w:sz w:val="26"/>
                        <w:szCs w:val="26"/>
                      </w:rPr>
                      <w:instrText xml:space="preserve">PAGE  </w:instrText>
                    </w:r>
                    <w:r>
                      <w:rPr>
                        <w:rFonts w:ascii="宋体" w:hAnsi="宋体"/>
                        <w:sz w:val="26"/>
                        <w:szCs w:val="26"/>
                      </w:rPr>
                      <w:fldChar w:fldCharType="separate"/>
                    </w:r>
                    <w:r>
                      <w:rPr>
                        <w:rStyle w:val="43"/>
                        <w:rFonts w:ascii="宋体" w:hAnsi="宋体"/>
                        <w:sz w:val="26"/>
                        <w:szCs w:val="26"/>
                      </w:rPr>
                      <w:t>40</w:t>
                    </w:r>
                    <w:r>
                      <w:rPr>
                        <w:rFonts w:ascii="宋体" w:hAnsi="宋体"/>
                        <w:sz w:val="26"/>
                        <w:szCs w:val="26"/>
                      </w:rPr>
                      <w:fldChar w:fldCharType="end"/>
                    </w:r>
                    <w:r>
                      <w:rPr>
                        <w:rStyle w:val="43"/>
                        <w:rFonts w:hint="eastAsia" w:ascii="宋体" w:hAnsi="宋体"/>
                        <w:sz w:val="20"/>
                      </w:rPr>
                      <w:t xml:space="preserve">  </w:t>
                    </w:r>
                    <w:r>
                      <w:rPr>
                        <w:rStyle w:val="43"/>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38471">
    <w:pPr>
      <w:tabs>
        <w:tab w:val="center" w:pos="4153"/>
        <w:tab w:val="right" w:pos="8306"/>
      </w:tabs>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12559">
    <w:pPr>
      <w:pStyle w:val="17"/>
      <w:pBdr>
        <w:bottom w:val="none" w:color="auto" w:sz="0" w:space="1"/>
      </w:pBdr>
      <w:tabs>
        <w:tab w:val="left" w:pos="3597"/>
      </w:tabs>
      <w:ind w:firstLine="360"/>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79904"/>
    <w:multiLevelType w:val="singleLevel"/>
    <w:tmpl w:val="80A79904"/>
    <w:lvl w:ilvl="0" w:tentative="0">
      <w:start w:val="5"/>
      <w:numFmt w:val="decimal"/>
      <w:suff w:val="nothing"/>
      <w:lvlText w:val="（%1）"/>
      <w:lvlJc w:val="left"/>
    </w:lvl>
  </w:abstractNum>
  <w:abstractNum w:abstractNumId="1">
    <w:nsid w:val="D4C0BDEF"/>
    <w:multiLevelType w:val="singleLevel"/>
    <w:tmpl w:val="D4C0BDEF"/>
    <w:lvl w:ilvl="0" w:tentative="0">
      <w:start w:val="6"/>
      <w:numFmt w:val="decimal"/>
      <w:suff w:val="nothing"/>
      <w:lvlText w:val="%1、"/>
      <w:lvlJc w:val="left"/>
    </w:lvl>
  </w:abstractNum>
  <w:abstractNum w:abstractNumId="2">
    <w:nsid w:val="DBE6F4EC"/>
    <w:multiLevelType w:val="singleLevel"/>
    <w:tmpl w:val="DBE6F4EC"/>
    <w:lvl w:ilvl="0" w:tentative="0">
      <w:start w:val="1"/>
      <w:numFmt w:val="decimal"/>
      <w:suff w:val="nothing"/>
      <w:lvlText w:val="%1、"/>
      <w:lvlJc w:val="left"/>
    </w:lvl>
  </w:abstractNum>
  <w:abstractNum w:abstractNumId="3">
    <w:nsid w:val="0000000D"/>
    <w:multiLevelType w:val="multilevel"/>
    <w:tmpl w:val="0000000D"/>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5"/>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11BE485A"/>
    <w:multiLevelType w:val="multilevel"/>
    <w:tmpl w:val="11BE485A"/>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pStyle w:val="7"/>
      <w:suff w:val="space"/>
      <w:lvlText w:val="%1.%2.%3.%4"/>
      <w:lvlJc w:val="left"/>
      <w:pPr>
        <w:ind w:left="992" w:firstLine="0"/>
      </w:pPr>
      <w:rPr>
        <w:rFonts w:hint="default" w:ascii="Times New Roman" w:hAnsi="Times New Roman" w:eastAsia="宋体" w:cs="Times New Roman"/>
      </w:rPr>
    </w:lvl>
    <w:lvl w:ilvl="4" w:tentative="0">
      <w:start w:val="1"/>
      <w:numFmt w:val="decimal"/>
      <w:pStyle w:val="8"/>
      <w:suff w:val="space"/>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238C29F6"/>
    <w:multiLevelType w:val="singleLevel"/>
    <w:tmpl w:val="238C29F6"/>
    <w:lvl w:ilvl="0" w:tentative="0">
      <w:start w:val="2"/>
      <w:numFmt w:val="decimal"/>
      <w:suff w:val="nothing"/>
      <w:lvlText w:val="（%1）"/>
      <w:lvlJc w:val="left"/>
    </w:lvl>
  </w:abstractNum>
  <w:abstractNum w:abstractNumId="6">
    <w:nsid w:val="34333308"/>
    <w:multiLevelType w:val="singleLevel"/>
    <w:tmpl w:val="34333308"/>
    <w:lvl w:ilvl="0" w:tentative="0">
      <w:start w:val="1"/>
      <w:numFmt w:val="decimal"/>
      <w:pStyle w:val="27"/>
      <w:lvlText w:val="%1."/>
      <w:lvlJc w:val="left"/>
      <w:pPr>
        <w:tabs>
          <w:tab w:val="left" w:pos="2040"/>
        </w:tabs>
        <w:ind w:left="2040" w:hanging="360"/>
      </w:pPr>
    </w:lvl>
  </w:abstractNum>
  <w:abstractNum w:abstractNumId="7">
    <w:nsid w:val="41774684"/>
    <w:multiLevelType w:val="multilevel"/>
    <w:tmpl w:val="41774684"/>
    <w:lvl w:ilvl="0" w:tentative="0">
      <w:start w:val="1"/>
      <w:numFmt w:val="decimal"/>
      <w:pStyle w:val="107"/>
      <w:lvlText w:val="%1"/>
      <w:lvlJc w:val="left"/>
      <w:pPr>
        <w:ind w:left="953" w:hanging="477"/>
      </w:pPr>
      <w:rPr>
        <w:rFonts w:hint="default" w:ascii="Times New Roman" w:hAnsi="Times New Roman" w:eastAsia="宋体"/>
        <w:b/>
        <w:i w:val="0"/>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56F41AE5"/>
    <w:multiLevelType w:val="multilevel"/>
    <w:tmpl w:val="56F41AE5"/>
    <w:lvl w:ilvl="0" w:tentative="0">
      <w:start w:val="1"/>
      <w:numFmt w:val="decimal"/>
      <w:pStyle w:val="113"/>
      <w:lvlText w:val="（%1）"/>
      <w:lvlJc w:val="left"/>
      <w:pPr>
        <w:ind w:left="953" w:hanging="477"/>
      </w:pPr>
      <w:rPr>
        <w:rFonts w:hint="default" w:ascii="Times New Roman" w:hAnsi="Times New Roman" w:eastAsia="宋体"/>
        <w:b/>
        <w:i w:val="0"/>
        <w:sz w:val="24"/>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4"/>
  </w:num>
  <w:num w:numId="3">
    <w:abstractNumId w:val="6"/>
  </w:num>
  <w:num w:numId="4">
    <w:abstractNumId w:val="7"/>
  </w:num>
  <w:num w:numId="5">
    <w:abstractNumId w:val="8"/>
  </w:num>
  <w:num w:numId="6">
    <w:abstractNumId w:val="2"/>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3MGVmMzBjZjIxMzc0ZWUxNmFmOGUwZGE5NTVmMjYifQ=="/>
  </w:docVars>
  <w:rsids>
    <w:rsidRoot w:val="00A14947"/>
    <w:rsid w:val="0000039D"/>
    <w:rsid w:val="00001178"/>
    <w:rsid w:val="0000128A"/>
    <w:rsid w:val="0000233B"/>
    <w:rsid w:val="0000300A"/>
    <w:rsid w:val="0000355E"/>
    <w:rsid w:val="00003E19"/>
    <w:rsid w:val="00004288"/>
    <w:rsid w:val="00005F49"/>
    <w:rsid w:val="000060B3"/>
    <w:rsid w:val="0000785D"/>
    <w:rsid w:val="00007A0A"/>
    <w:rsid w:val="00007ACD"/>
    <w:rsid w:val="00010242"/>
    <w:rsid w:val="00010353"/>
    <w:rsid w:val="00011118"/>
    <w:rsid w:val="0001223E"/>
    <w:rsid w:val="00012575"/>
    <w:rsid w:val="00012ED0"/>
    <w:rsid w:val="00012EE1"/>
    <w:rsid w:val="00012F5C"/>
    <w:rsid w:val="00013514"/>
    <w:rsid w:val="00013B3E"/>
    <w:rsid w:val="00013C14"/>
    <w:rsid w:val="00013F44"/>
    <w:rsid w:val="000144F6"/>
    <w:rsid w:val="000146DB"/>
    <w:rsid w:val="00015158"/>
    <w:rsid w:val="00015359"/>
    <w:rsid w:val="00015473"/>
    <w:rsid w:val="0001591B"/>
    <w:rsid w:val="00015EE7"/>
    <w:rsid w:val="00015F0A"/>
    <w:rsid w:val="00016569"/>
    <w:rsid w:val="00020D63"/>
    <w:rsid w:val="00021149"/>
    <w:rsid w:val="000220AB"/>
    <w:rsid w:val="0002284A"/>
    <w:rsid w:val="00022CD6"/>
    <w:rsid w:val="0002345C"/>
    <w:rsid w:val="00023E43"/>
    <w:rsid w:val="00024896"/>
    <w:rsid w:val="00025550"/>
    <w:rsid w:val="00025E4A"/>
    <w:rsid w:val="000264C2"/>
    <w:rsid w:val="00026ED3"/>
    <w:rsid w:val="00027631"/>
    <w:rsid w:val="00027FB7"/>
    <w:rsid w:val="00027FBC"/>
    <w:rsid w:val="000306AC"/>
    <w:rsid w:val="000306B2"/>
    <w:rsid w:val="00030DC8"/>
    <w:rsid w:val="0003133C"/>
    <w:rsid w:val="000316DC"/>
    <w:rsid w:val="00031C96"/>
    <w:rsid w:val="00032216"/>
    <w:rsid w:val="00032A28"/>
    <w:rsid w:val="00033F46"/>
    <w:rsid w:val="000347ED"/>
    <w:rsid w:val="00035AC0"/>
    <w:rsid w:val="000361E3"/>
    <w:rsid w:val="00037EB7"/>
    <w:rsid w:val="000403C2"/>
    <w:rsid w:val="00040549"/>
    <w:rsid w:val="00040C94"/>
    <w:rsid w:val="000415E8"/>
    <w:rsid w:val="00042832"/>
    <w:rsid w:val="00042C6E"/>
    <w:rsid w:val="0004322C"/>
    <w:rsid w:val="0004364B"/>
    <w:rsid w:val="000440F9"/>
    <w:rsid w:val="00044E4C"/>
    <w:rsid w:val="000454FE"/>
    <w:rsid w:val="000457B1"/>
    <w:rsid w:val="00046074"/>
    <w:rsid w:val="000462E8"/>
    <w:rsid w:val="00046565"/>
    <w:rsid w:val="00047185"/>
    <w:rsid w:val="00050C27"/>
    <w:rsid w:val="00051021"/>
    <w:rsid w:val="00051047"/>
    <w:rsid w:val="00051167"/>
    <w:rsid w:val="000516FB"/>
    <w:rsid w:val="00051B29"/>
    <w:rsid w:val="000521E5"/>
    <w:rsid w:val="00053A2E"/>
    <w:rsid w:val="00054589"/>
    <w:rsid w:val="000553BF"/>
    <w:rsid w:val="00055E92"/>
    <w:rsid w:val="0005659E"/>
    <w:rsid w:val="00056782"/>
    <w:rsid w:val="00056C79"/>
    <w:rsid w:val="000600FB"/>
    <w:rsid w:val="00060158"/>
    <w:rsid w:val="000603E1"/>
    <w:rsid w:val="000616D6"/>
    <w:rsid w:val="0006183E"/>
    <w:rsid w:val="00061B1F"/>
    <w:rsid w:val="0006233F"/>
    <w:rsid w:val="00062591"/>
    <w:rsid w:val="00062620"/>
    <w:rsid w:val="00062BE8"/>
    <w:rsid w:val="0006380F"/>
    <w:rsid w:val="0006386E"/>
    <w:rsid w:val="0006390B"/>
    <w:rsid w:val="00063D15"/>
    <w:rsid w:val="00063E26"/>
    <w:rsid w:val="00063FD0"/>
    <w:rsid w:val="000667C5"/>
    <w:rsid w:val="00066A6E"/>
    <w:rsid w:val="00067DA4"/>
    <w:rsid w:val="000718AA"/>
    <w:rsid w:val="000733C4"/>
    <w:rsid w:val="00073619"/>
    <w:rsid w:val="00073A7D"/>
    <w:rsid w:val="00074496"/>
    <w:rsid w:val="00074772"/>
    <w:rsid w:val="00074783"/>
    <w:rsid w:val="00074BB3"/>
    <w:rsid w:val="00074CD6"/>
    <w:rsid w:val="00074CE2"/>
    <w:rsid w:val="00075D0E"/>
    <w:rsid w:val="00076598"/>
    <w:rsid w:val="00076C08"/>
    <w:rsid w:val="00076D16"/>
    <w:rsid w:val="000774D1"/>
    <w:rsid w:val="00077ADB"/>
    <w:rsid w:val="00077F4D"/>
    <w:rsid w:val="0008070B"/>
    <w:rsid w:val="00080AD9"/>
    <w:rsid w:val="000810AC"/>
    <w:rsid w:val="00081A02"/>
    <w:rsid w:val="00081C66"/>
    <w:rsid w:val="00082231"/>
    <w:rsid w:val="0008294E"/>
    <w:rsid w:val="0008339F"/>
    <w:rsid w:val="00083561"/>
    <w:rsid w:val="000838A1"/>
    <w:rsid w:val="00083DD2"/>
    <w:rsid w:val="00084208"/>
    <w:rsid w:val="00086508"/>
    <w:rsid w:val="000866D0"/>
    <w:rsid w:val="00086E0F"/>
    <w:rsid w:val="0008791D"/>
    <w:rsid w:val="00090B79"/>
    <w:rsid w:val="00091DEA"/>
    <w:rsid w:val="00091FE7"/>
    <w:rsid w:val="0009284E"/>
    <w:rsid w:val="00092BD2"/>
    <w:rsid w:val="00092D38"/>
    <w:rsid w:val="0009377B"/>
    <w:rsid w:val="00093BEA"/>
    <w:rsid w:val="0009477D"/>
    <w:rsid w:val="00094DBA"/>
    <w:rsid w:val="0009507C"/>
    <w:rsid w:val="00095C2F"/>
    <w:rsid w:val="00096446"/>
    <w:rsid w:val="000964BC"/>
    <w:rsid w:val="000965EC"/>
    <w:rsid w:val="0009707E"/>
    <w:rsid w:val="00097BD4"/>
    <w:rsid w:val="00097D9A"/>
    <w:rsid w:val="00097E5E"/>
    <w:rsid w:val="000A05F6"/>
    <w:rsid w:val="000A0D6D"/>
    <w:rsid w:val="000A20C9"/>
    <w:rsid w:val="000A3017"/>
    <w:rsid w:val="000A3B65"/>
    <w:rsid w:val="000A5227"/>
    <w:rsid w:val="000B0461"/>
    <w:rsid w:val="000B058F"/>
    <w:rsid w:val="000B1347"/>
    <w:rsid w:val="000B1CC9"/>
    <w:rsid w:val="000B2A1D"/>
    <w:rsid w:val="000B2B19"/>
    <w:rsid w:val="000B2F73"/>
    <w:rsid w:val="000B30AB"/>
    <w:rsid w:val="000B35E0"/>
    <w:rsid w:val="000B3922"/>
    <w:rsid w:val="000B4467"/>
    <w:rsid w:val="000B45DA"/>
    <w:rsid w:val="000B4DB9"/>
    <w:rsid w:val="000B59C8"/>
    <w:rsid w:val="000B69B1"/>
    <w:rsid w:val="000B7726"/>
    <w:rsid w:val="000B7E2E"/>
    <w:rsid w:val="000C09AC"/>
    <w:rsid w:val="000C1CED"/>
    <w:rsid w:val="000C1E60"/>
    <w:rsid w:val="000C1EE7"/>
    <w:rsid w:val="000C20E6"/>
    <w:rsid w:val="000C361C"/>
    <w:rsid w:val="000C479F"/>
    <w:rsid w:val="000C52F9"/>
    <w:rsid w:val="000C54BC"/>
    <w:rsid w:val="000C5741"/>
    <w:rsid w:val="000C58E4"/>
    <w:rsid w:val="000C5994"/>
    <w:rsid w:val="000C5A4A"/>
    <w:rsid w:val="000C5AE0"/>
    <w:rsid w:val="000C6212"/>
    <w:rsid w:val="000C64D1"/>
    <w:rsid w:val="000C7109"/>
    <w:rsid w:val="000C72A3"/>
    <w:rsid w:val="000C767F"/>
    <w:rsid w:val="000C7FA0"/>
    <w:rsid w:val="000D05C5"/>
    <w:rsid w:val="000D0F66"/>
    <w:rsid w:val="000D10BF"/>
    <w:rsid w:val="000D2BC1"/>
    <w:rsid w:val="000D38A5"/>
    <w:rsid w:val="000D3FD1"/>
    <w:rsid w:val="000D47FF"/>
    <w:rsid w:val="000D4B3A"/>
    <w:rsid w:val="000D5A44"/>
    <w:rsid w:val="000D63F8"/>
    <w:rsid w:val="000D660F"/>
    <w:rsid w:val="000D69C3"/>
    <w:rsid w:val="000D6E87"/>
    <w:rsid w:val="000D6FBC"/>
    <w:rsid w:val="000D725F"/>
    <w:rsid w:val="000E0359"/>
    <w:rsid w:val="000E0688"/>
    <w:rsid w:val="000E194F"/>
    <w:rsid w:val="000E2731"/>
    <w:rsid w:val="000E356E"/>
    <w:rsid w:val="000E36A0"/>
    <w:rsid w:val="000E3829"/>
    <w:rsid w:val="000E3ED2"/>
    <w:rsid w:val="000E4699"/>
    <w:rsid w:val="000E4835"/>
    <w:rsid w:val="000E581D"/>
    <w:rsid w:val="000E677E"/>
    <w:rsid w:val="000E6799"/>
    <w:rsid w:val="000E739D"/>
    <w:rsid w:val="000F1990"/>
    <w:rsid w:val="000F1C59"/>
    <w:rsid w:val="000F27DB"/>
    <w:rsid w:val="000F36CB"/>
    <w:rsid w:val="000F3EAC"/>
    <w:rsid w:val="000F4222"/>
    <w:rsid w:val="000F4FA7"/>
    <w:rsid w:val="000F55A8"/>
    <w:rsid w:val="000F5692"/>
    <w:rsid w:val="000F661E"/>
    <w:rsid w:val="000F694A"/>
    <w:rsid w:val="000F6A5B"/>
    <w:rsid w:val="000F6D0F"/>
    <w:rsid w:val="00100118"/>
    <w:rsid w:val="00100E82"/>
    <w:rsid w:val="00101367"/>
    <w:rsid w:val="001015A8"/>
    <w:rsid w:val="00101B8F"/>
    <w:rsid w:val="00102B76"/>
    <w:rsid w:val="00103173"/>
    <w:rsid w:val="00103B99"/>
    <w:rsid w:val="00103E12"/>
    <w:rsid w:val="001044D8"/>
    <w:rsid w:val="001045AC"/>
    <w:rsid w:val="00104661"/>
    <w:rsid w:val="00106826"/>
    <w:rsid w:val="0010721C"/>
    <w:rsid w:val="00107CC4"/>
    <w:rsid w:val="00107FD9"/>
    <w:rsid w:val="0011043D"/>
    <w:rsid w:val="00110CD5"/>
    <w:rsid w:val="00111B36"/>
    <w:rsid w:val="0011242D"/>
    <w:rsid w:val="001128EE"/>
    <w:rsid w:val="0011320B"/>
    <w:rsid w:val="00113524"/>
    <w:rsid w:val="00113A28"/>
    <w:rsid w:val="0011430B"/>
    <w:rsid w:val="001146AD"/>
    <w:rsid w:val="0011560B"/>
    <w:rsid w:val="00115B77"/>
    <w:rsid w:val="00115DF8"/>
    <w:rsid w:val="00116C25"/>
    <w:rsid w:val="0011715A"/>
    <w:rsid w:val="00117390"/>
    <w:rsid w:val="00117CB3"/>
    <w:rsid w:val="00122FDC"/>
    <w:rsid w:val="001230C9"/>
    <w:rsid w:val="0012334E"/>
    <w:rsid w:val="00124B31"/>
    <w:rsid w:val="00125734"/>
    <w:rsid w:val="00125C3D"/>
    <w:rsid w:val="00126DE7"/>
    <w:rsid w:val="001274F0"/>
    <w:rsid w:val="00130FFB"/>
    <w:rsid w:val="001315DC"/>
    <w:rsid w:val="00131F42"/>
    <w:rsid w:val="001320D4"/>
    <w:rsid w:val="00133267"/>
    <w:rsid w:val="00133B51"/>
    <w:rsid w:val="00133FF2"/>
    <w:rsid w:val="00134C71"/>
    <w:rsid w:val="0013545A"/>
    <w:rsid w:val="001357F1"/>
    <w:rsid w:val="00135AA9"/>
    <w:rsid w:val="00135F2D"/>
    <w:rsid w:val="0013655E"/>
    <w:rsid w:val="001368E2"/>
    <w:rsid w:val="00137B4B"/>
    <w:rsid w:val="00140FA8"/>
    <w:rsid w:val="00141CB0"/>
    <w:rsid w:val="00142C10"/>
    <w:rsid w:val="00142FEB"/>
    <w:rsid w:val="001436A2"/>
    <w:rsid w:val="00143A2D"/>
    <w:rsid w:val="00143FC0"/>
    <w:rsid w:val="0014458B"/>
    <w:rsid w:val="001446A4"/>
    <w:rsid w:val="00144F1C"/>
    <w:rsid w:val="001450EF"/>
    <w:rsid w:val="00145101"/>
    <w:rsid w:val="00145470"/>
    <w:rsid w:val="0014554E"/>
    <w:rsid w:val="0014566F"/>
    <w:rsid w:val="00145A41"/>
    <w:rsid w:val="00145F12"/>
    <w:rsid w:val="001463A4"/>
    <w:rsid w:val="00146DCD"/>
    <w:rsid w:val="001476EF"/>
    <w:rsid w:val="00150531"/>
    <w:rsid w:val="001505C7"/>
    <w:rsid w:val="0015081F"/>
    <w:rsid w:val="00150A54"/>
    <w:rsid w:val="00150EAD"/>
    <w:rsid w:val="0015120B"/>
    <w:rsid w:val="00151402"/>
    <w:rsid w:val="001514CA"/>
    <w:rsid w:val="00151675"/>
    <w:rsid w:val="00151692"/>
    <w:rsid w:val="00151F9C"/>
    <w:rsid w:val="00152EFE"/>
    <w:rsid w:val="001537FF"/>
    <w:rsid w:val="0015485F"/>
    <w:rsid w:val="00154A4C"/>
    <w:rsid w:val="001563C8"/>
    <w:rsid w:val="00156C30"/>
    <w:rsid w:val="00157362"/>
    <w:rsid w:val="00157435"/>
    <w:rsid w:val="00162219"/>
    <w:rsid w:val="00162517"/>
    <w:rsid w:val="00162E24"/>
    <w:rsid w:val="00162EC8"/>
    <w:rsid w:val="00164126"/>
    <w:rsid w:val="0016452F"/>
    <w:rsid w:val="001650B5"/>
    <w:rsid w:val="001650CE"/>
    <w:rsid w:val="001651D4"/>
    <w:rsid w:val="00165635"/>
    <w:rsid w:val="001659BC"/>
    <w:rsid w:val="00165C5B"/>
    <w:rsid w:val="001666F9"/>
    <w:rsid w:val="00166CC0"/>
    <w:rsid w:val="00166F39"/>
    <w:rsid w:val="00167390"/>
    <w:rsid w:val="00167CF8"/>
    <w:rsid w:val="0017170B"/>
    <w:rsid w:val="001727E7"/>
    <w:rsid w:val="00172C3B"/>
    <w:rsid w:val="0017302D"/>
    <w:rsid w:val="001744A0"/>
    <w:rsid w:val="0017504D"/>
    <w:rsid w:val="00175AFF"/>
    <w:rsid w:val="00176196"/>
    <w:rsid w:val="0017671A"/>
    <w:rsid w:val="001767C7"/>
    <w:rsid w:val="00176B4C"/>
    <w:rsid w:val="001770BD"/>
    <w:rsid w:val="00177422"/>
    <w:rsid w:val="00180242"/>
    <w:rsid w:val="00181239"/>
    <w:rsid w:val="00181417"/>
    <w:rsid w:val="00183C26"/>
    <w:rsid w:val="00184349"/>
    <w:rsid w:val="0018446C"/>
    <w:rsid w:val="00184590"/>
    <w:rsid w:val="0018460F"/>
    <w:rsid w:val="00184D84"/>
    <w:rsid w:val="00185686"/>
    <w:rsid w:val="00185A73"/>
    <w:rsid w:val="0018651F"/>
    <w:rsid w:val="00186744"/>
    <w:rsid w:val="0018686A"/>
    <w:rsid w:val="001870D1"/>
    <w:rsid w:val="001871B1"/>
    <w:rsid w:val="0018781E"/>
    <w:rsid w:val="001903DD"/>
    <w:rsid w:val="00191633"/>
    <w:rsid w:val="00191D9B"/>
    <w:rsid w:val="0019262D"/>
    <w:rsid w:val="001926D2"/>
    <w:rsid w:val="0019286F"/>
    <w:rsid w:val="00193108"/>
    <w:rsid w:val="00193F9F"/>
    <w:rsid w:val="001941BC"/>
    <w:rsid w:val="00194BF9"/>
    <w:rsid w:val="00195275"/>
    <w:rsid w:val="00196424"/>
    <w:rsid w:val="0019702D"/>
    <w:rsid w:val="001970BD"/>
    <w:rsid w:val="00197F56"/>
    <w:rsid w:val="001A077B"/>
    <w:rsid w:val="001A0EFB"/>
    <w:rsid w:val="001A1823"/>
    <w:rsid w:val="001A18BA"/>
    <w:rsid w:val="001A1B35"/>
    <w:rsid w:val="001A2211"/>
    <w:rsid w:val="001A2386"/>
    <w:rsid w:val="001A3F96"/>
    <w:rsid w:val="001A48A2"/>
    <w:rsid w:val="001A5CCA"/>
    <w:rsid w:val="001A5FBE"/>
    <w:rsid w:val="001A62F8"/>
    <w:rsid w:val="001A684D"/>
    <w:rsid w:val="001A6F61"/>
    <w:rsid w:val="001A7FB1"/>
    <w:rsid w:val="001B003B"/>
    <w:rsid w:val="001B02F5"/>
    <w:rsid w:val="001B05A7"/>
    <w:rsid w:val="001B0652"/>
    <w:rsid w:val="001B0D4A"/>
    <w:rsid w:val="001B1152"/>
    <w:rsid w:val="001B1412"/>
    <w:rsid w:val="001B2FEA"/>
    <w:rsid w:val="001B331A"/>
    <w:rsid w:val="001B374E"/>
    <w:rsid w:val="001B39BB"/>
    <w:rsid w:val="001B4248"/>
    <w:rsid w:val="001B4516"/>
    <w:rsid w:val="001B4916"/>
    <w:rsid w:val="001B4B0B"/>
    <w:rsid w:val="001B4B71"/>
    <w:rsid w:val="001B5E29"/>
    <w:rsid w:val="001B602B"/>
    <w:rsid w:val="001B6039"/>
    <w:rsid w:val="001B6B4D"/>
    <w:rsid w:val="001B72B8"/>
    <w:rsid w:val="001B7338"/>
    <w:rsid w:val="001C02FE"/>
    <w:rsid w:val="001C03D7"/>
    <w:rsid w:val="001C063B"/>
    <w:rsid w:val="001C0991"/>
    <w:rsid w:val="001C1076"/>
    <w:rsid w:val="001C1303"/>
    <w:rsid w:val="001C156C"/>
    <w:rsid w:val="001C16F0"/>
    <w:rsid w:val="001C1B44"/>
    <w:rsid w:val="001C1C84"/>
    <w:rsid w:val="001C205E"/>
    <w:rsid w:val="001C2893"/>
    <w:rsid w:val="001C35E2"/>
    <w:rsid w:val="001C3690"/>
    <w:rsid w:val="001C3845"/>
    <w:rsid w:val="001C52C8"/>
    <w:rsid w:val="001C59D1"/>
    <w:rsid w:val="001C5E35"/>
    <w:rsid w:val="001C66CD"/>
    <w:rsid w:val="001C69B3"/>
    <w:rsid w:val="001C74B9"/>
    <w:rsid w:val="001C74FE"/>
    <w:rsid w:val="001C7942"/>
    <w:rsid w:val="001D1B12"/>
    <w:rsid w:val="001D1CB0"/>
    <w:rsid w:val="001D1DBC"/>
    <w:rsid w:val="001D1F3B"/>
    <w:rsid w:val="001D3062"/>
    <w:rsid w:val="001D37A6"/>
    <w:rsid w:val="001D3916"/>
    <w:rsid w:val="001D3C63"/>
    <w:rsid w:val="001D4831"/>
    <w:rsid w:val="001D5595"/>
    <w:rsid w:val="001D6497"/>
    <w:rsid w:val="001D6A25"/>
    <w:rsid w:val="001D7194"/>
    <w:rsid w:val="001D757B"/>
    <w:rsid w:val="001D7874"/>
    <w:rsid w:val="001D7F22"/>
    <w:rsid w:val="001E0013"/>
    <w:rsid w:val="001E1621"/>
    <w:rsid w:val="001E1E2D"/>
    <w:rsid w:val="001E2FA8"/>
    <w:rsid w:val="001E425D"/>
    <w:rsid w:val="001E4405"/>
    <w:rsid w:val="001E4570"/>
    <w:rsid w:val="001E4892"/>
    <w:rsid w:val="001E4AD6"/>
    <w:rsid w:val="001E52A2"/>
    <w:rsid w:val="001E621A"/>
    <w:rsid w:val="001E6AEF"/>
    <w:rsid w:val="001E7618"/>
    <w:rsid w:val="001E79EC"/>
    <w:rsid w:val="001F0298"/>
    <w:rsid w:val="001F030C"/>
    <w:rsid w:val="001F0F17"/>
    <w:rsid w:val="001F17C9"/>
    <w:rsid w:val="001F1B23"/>
    <w:rsid w:val="001F2332"/>
    <w:rsid w:val="001F3347"/>
    <w:rsid w:val="001F33C8"/>
    <w:rsid w:val="001F347D"/>
    <w:rsid w:val="001F363D"/>
    <w:rsid w:val="001F3A3A"/>
    <w:rsid w:val="001F4FB9"/>
    <w:rsid w:val="001F5089"/>
    <w:rsid w:val="001F579A"/>
    <w:rsid w:val="001F69E4"/>
    <w:rsid w:val="001F6FDE"/>
    <w:rsid w:val="001F7107"/>
    <w:rsid w:val="001F7CF4"/>
    <w:rsid w:val="001F7DE0"/>
    <w:rsid w:val="002000BD"/>
    <w:rsid w:val="00200772"/>
    <w:rsid w:val="00200CD2"/>
    <w:rsid w:val="00201031"/>
    <w:rsid w:val="0020387C"/>
    <w:rsid w:val="00203911"/>
    <w:rsid w:val="0020539B"/>
    <w:rsid w:val="00207DD8"/>
    <w:rsid w:val="002104A4"/>
    <w:rsid w:val="002108DB"/>
    <w:rsid w:val="00210BB6"/>
    <w:rsid w:val="002112C0"/>
    <w:rsid w:val="00211CBE"/>
    <w:rsid w:val="002125B4"/>
    <w:rsid w:val="0021294A"/>
    <w:rsid w:val="002134F5"/>
    <w:rsid w:val="00213765"/>
    <w:rsid w:val="00213879"/>
    <w:rsid w:val="00213CC6"/>
    <w:rsid w:val="00214893"/>
    <w:rsid w:val="00214D26"/>
    <w:rsid w:val="0021513B"/>
    <w:rsid w:val="002155B8"/>
    <w:rsid w:val="0021635C"/>
    <w:rsid w:val="00216703"/>
    <w:rsid w:val="00216A54"/>
    <w:rsid w:val="0021746F"/>
    <w:rsid w:val="002178CF"/>
    <w:rsid w:val="002202B3"/>
    <w:rsid w:val="0022050C"/>
    <w:rsid w:val="00220A23"/>
    <w:rsid w:val="00220AE8"/>
    <w:rsid w:val="00220FAF"/>
    <w:rsid w:val="002215B1"/>
    <w:rsid w:val="00222800"/>
    <w:rsid w:val="00224351"/>
    <w:rsid w:val="002247FB"/>
    <w:rsid w:val="00224839"/>
    <w:rsid w:val="002249B2"/>
    <w:rsid w:val="00225600"/>
    <w:rsid w:val="002259C0"/>
    <w:rsid w:val="00225BDE"/>
    <w:rsid w:val="002261ED"/>
    <w:rsid w:val="00226315"/>
    <w:rsid w:val="002264FF"/>
    <w:rsid w:val="00226574"/>
    <w:rsid w:val="002272D6"/>
    <w:rsid w:val="00227880"/>
    <w:rsid w:val="0022788E"/>
    <w:rsid w:val="002278EC"/>
    <w:rsid w:val="00230035"/>
    <w:rsid w:val="00231088"/>
    <w:rsid w:val="0023280E"/>
    <w:rsid w:val="00233615"/>
    <w:rsid w:val="00233F6C"/>
    <w:rsid w:val="00234363"/>
    <w:rsid w:val="00234887"/>
    <w:rsid w:val="00234EB8"/>
    <w:rsid w:val="002358CE"/>
    <w:rsid w:val="002365D5"/>
    <w:rsid w:val="0023678D"/>
    <w:rsid w:val="0023723C"/>
    <w:rsid w:val="002377D1"/>
    <w:rsid w:val="002379E9"/>
    <w:rsid w:val="0024007B"/>
    <w:rsid w:val="0024061F"/>
    <w:rsid w:val="002407C8"/>
    <w:rsid w:val="00241AF2"/>
    <w:rsid w:val="00241F7D"/>
    <w:rsid w:val="00244959"/>
    <w:rsid w:val="00246060"/>
    <w:rsid w:val="0024616C"/>
    <w:rsid w:val="002475EE"/>
    <w:rsid w:val="0025013C"/>
    <w:rsid w:val="002506BC"/>
    <w:rsid w:val="00250F3E"/>
    <w:rsid w:val="0025153A"/>
    <w:rsid w:val="00254016"/>
    <w:rsid w:val="00254345"/>
    <w:rsid w:val="00254A4D"/>
    <w:rsid w:val="00255F78"/>
    <w:rsid w:val="002577C8"/>
    <w:rsid w:val="00257890"/>
    <w:rsid w:val="0025791B"/>
    <w:rsid w:val="00260565"/>
    <w:rsid w:val="00260D11"/>
    <w:rsid w:val="002617AB"/>
    <w:rsid w:val="00261A25"/>
    <w:rsid w:val="00262CD1"/>
    <w:rsid w:val="00262EAC"/>
    <w:rsid w:val="00264557"/>
    <w:rsid w:val="00264F46"/>
    <w:rsid w:val="00265ADE"/>
    <w:rsid w:val="00265B0A"/>
    <w:rsid w:val="00266B74"/>
    <w:rsid w:val="00266CCD"/>
    <w:rsid w:val="00267300"/>
    <w:rsid w:val="002678BB"/>
    <w:rsid w:val="0026799A"/>
    <w:rsid w:val="00270909"/>
    <w:rsid w:val="00270F81"/>
    <w:rsid w:val="00271915"/>
    <w:rsid w:val="00273792"/>
    <w:rsid w:val="00274489"/>
    <w:rsid w:val="00274D23"/>
    <w:rsid w:val="00274FC2"/>
    <w:rsid w:val="00275FFB"/>
    <w:rsid w:val="00276518"/>
    <w:rsid w:val="00277499"/>
    <w:rsid w:val="00277A8E"/>
    <w:rsid w:val="00277B5B"/>
    <w:rsid w:val="00277F6D"/>
    <w:rsid w:val="00280324"/>
    <w:rsid w:val="002803C6"/>
    <w:rsid w:val="0028047E"/>
    <w:rsid w:val="00280560"/>
    <w:rsid w:val="002805AB"/>
    <w:rsid w:val="00280706"/>
    <w:rsid w:val="002813D4"/>
    <w:rsid w:val="002814E3"/>
    <w:rsid w:val="0028156E"/>
    <w:rsid w:val="0028165F"/>
    <w:rsid w:val="0028213A"/>
    <w:rsid w:val="00282D30"/>
    <w:rsid w:val="002833AB"/>
    <w:rsid w:val="002834F5"/>
    <w:rsid w:val="00284204"/>
    <w:rsid w:val="00284515"/>
    <w:rsid w:val="002846D8"/>
    <w:rsid w:val="00284CAD"/>
    <w:rsid w:val="00285537"/>
    <w:rsid w:val="002872B9"/>
    <w:rsid w:val="002876A8"/>
    <w:rsid w:val="00291107"/>
    <w:rsid w:val="002912E7"/>
    <w:rsid w:val="002913D1"/>
    <w:rsid w:val="00291773"/>
    <w:rsid w:val="00291D4E"/>
    <w:rsid w:val="0029286A"/>
    <w:rsid w:val="0029332C"/>
    <w:rsid w:val="00294A1F"/>
    <w:rsid w:val="00294A5F"/>
    <w:rsid w:val="002962F1"/>
    <w:rsid w:val="00296DA2"/>
    <w:rsid w:val="00297904"/>
    <w:rsid w:val="002A062F"/>
    <w:rsid w:val="002A0C13"/>
    <w:rsid w:val="002A1356"/>
    <w:rsid w:val="002A135D"/>
    <w:rsid w:val="002A168C"/>
    <w:rsid w:val="002A176B"/>
    <w:rsid w:val="002A1AAE"/>
    <w:rsid w:val="002A2C89"/>
    <w:rsid w:val="002A2CF4"/>
    <w:rsid w:val="002A323E"/>
    <w:rsid w:val="002A3905"/>
    <w:rsid w:val="002A3DC7"/>
    <w:rsid w:val="002A47E8"/>
    <w:rsid w:val="002A5734"/>
    <w:rsid w:val="002A5E33"/>
    <w:rsid w:val="002A6150"/>
    <w:rsid w:val="002A61DC"/>
    <w:rsid w:val="002A66B2"/>
    <w:rsid w:val="002A691B"/>
    <w:rsid w:val="002A70C1"/>
    <w:rsid w:val="002A743C"/>
    <w:rsid w:val="002A79DD"/>
    <w:rsid w:val="002A7D59"/>
    <w:rsid w:val="002B0056"/>
    <w:rsid w:val="002B0FA5"/>
    <w:rsid w:val="002B17B8"/>
    <w:rsid w:val="002B27F0"/>
    <w:rsid w:val="002B3AF6"/>
    <w:rsid w:val="002B42CD"/>
    <w:rsid w:val="002B4804"/>
    <w:rsid w:val="002B49E2"/>
    <w:rsid w:val="002B4A34"/>
    <w:rsid w:val="002B5A40"/>
    <w:rsid w:val="002B5A6A"/>
    <w:rsid w:val="002B6188"/>
    <w:rsid w:val="002B62DF"/>
    <w:rsid w:val="002B64CA"/>
    <w:rsid w:val="002B7B00"/>
    <w:rsid w:val="002B7C3E"/>
    <w:rsid w:val="002B7C44"/>
    <w:rsid w:val="002C06CB"/>
    <w:rsid w:val="002C0FDB"/>
    <w:rsid w:val="002C13E4"/>
    <w:rsid w:val="002C2B17"/>
    <w:rsid w:val="002C2F90"/>
    <w:rsid w:val="002C4511"/>
    <w:rsid w:val="002C45E4"/>
    <w:rsid w:val="002C51BC"/>
    <w:rsid w:val="002C5D61"/>
    <w:rsid w:val="002C5F42"/>
    <w:rsid w:val="002C604B"/>
    <w:rsid w:val="002C71A0"/>
    <w:rsid w:val="002C732D"/>
    <w:rsid w:val="002C7D85"/>
    <w:rsid w:val="002C7DED"/>
    <w:rsid w:val="002D0199"/>
    <w:rsid w:val="002D2064"/>
    <w:rsid w:val="002D384E"/>
    <w:rsid w:val="002D3945"/>
    <w:rsid w:val="002D3B8D"/>
    <w:rsid w:val="002D3D7E"/>
    <w:rsid w:val="002D3DD0"/>
    <w:rsid w:val="002D4188"/>
    <w:rsid w:val="002D4627"/>
    <w:rsid w:val="002D4AF0"/>
    <w:rsid w:val="002D54D4"/>
    <w:rsid w:val="002D565E"/>
    <w:rsid w:val="002D5939"/>
    <w:rsid w:val="002D5FC9"/>
    <w:rsid w:val="002D653F"/>
    <w:rsid w:val="002D7244"/>
    <w:rsid w:val="002D7AE1"/>
    <w:rsid w:val="002E06EB"/>
    <w:rsid w:val="002E08B2"/>
    <w:rsid w:val="002E0BA7"/>
    <w:rsid w:val="002E1F3A"/>
    <w:rsid w:val="002E298A"/>
    <w:rsid w:val="002E2F4D"/>
    <w:rsid w:val="002E3F0B"/>
    <w:rsid w:val="002E5066"/>
    <w:rsid w:val="002E54E5"/>
    <w:rsid w:val="002E57AB"/>
    <w:rsid w:val="002E6012"/>
    <w:rsid w:val="002E6B84"/>
    <w:rsid w:val="002E6C15"/>
    <w:rsid w:val="002E7ACC"/>
    <w:rsid w:val="002F00B0"/>
    <w:rsid w:val="002F0E82"/>
    <w:rsid w:val="002F1147"/>
    <w:rsid w:val="002F1D0B"/>
    <w:rsid w:val="002F1E93"/>
    <w:rsid w:val="002F1F22"/>
    <w:rsid w:val="002F1FE4"/>
    <w:rsid w:val="002F22F5"/>
    <w:rsid w:val="002F31F3"/>
    <w:rsid w:val="002F424F"/>
    <w:rsid w:val="002F5533"/>
    <w:rsid w:val="002F595B"/>
    <w:rsid w:val="002F5983"/>
    <w:rsid w:val="002F59AB"/>
    <w:rsid w:val="002F62E1"/>
    <w:rsid w:val="002F67E2"/>
    <w:rsid w:val="002F69FE"/>
    <w:rsid w:val="003010F0"/>
    <w:rsid w:val="00301978"/>
    <w:rsid w:val="00301F88"/>
    <w:rsid w:val="0030276C"/>
    <w:rsid w:val="00302BFF"/>
    <w:rsid w:val="0030332C"/>
    <w:rsid w:val="00304285"/>
    <w:rsid w:val="003043F0"/>
    <w:rsid w:val="0030502B"/>
    <w:rsid w:val="003051C2"/>
    <w:rsid w:val="003052FD"/>
    <w:rsid w:val="00305C69"/>
    <w:rsid w:val="00306BF5"/>
    <w:rsid w:val="003075F6"/>
    <w:rsid w:val="00307618"/>
    <w:rsid w:val="003077E6"/>
    <w:rsid w:val="00307C64"/>
    <w:rsid w:val="00307DDE"/>
    <w:rsid w:val="00310E64"/>
    <w:rsid w:val="0031147E"/>
    <w:rsid w:val="00311D9D"/>
    <w:rsid w:val="00312296"/>
    <w:rsid w:val="00312781"/>
    <w:rsid w:val="00312E20"/>
    <w:rsid w:val="003135BD"/>
    <w:rsid w:val="00313A24"/>
    <w:rsid w:val="00313DB9"/>
    <w:rsid w:val="00314006"/>
    <w:rsid w:val="00314107"/>
    <w:rsid w:val="003149BA"/>
    <w:rsid w:val="00314F0E"/>
    <w:rsid w:val="00315665"/>
    <w:rsid w:val="003159CC"/>
    <w:rsid w:val="00316280"/>
    <w:rsid w:val="00316437"/>
    <w:rsid w:val="00316C31"/>
    <w:rsid w:val="00316EE2"/>
    <w:rsid w:val="0032120D"/>
    <w:rsid w:val="0032187D"/>
    <w:rsid w:val="00321C13"/>
    <w:rsid w:val="00321D8E"/>
    <w:rsid w:val="003222FF"/>
    <w:rsid w:val="00322616"/>
    <w:rsid w:val="003237B0"/>
    <w:rsid w:val="00324CD2"/>
    <w:rsid w:val="003253AC"/>
    <w:rsid w:val="00325847"/>
    <w:rsid w:val="003258D6"/>
    <w:rsid w:val="00325928"/>
    <w:rsid w:val="00326434"/>
    <w:rsid w:val="00326EED"/>
    <w:rsid w:val="00327F6C"/>
    <w:rsid w:val="00331A17"/>
    <w:rsid w:val="00332214"/>
    <w:rsid w:val="0033223D"/>
    <w:rsid w:val="00332863"/>
    <w:rsid w:val="00333019"/>
    <w:rsid w:val="00333BFB"/>
    <w:rsid w:val="00334C7D"/>
    <w:rsid w:val="00335398"/>
    <w:rsid w:val="0033684D"/>
    <w:rsid w:val="0033760F"/>
    <w:rsid w:val="00337AF0"/>
    <w:rsid w:val="00337B42"/>
    <w:rsid w:val="003404E7"/>
    <w:rsid w:val="00340F0F"/>
    <w:rsid w:val="00341B42"/>
    <w:rsid w:val="00341DC2"/>
    <w:rsid w:val="00342014"/>
    <w:rsid w:val="00342594"/>
    <w:rsid w:val="003425A4"/>
    <w:rsid w:val="00342E85"/>
    <w:rsid w:val="0034311A"/>
    <w:rsid w:val="00343297"/>
    <w:rsid w:val="0034348F"/>
    <w:rsid w:val="00343D5A"/>
    <w:rsid w:val="0034449E"/>
    <w:rsid w:val="00344BE6"/>
    <w:rsid w:val="0034542D"/>
    <w:rsid w:val="003460CC"/>
    <w:rsid w:val="00346331"/>
    <w:rsid w:val="00346978"/>
    <w:rsid w:val="00346A43"/>
    <w:rsid w:val="00346AA4"/>
    <w:rsid w:val="00347393"/>
    <w:rsid w:val="003474EA"/>
    <w:rsid w:val="003508CE"/>
    <w:rsid w:val="003513A4"/>
    <w:rsid w:val="003515A3"/>
    <w:rsid w:val="00352150"/>
    <w:rsid w:val="003527A4"/>
    <w:rsid w:val="00352ACE"/>
    <w:rsid w:val="003532FE"/>
    <w:rsid w:val="00353C4D"/>
    <w:rsid w:val="00354727"/>
    <w:rsid w:val="00356653"/>
    <w:rsid w:val="00356C48"/>
    <w:rsid w:val="00356C5D"/>
    <w:rsid w:val="0035743F"/>
    <w:rsid w:val="00357BE2"/>
    <w:rsid w:val="0036044C"/>
    <w:rsid w:val="0036061B"/>
    <w:rsid w:val="0036087E"/>
    <w:rsid w:val="003609D6"/>
    <w:rsid w:val="00360D1C"/>
    <w:rsid w:val="00360D75"/>
    <w:rsid w:val="0036170C"/>
    <w:rsid w:val="00361A53"/>
    <w:rsid w:val="00361F46"/>
    <w:rsid w:val="00362149"/>
    <w:rsid w:val="00362EAC"/>
    <w:rsid w:val="003638B6"/>
    <w:rsid w:val="00363D3B"/>
    <w:rsid w:val="00364093"/>
    <w:rsid w:val="00364C17"/>
    <w:rsid w:val="00364F58"/>
    <w:rsid w:val="00365BA8"/>
    <w:rsid w:val="00365D55"/>
    <w:rsid w:val="00365D5A"/>
    <w:rsid w:val="003661BF"/>
    <w:rsid w:val="00366E0F"/>
    <w:rsid w:val="003672E0"/>
    <w:rsid w:val="003677E8"/>
    <w:rsid w:val="003679EE"/>
    <w:rsid w:val="00367FE4"/>
    <w:rsid w:val="0037016A"/>
    <w:rsid w:val="0037081F"/>
    <w:rsid w:val="0037116D"/>
    <w:rsid w:val="003711D6"/>
    <w:rsid w:val="00371252"/>
    <w:rsid w:val="003716CD"/>
    <w:rsid w:val="00372B59"/>
    <w:rsid w:val="00372E4D"/>
    <w:rsid w:val="003731A7"/>
    <w:rsid w:val="00373933"/>
    <w:rsid w:val="00374000"/>
    <w:rsid w:val="00375885"/>
    <w:rsid w:val="00375FFF"/>
    <w:rsid w:val="003765B6"/>
    <w:rsid w:val="00376E37"/>
    <w:rsid w:val="003776FD"/>
    <w:rsid w:val="00377F80"/>
    <w:rsid w:val="00381114"/>
    <w:rsid w:val="00381A72"/>
    <w:rsid w:val="00381BD9"/>
    <w:rsid w:val="00382331"/>
    <w:rsid w:val="0038313B"/>
    <w:rsid w:val="0038323F"/>
    <w:rsid w:val="003838D0"/>
    <w:rsid w:val="00384128"/>
    <w:rsid w:val="003844E4"/>
    <w:rsid w:val="00384676"/>
    <w:rsid w:val="00384830"/>
    <w:rsid w:val="003863AB"/>
    <w:rsid w:val="0038679D"/>
    <w:rsid w:val="003869AB"/>
    <w:rsid w:val="003870FF"/>
    <w:rsid w:val="00390275"/>
    <w:rsid w:val="00390857"/>
    <w:rsid w:val="00391360"/>
    <w:rsid w:val="00391624"/>
    <w:rsid w:val="00391BF9"/>
    <w:rsid w:val="0039207A"/>
    <w:rsid w:val="00394B41"/>
    <w:rsid w:val="00394D45"/>
    <w:rsid w:val="0039512F"/>
    <w:rsid w:val="0039522A"/>
    <w:rsid w:val="003954E9"/>
    <w:rsid w:val="0039655B"/>
    <w:rsid w:val="003968E8"/>
    <w:rsid w:val="00396FAA"/>
    <w:rsid w:val="00397658"/>
    <w:rsid w:val="00397738"/>
    <w:rsid w:val="00397E4F"/>
    <w:rsid w:val="003A0469"/>
    <w:rsid w:val="003A0635"/>
    <w:rsid w:val="003A1740"/>
    <w:rsid w:val="003A1E5F"/>
    <w:rsid w:val="003A350A"/>
    <w:rsid w:val="003A368A"/>
    <w:rsid w:val="003A4BF3"/>
    <w:rsid w:val="003A4C2A"/>
    <w:rsid w:val="003A5243"/>
    <w:rsid w:val="003A5270"/>
    <w:rsid w:val="003A576E"/>
    <w:rsid w:val="003A5AAA"/>
    <w:rsid w:val="003A6789"/>
    <w:rsid w:val="003A684F"/>
    <w:rsid w:val="003A70C2"/>
    <w:rsid w:val="003A7AFC"/>
    <w:rsid w:val="003A7C01"/>
    <w:rsid w:val="003B045B"/>
    <w:rsid w:val="003B0CCD"/>
    <w:rsid w:val="003B15B8"/>
    <w:rsid w:val="003B224D"/>
    <w:rsid w:val="003B3829"/>
    <w:rsid w:val="003B3D85"/>
    <w:rsid w:val="003B420D"/>
    <w:rsid w:val="003B4975"/>
    <w:rsid w:val="003B5308"/>
    <w:rsid w:val="003B5BDC"/>
    <w:rsid w:val="003B5D27"/>
    <w:rsid w:val="003B781C"/>
    <w:rsid w:val="003C2D53"/>
    <w:rsid w:val="003C340C"/>
    <w:rsid w:val="003C3982"/>
    <w:rsid w:val="003C441B"/>
    <w:rsid w:val="003C44CA"/>
    <w:rsid w:val="003C4DE3"/>
    <w:rsid w:val="003C5091"/>
    <w:rsid w:val="003C602A"/>
    <w:rsid w:val="003C6277"/>
    <w:rsid w:val="003C6C16"/>
    <w:rsid w:val="003C6DB4"/>
    <w:rsid w:val="003C6E10"/>
    <w:rsid w:val="003D33B6"/>
    <w:rsid w:val="003D41B6"/>
    <w:rsid w:val="003D5170"/>
    <w:rsid w:val="003D53F7"/>
    <w:rsid w:val="003D578B"/>
    <w:rsid w:val="003D583E"/>
    <w:rsid w:val="003D66F7"/>
    <w:rsid w:val="003D6923"/>
    <w:rsid w:val="003D69F4"/>
    <w:rsid w:val="003D6FA0"/>
    <w:rsid w:val="003D71CA"/>
    <w:rsid w:val="003D794D"/>
    <w:rsid w:val="003D7F0D"/>
    <w:rsid w:val="003D7F9B"/>
    <w:rsid w:val="003E05AC"/>
    <w:rsid w:val="003E079A"/>
    <w:rsid w:val="003E0C7F"/>
    <w:rsid w:val="003E11C7"/>
    <w:rsid w:val="003E1392"/>
    <w:rsid w:val="003E28F5"/>
    <w:rsid w:val="003E3058"/>
    <w:rsid w:val="003E32FC"/>
    <w:rsid w:val="003E38F8"/>
    <w:rsid w:val="003E3A57"/>
    <w:rsid w:val="003E481C"/>
    <w:rsid w:val="003E4A31"/>
    <w:rsid w:val="003E4C43"/>
    <w:rsid w:val="003E5872"/>
    <w:rsid w:val="003E5C76"/>
    <w:rsid w:val="003E75CC"/>
    <w:rsid w:val="003E761B"/>
    <w:rsid w:val="003E76A9"/>
    <w:rsid w:val="003E7C7E"/>
    <w:rsid w:val="003F04AA"/>
    <w:rsid w:val="003F0809"/>
    <w:rsid w:val="003F0C98"/>
    <w:rsid w:val="003F236D"/>
    <w:rsid w:val="003F2628"/>
    <w:rsid w:val="003F27E5"/>
    <w:rsid w:val="003F2EE9"/>
    <w:rsid w:val="003F5D65"/>
    <w:rsid w:val="003F5F0A"/>
    <w:rsid w:val="003F5F66"/>
    <w:rsid w:val="003F5F8A"/>
    <w:rsid w:val="003F6400"/>
    <w:rsid w:val="003F64E7"/>
    <w:rsid w:val="003F66FD"/>
    <w:rsid w:val="003F6A8C"/>
    <w:rsid w:val="003F70AB"/>
    <w:rsid w:val="003F73C4"/>
    <w:rsid w:val="003F755C"/>
    <w:rsid w:val="003F7A66"/>
    <w:rsid w:val="003F7ED4"/>
    <w:rsid w:val="0040047C"/>
    <w:rsid w:val="004005CB"/>
    <w:rsid w:val="00400930"/>
    <w:rsid w:val="00401EC7"/>
    <w:rsid w:val="00402AE7"/>
    <w:rsid w:val="0040440B"/>
    <w:rsid w:val="00404E1B"/>
    <w:rsid w:val="0040601F"/>
    <w:rsid w:val="00406F01"/>
    <w:rsid w:val="00407001"/>
    <w:rsid w:val="00410885"/>
    <w:rsid w:val="00410FB5"/>
    <w:rsid w:val="004119F8"/>
    <w:rsid w:val="00411DF4"/>
    <w:rsid w:val="0041207A"/>
    <w:rsid w:val="00412283"/>
    <w:rsid w:val="00412D46"/>
    <w:rsid w:val="00412FB5"/>
    <w:rsid w:val="00413C92"/>
    <w:rsid w:val="004142A6"/>
    <w:rsid w:val="00414634"/>
    <w:rsid w:val="0041606E"/>
    <w:rsid w:val="00416688"/>
    <w:rsid w:val="00416D50"/>
    <w:rsid w:val="00416DEC"/>
    <w:rsid w:val="00416FD5"/>
    <w:rsid w:val="00417772"/>
    <w:rsid w:val="00417A4A"/>
    <w:rsid w:val="00417F82"/>
    <w:rsid w:val="00417F8A"/>
    <w:rsid w:val="00420BEB"/>
    <w:rsid w:val="00420CE0"/>
    <w:rsid w:val="00420E6A"/>
    <w:rsid w:val="00421717"/>
    <w:rsid w:val="00421959"/>
    <w:rsid w:val="00421B88"/>
    <w:rsid w:val="00422E3D"/>
    <w:rsid w:val="00424F26"/>
    <w:rsid w:val="0042516E"/>
    <w:rsid w:val="0042567C"/>
    <w:rsid w:val="00425A9E"/>
    <w:rsid w:val="00426D6B"/>
    <w:rsid w:val="00426EFA"/>
    <w:rsid w:val="00427500"/>
    <w:rsid w:val="00427638"/>
    <w:rsid w:val="00430333"/>
    <w:rsid w:val="00430547"/>
    <w:rsid w:val="00431C00"/>
    <w:rsid w:val="00431E6C"/>
    <w:rsid w:val="00432BDC"/>
    <w:rsid w:val="00433159"/>
    <w:rsid w:val="00433636"/>
    <w:rsid w:val="00433841"/>
    <w:rsid w:val="00433CE7"/>
    <w:rsid w:val="00433E00"/>
    <w:rsid w:val="00434449"/>
    <w:rsid w:val="00434482"/>
    <w:rsid w:val="00434BBF"/>
    <w:rsid w:val="004368D0"/>
    <w:rsid w:val="004376D0"/>
    <w:rsid w:val="00440A8E"/>
    <w:rsid w:val="00441985"/>
    <w:rsid w:val="00441A98"/>
    <w:rsid w:val="00442396"/>
    <w:rsid w:val="0044252B"/>
    <w:rsid w:val="0044394F"/>
    <w:rsid w:val="00443D60"/>
    <w:rsid w:val="00444BC3"/>
    <w:rsid w:val="00444E79"/>
    <w:rsid w:val="0044568F"/>
    <w:rsid w:val="00446EC7"/>
    <w:rsid w:val="00447828"/>
    <w:rsid w:val="00447FBB"/>
    <w:rsid w:val="004501FC"/>
    <w:rsid w:val="004507DC"/>
    <w:rsid w:val="0045103A"/>
    <w:rsid w:val="00451112"/>
    <w:rsid w:val="00451262"/>
    <w:rsid w:val="00451D29"/>
    <w:rsid w:val="0045255B"/>
    <w:rsid w:val="004525D1"/>
    <w:rsid w:val="00452738"/>
    <w:rsid w:val="0045350D"/>
    <w:rsid w:val="004539D9"/>
    <w:rsid w:val="00454479"/>
    <w:rsid w:val="00455CB8"/>
    <w:rsid w:val="00455FF1"/>
    <w:rsid w:val="00456091"/>
    <w:rsid w:val="0045690A"/>
    <w:rsid w:val="00456D39"/>
    <w:rsid w:val="00457062"/>
    <w:rsid w:val="00460F77"/>
    <w:rsid w:val="00461598"/>
    <w:rsid w:val="004617C6"/>
    <w:rsid w:val="00461C44"/>
    <w:rsid w:val="00461FC8"/>
    <w:rsid w:val="004621B7"/>
    <w:rsid w:val="00463782"/>
    <w:rsid w:val="00463975"/>
    <w:rsid w:val="00464428"/>
    <w:rsid w:val="00464D65"/>
    <w:rsid w:val="00464FDD"/>
    <w:rsid w:val="0046608C"/>
    <w:rsid w:val="00466321"/>
    <w:rsid w:val="004663C9"/>
    <w:rsid w:val="00466475"/>
    <w:rsid w:val="0046741C"/>
    <w:rsid w:val="004678AC"/>
    <w:rsid w:val="004708C0"/>
    <w:rsid w:val="0047127C"/>
    <w:rsid w:val="0047356D"/>
    <w:rsid w:val="004740EF"/>
    <w:rsid w:val="00474495"/>
    <w:rsid w:val="00474B8B"/>
    <w:rsid w:val="00474F05"/>
    <w:rsid w:val="0047513F"/>
    <w:rsid w:val="00475B99"/>
    <w:rsid w:val="0047601D"/>
    <w:rsid w:val="00476B47"/>
    <w:rsid w:val="004774C2"/>
    <w:rsid w:val="00477BEB"/>
    <w:rsid w:val="00480BA3"/>
    <w:rsid w:val="004810AB"/>
    <w:rsid w:val="00481932"/>
    <w:rsid w:val="00481975"/>
    <w:rsid w:val="004819E3"/>
    <w:rsid w:val="00482152"/>
    <w:rsid w:val="00482AA2"/>
    <w:rsid w:val="00482C72"/>
    <w:rsid w:val="00482EA5"/>
    <w:rsid w:val="00483B8C"/>
    <w:rsid w:val="00483C19"/>
    <w:rsid w:val="00483D96"/>
    <w:rsid w:val="004845C8"/>
    <w:rsid w:val="004849E4"/>
    <w:rsid w:val="00484B9B"/>
    <w:rsid w:val="00484C71"/>
    <w:rsid w:val="004855F6"/>
    <w:rsid w:val="00485E99"/>
    <w:rsid w:val="004863C3"/>
    <w:rsid w:val="0048661E"/>
    <w:rsid w:val="00487E93"/>
    <w:rsid w:val="00490041"/>
    <w:rsid w:val="004902A8"/>
    <w:rsid w:val="00491027"/>
    <w:rsid w:val="00491200"/>
    <w:rsid w:val="00491E98"/>
    <w:rsid w:val="00492103"/>
    <w:rsid w:val="00492B3A"/>
    <w:rsid w:val="00492C6D"/>
    <w:rsid w:val="00493257"/>
    <w:rsid w:val="00494141"/>
    <w:rsid w:val="0049445D"/>
    <w:rsid w:val="00494670"/>
    <w:rsid w:val="00494B6F"/>
    <w:rsid w:val="00495980"/>
    <w:rsid w:val="00495A58"/>
    <w:rsid w:val="00495B9F"/>
    <w:rsid w:val="0049651B"/>
    <w:rsid w:val="00496E0E"/>
    <w:rsid w:val="0049755D"/>
    <w:rsid w:val="00497E81"/>
    <w:rsid w:val="004A02A7"/>
    <w:rsid w:val="004A084E"/>
    <w:rsid w:val="004A11BE"/>
    <w:rsid w:val="004A1387"/>
    <w:rsid w:val="004A1781"/>
    <w:rsid w:val="004A313B"/>
    <w:rsid w:val="004A341E"/>
    <w:rsid w:val="004A345E"/>
    <w:rsid w:val="004A3823"/>
    <w:rsid w:val="004A3831"/>
    <w:rsid w:val="004A3B5F"/>
    <w:rsid w:val="004A4B18"/>
    <w:rsid w:val="004A64EB"/>
    <w:rsid w:val="004A67BE"/>
    <w:rsid w:val="004A6922"/>
    <w:rsid w:val="004A72DB"/>
    <w:rsid w:val="004A771D"/>
    <w:rsid w:val="004A79C4"/>
    <w:rsid w:val="004B00EF"/>
    <w:rsid w:val="004B0190"/>
    <w:rsid w:val="004B08DC"/>
    <w:rsid w:val="004B0E38"/>
    <w:rsid w:val="004B1889"/>
    <w:rsid w:val="004B2AE0"/>
    <w:rsid w:val="004B3E4C"/>
    <w:rsid w:val="004B46AA"/>
    <w:rsid w:val="004B4789"/>
    <w:rsid w:val="004B48B7"/>
    <w:rsid w:val="004B4E02"/>
    <w:rsid w:val="004B5373"/>
    <w:rsid w:val="004B58E4"/>
    <w:rsid w:val="004B66D1"/>
    <w:rsid w:val="004B71EE"/>
    <w:rsid w:val="004B76D0"/>
    <w:rsid w:val="004B7EFA"/>
    <w:rsid w:val="004C17E8"/>
    <w:rsid w:val="004C1BA8"/>
    <w:rsid w:val="004C2AD5"/>
    <w:rsid w:val="004C3ECB"/>
    <w:rsid w:val="004C54BC"/>
    <w:rsid w:val="004C5769"/>
    <w:rsid w:val="004C5C83"/>
    <w:rsid w:val="004C6809"/>
    <w:rsid w:val="004C71CD"/>
    <w:rsid w:val="004D08E3"/>
    <w:rsid w:val="004D12D8"/>
    <w:rsid w:val="004D12D9"/>
    <w:rsid w:val="004D19ED"/>
    <w:rsid w:val="004D1B39"/>
    <w:rsid w:val="004D2732"/>
    <w:rsid w:val="004D336A"/>
    <w:rsid w:val="004D46D5"/>
    <w:rsid w:val="004D554C"/>
    <w:rsid w:val="004D566F"/>
    <w:rsid w:val="004D5675"/>
    <w:rsid w:val="004D5691"/>
    <w:rsid w:val="004D56FE"/>
    <w:rsid w:val="004D5F18"/>
    <w:rsid w:val="004D5F92"/>
    <w:rsid w:val="004D61F3"/>
    <w:rsid w:val="004D6C60"/>
    <w:rsid w:val="004D730A"/>
    <w:rsid w:val="004D7524"/>
    <w:rsid w:val="004E03D5"/>
    <w:rsid w:val="004E0BBE"/>
    <w:rsid w:val="004E1BF8"/>
    <w:rsid w:val="004E38D0"/>
    <w:rsid w:val="004E4176"/>
    <w:rsid w:val="004E44ED"/>
    <w:rsid w:val="004E4CB1"/>
    <w:rsid w:val="004E5F2A"/>
    <w:rsid w:val="004E6648"/>
    <w:rsid w:val="004E6785"/>
    <w:rsid w:val="004E6946"/>
    <w:rsid w:val="004E71DA"/>
    <w:rsid w:val="004E7A77"/>
    <w:rsid w:val="004E7B9E"/>
    <w:rsid w:val="004E7E65"/>
    <w:rsid w:val="004F00DA"/>
    <w:rsid w:val="004F03B0"/>
    <w:rsid w:val="004F0C4D"/>
    <w:rsid w:val="004F12E3"/>
    <w:rsid w:val="004F14D6"/>
    <w:rsid w:val="004F1704"/>
    <w:rsid w:val="004F1AD8"/>
    <w:rsid w:val="004F1F34"/>
    <w:rsid w:val="004F20F5"/>
    <w:rsid w:val="004F2C2C"/>
    <w:rsid w:val="004F2D85"/>
    <w:rsid w:val="004F3C22"/>
    <w:rsid w:val="004F4663"/>
    <w:rsid w:val="004F49D1"/>
    <w:rsid w:val="004F5D94"/>
    <w:rsid w:val="004F614B"/>
    <w:rsid w:val="004F66CB"/>
    <w:rsid w:val="004F6A7F"/>
    <w:rsid w:val="004F74B4"/>
    <w:rsid w:val="0050006F"/>
    <w:rsid w:val="00500667"/>
    <w:rsid w:val="00501D3B"/>
    <w:rsid w:val="00501DD2"/>
    <w:rsid w:val="00501FF8"/>
    <w:rsid w:val="005033C1"/>
    <w:rsid w:val="00503929"/>
    <w:rsid w:val="005039CB"/>
    <w:rsid w:val="00504572"/>
    <w:rsid w:val="0050558F"/>
    <w:rsid w:val="00505BAF"/>
    <w:rsid w:val="00506286"/>
    <w:rsid w:val="005063D5"/>
    <w:rsid w:val="00506404"/>
    <w:rsid w:val="00506524"/>
    <w:rsid w:val="00506693"/>
    <w:rsid w:val="005070F4"/>
    <w:rsid w:val="00507307"/>
    <w:rsid w:val="00507B5E"/>
    <w:rsid w:val="00507CED"/>
    <w:rsid w:val="00510648"/>
    <w:rsid w:val="00510813"/>
    <w:rsid w:val="005115F8"/>
    <w:rsid w:val="00511990"/>
    <w:rsid w:val="00511B46"/>
    <w:rsid w:val="00511DE0"/>
    <w:rsid w:val="0051327C"/>
    <w:rsid w:val="00513CA2"/>
    <w:rsid w:val="0051403E"/>
    <w:rsid w:val="00514870"/>
    <w:rsid w:val="00514B9B"/>
    <w:rsid w:val="00514EDC"/>
    <w:rsid w:val="0051560B"/>
    <w:rsid w:val="00515833"/>
    <w:rsid w:val="0051688C"/>
    <w:rsid w:val="00516CA0"/>
    <w:rsid w:val="00517F02"/>
    <w:rsid w:val="00520CB8"/>
    <w:rsid w:val="00520FE3"/>
    <w:rsid w:val="00521731"/>
    <w:rsid w:val="00521763"/>
    <w:rsid w:val="00521D22"/>
    <w:rsid w:val="0052222A"/>
    <w:rsid w:val="00522FDD"/>
    <w:rsid w:val="00523251"/>
    <w:rsid w:val="005235FA"/>
    <w:rsid w:val="00523FB8"/>
    <w:rsid w:val="00523FD0"/>
    <w:rsid w:val="00524303"/>
    <w:rsid w:val="00524765"/>
    <w:rsid w:val="005258A2"/>
    <w:rsid w:val="00525F87"/>
    <w:rsid w:val="00526A73"/>
    <w:rsid w:val="00526BC1"/>
    <w:rsid w:val="00526EBF"/>
    <w:rsid w:val="005273F5"/>
    <w:rsid w:val="005279C4"/>
    <w:rsid w:val="00527F2B"/>
    <w:rsid w:val="0053021D"/>
    <w:rsid w:val="00532FBE"/>
    <w:rsid w:val="00533665"/>
    <w:rsid w:val="00533941"/>
    <w:rsid w:val="00533F84"/>
    <w:rsid w:val="005345E3"/>
    <w:rsid w:val="0053469B"/>
    <w:rsid w:val="005357DC"/>
    <w:rsid w:val="00535DCF"/>
    <w:rsid w:val="005366FF"/>
    <w:rsid w:val="00536973"/>
    <w:rsid w:val="00536D4F"/>
    <w:rsid w:val="00536EDE"/>
    <w:rsid w:val="00536FEC"/>
    <w:rsid w:val="005374B2"/>
    <w:rsid w:val="005401AE"/>
    <w:rsid w:val="00540598"/>
    <w:rsid w:val="00540C42"/>
    <w:rsid w:val="005415AA"/>
    <w:rsid w:val="00542E07"/>
    <w:rsid w:val="0054303C"/>
    <w:rsid w:val="005436B0"/>
    <w:rsid w:val="00543C1A"/>
    <w:rsid w:val="00543DA7"/>
    <w:rsid w:val="00544071"/>
    <w:rsid w:val="00545138"/>
    <w:rsid w:val="00545282"/>
    <w:rsid w:val="005452A0"/>
    <w:rsid w:val="00545424"/>
    <w:rsid w:val="00545BAC"/>
    <w:rsid w:val="00545FFD"/>
    <w:rsid w:val="005467B8"/>
    <w:rsid w:val="005473F1"/>
    <w:rsid w:val="00547764"/>
    <w:rsid w:val="005509A0"/>
    <w:rsid w:val="00550F5E"/>
    <w:rsid w:val="005518B2"/>
    <w:rsid w:val="005518CD"/>
    <w:rsid w:val="00552BEF"/>
    <w:rsid w:val="00554367"/>
    <w:rsid w:val="00554A7B"/>
    <w:rsid w:val="005555B6"/>
    <w:rsid w:val="0055572C"/>
    <w:rsid w:val="00555761"/>
    <w:rsid w:val="00555A19"/>
    <w:rsid w:val="00556753"/>
    <w:rsid w:val="00557CEE"/>
    <w:rsid w:val="0056106A"/>
    <w:rsid w:val="005611F7"/>
    <w:rsid w:val="00562A44"/>
    <w:rsid w:val="0056448D"/>
    <w:rsid w:val="00564938"/>
    <w:rsid w:val="0056677E"/>
    <w:rsid w:val="00570D9B"/>
    <w:rsid w:val="005710FB"/>
    <w:rsid w:val="005715FD"/>
    <w:rsid w:val="0057169F"/>
    <w:rsid w:val="005720AE"/>
    <w:rsid w:val="00572C56"/>
    <w:rsid w:val="00573511"/>
    <w:rsid w:val="0057438B"/>
    <w:rsid w:val="005744A3"/>
    <w:rsid w:val="00574F9B"/>
    <w:rsid w:val="00575526"/>
    <w:rsid w:val="0057564D"/>
    <w:rsid w:val="0057569D"/>
    <w:rsid w:val="00580DF5"/>
    <w:rsid w:val="00581881"/>
    <w:rsid w:val="00581EAD"/>
    <w:rsid w:val="00581EB3"/>
    <w:rsid w:val="005825A6"/>
    <w:rsid w:val="0058262B"/>
    <w:rsid w:val="00583C17"/>
    <w:rsid w:val="00585086"/>
    <w:rsid w:val="00585162"/>
    <w:rsid w:val="0058540B"/>
    <w:rsid w:val="00585416"/>
    <w:rsid w:val="005859EE"/>
    <w:rsid w:val="00586008"/>
    <w:rsid w:val="005864E4"/>
    <w:rsid w:val="005872BA"/>
    <w:rsid w:val="005900E2"/>
    <w:rsid w:val="00590869"/>
    <w:rsid w:val="00590FB5"/>
    <w:rsid w:val="005914DD"/>
    <w:rsid w:val="00593518"/>
    <w:rsid w:val="0059396D"/>
    <w:rsid w:val="005943BC"/>
    <w:rsid w:val="00594B1B"/>
    <w:rsid w:val="00594B86"/>
    <w:rsid w:val="00594C89"/>
    <w:rsid w:val="00594D77"/>
    <w:rsid w:val="005950AC"/>
    <w:rsid w:val="0059517C"/>
    <w:rsid w:val="00595786"/>
    <w:rsid w:val="0059644E"/>
    <w:rsid w:val="00596719"/>
    <w:rsid w:val="005969E4"/>
    <w:rsid w:val="00596D12"/>
    <w:rsid w:val="00596D25"/>
    <w:rsid w:val="0059715D"/>
    <w:rsid w:val="005A06B7"/>
    <w:rsid w:val="005A0753"/>
    <w:rsid w:val="005A0978"/>
    <w:rsid w:val="005A0A98"/>
    <w:rsid w:val="005A0AF2"/>
    <w:rsid w:val="005A0B2E"/>
    <w:rsid w:val="005A0E52"/>
    <w:rsid w:val="005A1759"/>
    <w:rsid w:val="005A23F9"/>
    <w:rsid w:val="005A375F"/>
    <w:rsid w:val="005A3CA6"/>
    <w:rsid w:val="005A3E9D"/>
    <w:rsid w:val="005A4160"/>
    <w:rsid w:val="005A4A17"/>
    <w:rsid w:val="005A4D77"/>
    <w:rsid w:val="005A6723"/>
    <w:rsid w:val="005A68A7"/>
    <w:rsid w:val="005A6F34"/>
    <w:rsid w:val="005A6F7A"/>
    <w:rsid w:val="005A7144"/>
    <w:rsid w:val="005A7482"/>
    <w:rsid w:val="005B06EE"/>
    <w:rsid w:val="005B2C40"/>
    <w:rsid w:val="005B2EDD"/>
    <w:rsid w:val="005B2F9F"/>
    <w:rsid w:val="005B4528"/>
    <w:rsid w:val="005B47C7"/>
    <w:rsid w:val="005B4C8F"/>
    <w:rsid w:val="005B50BC"/>
    <w:rsid w:val="005B73A9"/>
    <w:rsid w:val="005B7D68"/>
    <w:rsid w:val="005B7EB3"/>
    <w:rsid w:val="005C0039"/>
    <w:rsid w:val="005C0595"/>
    <w:rsid w:val="005C1A65"/>
    <w:rsid w:val="005C1ED2"/>
    <w:rsid w:val="005C25A0"/>
    <w:rsid w:val="005C2BBA"/>
    <w:rsid w:val="005C30A3"/>
    <w:rsid w:val="005C31D9"/>
    <w:rsid w:val="005C3A3E"/>
    <w:rsid w:val="005C4E3E"/>
    <w:rsid w:val="005C5AAA"/>
    <w:rsid w:val="005C5BAB"/>
    <w:rsid w:val="005C5BDB"/>
    <w:rsid w:val="005C5BEC"/>
    <w:rsid w:val="005D02DE"/>
    <w:rsid w:val="005D0E98"/>
    <w:rsid w:val="005D1583"/>
    <w:rsid w:val="005D2DE0"/>
    <w:rsid w:val="005D36AB"/>
    <w:rsid w:val="005D4594"/>
    <w:rsid w:val="005D4701"/>
    <w:rsid w:val="005D4C2F"/>
    <w:rsid w:val="005D4DF7"/>
    <w:rsid w:val="005D4F48"/>
    <w:rsid w:val="005D5825"/>
    <w:rsid w:val="005D5897"/>
    <w:rsid w:val="005D72D3"/>
    <w:rsid w:val="005D7701"/>
    <w:rsid w:val="005D7FFE"/>
    <w:rsid w:val="005E09B9"/>
    <w:rsid w:val="005E1497"/>
    <w:rsid w:val="005E19FB"/>
    <w:rsid w:val="005E1D51"/>
    <w:rsid w:val="005E29EE"/>
    <w:rsid w:val="005E33C2"/>
    <w:rsid w:val="005E39AD"/>
    <w:rsid w:val="005E4FFA"/>
    <w:rsid w:val="005E5268"/>
    <w:rsid w:val="005E5E07"/>
    <w:rsid w:val="005E773D"/>
    <w:rsid w:val="005F0083"/>
    <w:rsid w:val="005F4BA5"/>
    <w:rsid w:val="005F4BE8"/>
    <w:rsid w:val="005F58ED"/>
    <w:rsid w:val="005F59E1"/>
    <w:rsid w:val="005F5C7C"/>
    <w:rsid w:val="00600EE9"/>
    <w:rsid w:val="00601909"/>
    <w:rsid w:val="006022B7"/>
    <w:rsid w:val="006028C3"/>
    <w:rsid w:val="00602E2D"/>
    <w:rsid w:val="0060325E"/>
    <w:rsid w:val="006032D7"/>
    <w:rsid w:val="0060359B"/>
    <w:rsid w:val="00603865"/>
    <w:rsid w:val="00603C5A"/>
    <w:rsid w:val="00604822"/>
    <w:rsid w:val="00604EFD"/>
    <w:rsid w:val="00606AAE"/>
    <w:rsid w:val="00607377"/>
    <w:rsid w:val="006073FF"/>
    <w:rsid w:val="00610174"/>
    <w:rsid w:val="006107A6"/>
    <w:rsid w:val="0061097F"/>
    <w:rsid w:val="00611361"/>
    <w:rsid w:val="0061136F"/>
    <w:rsid w:val="0061148A"/>
    <w:rsid w:val="00611E53"/>
    <w:rsid w:val="0061249C"/>
    <w:rsid w:val="0061254F"/>
    <w:rsid w:val="00613EDE"/>
    <w:rsid w:val="00614100"/>
    <w:rsid w:val="00614F7E"/>
    <w:rsid w:val="00615244"/>
    <w:rsid w:val="00615952"/>
    <w:rsid w:val="00615B03"/>
    <w:rsid w:val="006162BE"/>
    <w:rsid w:val="00616A35"/>
    <w:rsid w:val="00617CC3"/>
    <w:rsid w:val="00617D24"/>
    <w:rsid w:val="00617EF4"/>
    <w:rsid w:val="0062018F"/>
    <w:rsid w:val="0062049F"/>
    <w:rsid w:val="00620A2E"/>
    <w:rsid w:val="00621614"/>
    <w:rsid w:val="006216C0"/>
    <w:rsid w:val="00623552"/>
    <w:rsid w:val="00623FCA"/>
    <w:rsid w:val="0062431B"/>
    <w:rsid w:val="00626C9A"/>
    <w:rsid w:val="0062731F"/>
    <w:rsid w:val="006300CD"/>
    <w:rsid w:val="00630758"/>
    <w:rsid w:val="0063204F"/>
    <w:rsid w:val="006322AB"/>
    <w:rsid w:val="006338D0"/>
    <w:rsid w:val="00633FA0"/>
    <w:rsid w:val="0063402C"/>
    <w:rsid w:val="00634521"/>
    <w:rsid w:val="006346F5"/>
    <w:rsid w:val="00634F92"/>
    <w:rsid w:val="006356C5"/>
    <w:rsid w:val="0063593A"/>
    <w:rsid w:val="00636724"/>
    <w:rsid w:val="006371D5"/>
    <w:rsid w:val="006377A6"/>
    <w:rsid w:val="006377D3"/>
    <w:rsid w:val="0063798A"/>
    <w:rsid w:val="00637A3D"/>
    <w:rsid w:val="006401E3"/>
    <w:rsid w:val="006411EF"/>
    <w:rsid w:val="00641A41"/>
    <w:rsid w:val="00641B8F"/>
    <w:rsid w:val="00642F02"/>
    <w:rsid w:val="00642FC6"/>
    <w:rsid w:val="00643929"/>
    <w:rsid w:val="00645DC2"/>
    <w:rsid w:val="00646A61"/>
    <w:rsid w:val="00647A06"/>
    <w:rsid w:val="00647C1F"/>
    <w:rsid w:val="00650723"/>
    <w:rsid w:val="00651AC1"/>
    <w:rsid w:val="00652ABB"/>
    <w:rsid w:val="00652D99"/>
    <w:rsid w:val="00654856"/>
    <w:rsid w:val="00654A68"/>
    <w:rsid w:val="00654FE9"/>
    <w:rsid w:val="00655CB6"/>
    <w:rsid w:val="00656278"/>
    <w:rsid w:val="00656EFF"/>
    <w:rsid w:val="00657AD0"/>
    <w:rsid w:val="00660262"/>
    <w:rsid w:val="00660A48"/>
    <w:rsid w:val="00660DB1"/>
    <w:rsid w:val="006630E0"/>
    <w:rsid w:val="00663FF2"/>
    <w:rsid w:val="006642F6"/>
    <w:rsid w:val="00664929"/>
    <w:rsid w:val="006659A3"/>
    <w:rsid w:val="00665A1D"/>
    <w:rsid w:val="00666844"/>
    <w:rsid w:val="00666D6D"/>
    <w:rsid w:val="00667AB3"/>
    <w:rsid w:val="006702BE"/>
    <w:rsid w:val="00670A08"/>
    <w:rsid w:val="00671220"/>
    <w:rsid w:val="006712A8"/>
    <w:rsid w:val="0067238F"/>
    <w:rsid w:val="00672427"/>
    <w:rsid w:val="006731EA"/>
    <w:rsid w:val="006738D0"/>
    <w:rsid w:val="0067429C"/>
    <w:rsid w:val="006748B8"/>
    <w:rsid w:val="006755BA"/>
    <w:rsid w:val="00676B60"/>
    <w:rsid w:val="006775C3"/>
    <w:rsid w:val="00680591"/>
    <w:rsid w:val="006809AC"/>
    <w:rsid w:val="00681552"/>
    <w:rsid w:val="006815D1"/>
    <w:rsid w:val="0068354F"/>
    <w:rsid w:val="00683563"/>
    <w:rsid w:val="00683D26"/>
    <w:rsid w:val="00683EF4"/>
    <w:rsid w:val="00684CB0"/>
    <w:rsid w:val="00685625"/>
    <w:rsid w:val="00687079"/>
    <w:rsid w:val="00687170"/>
    <w:rsid w:val="006878C3"/>
    <w:rsid w:val="00687CA7"/>
    <w:rsid w:val="00687F31"/>
    <w:rsid w:val="0069246F"/>
    <w:rsid w:val="006925CB"/>
    <w:rsid w:val="006926F6"/>
    <w:rsid w:val="0069290A"/>
    <w:rsid w:val="006938B5"/>
    <w:rsid w:val="006957F5"/>
    <w:rsid w:val="006966C8"/>
    <w:rsid w:val="0069749D"/>
    <w:rsid w:val="0069775A"/>
    <w:rsid w:val="00697813"/>
    <w:rsid w:val="0069797E"/>
    <w:rsid w:val="006A0C70"/>
    <w:rsid w:val="006A2CDA"/>
    <w:rsid w:val="006A3C00"/>
    <w:rsid w:val="006A3EE8"/>
    <w:rsid w:val="006A45D4"/>
    <w:rsid w:val="006A48DA"/>
    <w:rsid w:val="006A4A2A"/>
    <w:rsid w:val="006A5313"/>
    <w:rsid w:val="006A5636"/>
    <w:rsid w:val="006A72BF"/>
    <w:rsid w:val="006A72DC"/>
    <w:rsid w:val="006A7405"/>
    <w:rsid w:val="006A7638"/>
    <w:rsid w:val="006A7772"/>
    <w:rsid w:val="006B03F2"/>
    <w:rsid w:val="006B0901"/>
    <w:rsid w:val="006B092C"/>
    <w:rsid w:val="006B132E"/>
    <w:rsid w:val="006B135B"/>
    <w:rsid w:val="006B2893"/>
    <w:rsid w:val="006B298B"/>
    <w:rsid w:val="006B2C58"/>
    <w:rsid w:val="006B2DD4"/>
    <w:rsid w:val="006B2F5F"/>
    <w:rsid w:val="006B36CE"/>
    <w:rsid w:val="006B37DC"/>
    <w:rsid w:val="006B410E"/>
    <w:rsid w:val="006B4386"/>
    <w:rsid w:val="006B4F68"/>
    <w:rsid w:val="006B5E5B"/>
    <w:rsid w:val="006B669C"/>
    <w:rsid w:val="006C0191"/>
    <w:rsid w:val="006C0592"/>
    <w:rsid w:val="006C1663"/>
    <w:rsid w:val="006C248F"/>
    <w:rsid w:val="006C26C2"/>
    <w:rsid w:val="006C272E"/>
    <w:rsid w:val="006C29C6"/>
    <w:rsid w:val="006C2CCE"/>
    <w:rsid w:val="006C44FF"/>
    <w:rsid w:val="006C490B"/>
    <w:rsid w:val="006C4CF3"/>
    <w:rsid w:val="006C5479"/>
    <w:rsid w:val="006C5538"/>
    <w:rsid w:val="006C570E"/>
    <w:rsid w:val="006C575D"/>
    <w:rsid w:val="006C5F81"/>
    <w:rsid w:val="006C6FCC"/>
    <w:rsid w:val="006C70D0"/>
    <w:rsid w:val="006C7552"/>
    <w:rsid w:val="006D0E24"/>
    <w:rsid w:val="006D13B5"/>
    <w:rsid w:val="006D18E3"/>
    <w:rsid w:val="006D1A7F"/>
    <w:rsid w:val="006D1B91"/>
    <w:rsid w:val="006D1D95"/>
    <w:rsid w:val="006D2EAE"/>
    <w:rsid w:val="006D34E5"/>
    <w:rsid w:val="006D3576"/>
    <w:rsid w:val="006D409C"/>
    <w:rsid w:val="006D4DF6"/>
    <w:rsid w:val="006D4E45"/>
    <w:rsid w:val="006D5126"/>
    <w:rsid w:val="006D578C"/>
    <w:rsid w:val="006D5840"/>
    <w:rsid w:val="006D5D90"/>
    <w:rsid w:val="006D639E"/>
    <w:rsid w:val="006D689C"/>
    <w:rsid w:val="006D6A0B"/>
    <w:rsid w:val="006D71D1"/>
    <w:rsid w:val="006D793F"/>
    <w:rsid w:val="006D79E0"/>
    <w:rsid w:val="006D7FC4"/>
    <w:rsid w:val="006E0181"/>
    <w:rsid w:val="006E0388"/>
    <w:rsid w:val="006E12FF"/>
    <w:rsid w:val="006E18E3"/>
    <w:rsid w:val="006E1BCC"/>
    <w:rsid w:val="006E1C8B"/>
    <w:rsid w:val="006E206D"/>
    <w:rsid w:val="006E2195"/>
    <w:rsid w:val="006E235E"/>
    <w:rsid w:val="006E2433"/>
    <w:rsid w:val="006E2612"/>
    <w:rsid w:val="006E3665"/>
    <w:rsid w:val="006E3833"/>
    <w:rsid w:val="006E3879"/>
    <w:rsid w:val="006E3FD8"/>
    <w:rsid w:val="006E404B"/>
    <w:rsid w:val="006E54BB"/>
    <w:rsid w:val="006E6014"/>
    <w:rsid w:val="006E607E"/>
    <w:rsid w:val="006E6E0F"/>
    <w:rsid w:val="006E6EE0"/>
    <w:rsid w:val="006F0501"/>
    <w:rsid w:val="006F058C"/>
    <w:rsid w:val="006F067D"/>
    <w:rsid w:val="006F0E86"/>
    <w:rsid w:val="006F1464"/>
    <w:rsid w:val="006F181E"/>
    <w:rsid w:val="006F20DC"/>
    <w:rsid w:val="006F36E5"/>
    <w:rsid w:val="006F37E9"/>
    <w:rsid w:val="006F43CF"/>
    <w:rsid w:val="006F512C"/>
    <w:rsid w:val="006F5DAE"/>
    <w:rsid w:val="006F6B6F"/>
    <w:rsid w:val="006F6E59"/>
    <w:rsid w:val="006F76A9"/>
    <w:rsid w:val="006F7B6C"/>
    <w:rsid w:val="0070036B"/>
    <w:rsid w:val="0070085B"/>
    <w:rsid w:val="00701347"/>
    <w:rsid w:val="00701798"/>
    <w:rsid w:val="0070294A"/>
    <w:rsid w:val="00702C09"/>
    <w:rsid w:val="007030BB"/>
    <w:rsid w:val="007038F0"/>
    <w:rsid w:val="007040FF"/>
    <w:rsid w:val="00704786"/>
    <w:rsid w:val="00705DF9"/>
    <w:rsid w:val="007064BB"/>
    <w:rsid w:val="007065C8"/>
    <w:rsid w:val="00706C5D"/>
    <w:rsid w:val="007076EC"/>
    <w:rsid w:val="007078D7"/>
    <w:rsid w:val="007104CD"/>
    <w:rsid w:val="00710C89"/>
    <w:rsid w:val="007114D8"/>
    <w:rsid w:val="00712328"/>
    <w:rsid w:val="00713366"/>
    <w:rsid w:val="007140E7"/>
    <w:rsid w:val="007154A0"/>
    <w:rsid w:val="007159EF"/>
    <w:rsid w:val="0071630A"/>
    <w:rsid w:val="0071668C"/>
    <w:rsid w:val="00716A48"/>
    <w:rsid w:val="00716FF0"/>
    <w:rsid w:val="00717753"/>
    <w:rsid w:val="00720EF5"/>
    <w:rsid w:val="0072155C"/>
    <w:rsid w:val="007224E4"/>
    <w:rsid w:val="00722EE9"/>
    <w:rsid w:val="0072384F"/>
    <w:rsid w:val="00724881"/>
    <w:rsid w:val="00724C2F"/>
    <w:rsid w:val="00724F66"/>
    <w:rsid w:val="007265D8"/>
    <w:rsid w:val="00726B44"/>
    <w:rsid w:val="0072740D"/>
    <w:rsid w:val="007311D7"/>
    <w:rsid w:val="00731494"/>
    <w:rsid w:val="00732151"/>
    <w:rsid w:val="00732536"/>
    <w:rsid w:val="00732922"/>
    <w:rsid w:val="00732C1B"/>
    <w:rsid w:val="00732CEE"/>
    <w:rsid w:val="007330EA"/>
    <w:rsid w:val="007331AB"/>
    <w:rsid w:val="00734365"/>
    <w:rsid w:val="0073451B"/>
    <w:rsid w:val="00734709"/>
    <w:rsid w:val="00734824"/>
    <w:rsid w:val="00734971"/>
    <w:rsid w:val="00736158"/>
    <w:rsid w:val="0073651D"/>
    <w:rsid w:val="0073697E"/>
    <w:rsid w:val="00736F94"/>
    <w:rsid w:val="00737B6E"/>
    <w:rsid w:val="00737E9F"/>
    <w:rsid w:val="007400CC"/>
    <w:rsid w:val="00740757"/>
    <w:rsid w:val="007407A5"/>
    <w:rsid w:val="007408AB"/>
    <w:rsid w:val="00741093"/>
    <w:rsid w:val="00741F5C"/>
    <w:rsid w:val="00744304"/>
    <w:rsid w:val="00744E8C"/>
    <w:rsid w:val="007452A0"/>
    <w:rsid w:val="0074532D"/>
    <w:rsid w:val="00746202"/>
    <w:rsid w:val="0074652B"/>
    <w:rsid w:val="007479BD"/>
    <w:rsid w:val="00750996"/>
    <w:rsid w:val="007514B7"/>
    <w:rsid w:val="007515A4"/>
    <w:rsid w:val="0075162E"/>
    <w:rsid w:val="00751A76"/>
    <w:rsid w:val="00752C75"/>
    <w:rsid w:val="00752DEF"/>
    <w:rsid w:val="00752E64"/>
    <w:rsid w:val="007530C5"/>
    <w:rsid w:val="00754034"/>
    <w:rsid w:val="007551C8"/>
    <w:rsid w:val="007552DD"/>
    <w:rsid w:val="00755A10"/>
    <w:rsid w:val="00755B5D"/>
    <w:rsid w:val="00755B9A"/>
    <w:rsid w:val="00755FC9"/>
    <w:rsid w:val="00756229"/>
    <w:rsid w:val="00756556"/>
    <w:rsid w:val="007579D8"/>
    <w:rsid w:val="00757F01"/>
    <w:rsid w:val="00757FF4"/>
    <w:rsid w:val="00761604"/>
    <w:rsid w:val="007618C4"/>
    <w:rsid w:val="0076210D"/>
    <w:rsid w:val="00762491"/>
    <w:rsid w:val="00762C77"/>
    <w:rsid w:val="00762CE5"/>
    <w:rsid w:val="00763960"/>
    <w:rsid w:val="00763E5B"/>
    <w:rsid w:val="0076468C"/>
    <w:rsid w:val="007655D5"/>
    <w:rsid w:val="00765911"/>
    <w:rsid w:val="007665CF"/>
    <w:rsid w:val="00766BD4"/>
    <w:rsid w:val="00766EAC"/>
    <w:rsid w:val="00767181"/>
    <w:rsid w:val="00767980"/>
    <w:rsid w:val="00767A95"/>
    <w:rsid w:val="00770198"/>
    <w:rsid w:val="007704E1"/>
    <w:rsid w:val="00770B19"/>
    <w:rsid w:val="00770BF0"/>
    <w:rsid w:val="00770CAE"/>
    <w:rsid w:val="00771F48"/>
    <w:rsid w:val="00773897"/>
    <w:rsid w:val="00773CE9"/>
    <w:rsid w:val="007740F8"/>
    <w:rsid w:val="007743D4"/>
    <w:rsid w:val="0077463F"/>
    <w:rsid w:val="007753CD"/>
    <w:rsid w:val="00776399"/>
    <w:rsid w:val="00776420"/>
    <w:rsid w:val="00776ACC"/>
    <w:rsid w:val="00777979"/>
    <w:rsid w:val="00777FCE"/>
    <w:rsid w:val="00781A1C"/>
    <w:rsid w:val="00781D6D"/>
    <w:rsid w:val="0078240B"/>
    <w:rsid w:val="00782D35"/>
    <w:rsid w:val="007836EA"/>
    <w:rsid w:val="007837D2"/>
    <w:rsid w:val="007840A3"/>
    <w:rsid w:val="00784479"/>
    <w:rsid w:val="007846E0"/>
    <w:rsid w:val="00784CDA"/>
    <w:rsid w:val="00784DDD"/>
    <w:rsid w:val="007856DB"/>
    <w:rsid w:val="00785737"/>
    <w:rsid w:val="00786AA6"/>
    <w:rsid w:val="007870E9"/>
    <w:rsid w:val="00787F10"/>
    <w:rsid w:val="007906C4"/>
    <w:rsid w:val="00790CA9"/>
    <w:rsid w:val="007916C1"/>
    <w:rsid w:val="007940EA"/>
    <w:rsid w:val="00794A10"/>
    <w:rsid w:val="0079505C"/>
    <w:rsid w:val="00795C4C"/>
    <w:rsid w:val="00795C5D"/>
    <w:rsid w:val="00796500"/>
    <w:rsid w:val="007967E8"/>
    <w:rsid w:val="0079705E"/>
    <w:rsid w:val="0079742B"/>
    <w:rsid w:val="00797699"/>
    <w:rsid w:val="00797881"/>
    <w:rsid w:val="007A03D2"/>
    <w:rsid w:val="007A0570"/>
    <w:rsid w:val="007A0959"/>
    <w:rsid w:val="007A0C0E"/>
    <w:rsid w:val="007A0C9C"/>
    <w:rsid w:val="007A20A9"/>
    <w:rsid w:val="007A2170"/>
    <w:rsid w:val="007A22BF"/>
    <w:rsid w:val="007A303F"/>
    <w:rsid w:val="007A3323"/>
    <w:rsid w:val="007A386E"/>
    <w:rsid w:val="007A3A92"/>
    <w:rsid w:val="007A44C9"/>
    <w:rsid w:val="007A4A26"/>
    <w:rsid w:val="007A4C9D"/>
    <w:rsid w:val="007A543F"/>
    <w:rsid w:val="007A55E0"/>
    <w:rsid w:val="007A593E"/>
    <w:rsid w:val="007A5DD3"/>
    <w:rsid w:val="007A60EE"/>
    <w:rsid w:val="007A64A3"/>
    <w:rsid w:val="007A6996"/>
    <w:rsid w:val="007A79CC"/>
    <w:rsid w:val="007B026B"/>
    <w:rsid w:val="007B14F7"/>
    <w:rsid w:val="007B1791"/>
    <w:rsid w:val="007B3210"/>
    <w:rsid w:val="007B3EA2"/>
    <w:rsid w:val="007B5CE6"/>
    <w:rsid w:val="007B68CB"/>
    <w:rsid w:val="007B72B8"/>
    <w:rsid w:val="007B7A58"/>
    <w:rsid w:val="007C0EC6"/>
    <w:rsid w:val="007C14C0"/>
    <w:rsid w:val="007C15CA"/>
    <w:rsid w:val="007C18AA"/>
    <w:rsid w:val="007C203D"/>
    <w:rsid w:val="007C21B5"/>
    <w:rsid w:val="007C2681"/>
    <w:rsid w:val="007C29E5"/>
    <w:rsid w:val="007C2B1A"/>
    <w:rsid w:val="007C2E94"/>
    <w:rsid w:val="007C3526"/>
    <w:rsid w:val="007C3797"/>
    <w:rsid w:val="007C42BF"/>
    <w:rsid w:val="007C4C75"/>
    <w:rsid w:val="007C588B"/>
    <w:rsid w:val="007C5BB1"/>
    <w:rsid w:val="007C603D"/>
    <w:rsid w:val="007C770E"/>
    <w:rsid w:val="007C7713"/>
    <w:rsid w:val="007C7B4C"/>
    <w:rsid w:val="007D0C62"/>
    <w:rsid w:val="007D0EDD"/>
    <w:rsid w:val="007D1167"/>
    <w:rsid w:val="007D152C"/>
    <w:rsid w:val="007D162D"/>
    <w:rsid w:val="007D2A22"/>
    <w:rsid w:val="007D2E7A"/>
    <w:rsid w:val="007D522E"/>
    <w:rsid w:val="007D5F56"/>
    <w:rsid w:val="007D7507"/>
    <w:rsid w:val="007D7A80"/>
    <w:rsid w:val="007D7C37"/>
    <w:rsid w:val="007D7DAA"/>
    <w:rsid w:val="007E0F30"/>
    <w:rsid w:val="007E146F"/>
    <w:rsid w:val="007E1FB0"/>
    <w:rsid w:val="007E20EA"/>
    <w:rsid w:val="007E2278"/>
    <w:rsid w:val="007E2448"/>
    <w:rsid w:val="007E4BD2"/>
    <w:rsid w:val="007E5168"/>
    <w:rsid w:val="007E5EC3"/>
    <w:rsid w:val="007E62B3"/>
    <w:rsid w:val="007E6DFD"/>
    <w:rsid w:val="007E705D"/>
    <w:rsid w:val="007E76A4"/>
    <w:rsid w:val="007F0067"/>
    <w:rsid w:val="007F0763"/>
    <w:rsid w:val="007F0F1F"/>
    <w:rsid w:val="007F1545"/>
    <w:rsid w:val="007F2B73"/>
    <w:rsid w:val="007F2DC6"/>
    <w:rsid w:val="007F439B"/>
    <w:rsid w:val="007F4CA1"/>
    <w:rsid w:val="007F69C2"/>
    <w:rsid w:val="007F7326"/>
    <w:rsid w:val="007F7612"/>
    <w:rsid w:val="007F7A2C"/>
    <w:rsid w:val="007F7CA5"/>
    <w:rsid w:val="007F7CB3"/>
    <w:rsid w:val="0080055C"/>
    <w:rsid w:val="0080057A"/>
    <w:rsid w:val="00800D81"/>
    <w:rsid w:val="00801393"/>
    <w:rsid w:val="008013B9"/>
    <w:rsid w:val="008013CD"/>
    <w:rsid w:val="008016B8"/>
    <w:rsid w:val="00801C22"/>
    <w:rsid w:val="00801C3C"/>
    <w:rsid w:val="00801C46"/>
    <w:rsid w:val="00802748"/>
    <w:rsid w:val="00802DDA"/>
    <w:rsid w:val="00802F88"/>
    <w:rsid w:val="0080304D"/>
    <w:rsid w:val="00803505"/>
    <w:rsid w:val="008037D0"/>
    <w:rsid w:val="00804A90"/>
    <w:rsid w:val="00805339"/>
    <w:rsid w:val="00805589"/>
    <w:rsid w:val="008060BC"/>
    <w:rsid w:val="008063F8"/>
    <w:rsid w:val="00807135"/>
    <w:rsid w:val="00807183"/>
    <w:rsid w:val="008107B1"/>
    <w:rsid w:val="008107E9"/>
    <w:rsid w:val="008111D1"/>
    <w:rsid w:val="00811466"/>
    <w:rsid w:val="008115C8"/>
    <w:rsid w:val="00811BE9"/>
    <w:rsid w:val="008123E5"/>
    <w:rsid w:val="0081293E"/>
    <w:rsid w:val="00812CED"/>
    <w:rsid w:val="008136A5"/>
    <w:rsid w:val="0081419D"/>
    <w:rsid w:val="0081443D"/>
    <w:rsid w:val="008149B8"/>
    <w:rsid w:val="00815465"/>
    <w:rsid w:val="00815A1C"/>
    <w:rsid w:val="00815FB7"/>
    <w:rsid w:val="00816455"/>
    <w:rsid w:val="008164D7"/>
    <w:rsid w:val="00817669"/>
    <w:rsid w:val="00817858"/>
    <w:rsid w:val="00817E9A"/>
    <w:rsid w:val="00822192"/>
    <w:rsid w:val="008224F9"/>
    <w:rsid w:val="00822DE6"/>
    <w:rsid w:val="00823952"/>
    <w:rsid w:val="008239AA"/>
    <w:rsid w:val="00823CCB"/>
    <w:rsid w:val="00824FED"/>
    <w:rsid w:val="008251B7"/>
    <w:rsid w:val="008251EF"/>
    <w:rsid w:val="008267C5"/>
    <w:rsid w:val="0082685F"/>
    <w:rsid w:val="00826E66"/>
    <w:rsid w:val="00827A80"/>
    <w:rsid w:val="00827FA7"/>
    <w:rsid w:val="008306BD"/>
    <w:rsid w:val="00830B93"/>
    <w:rsid w:val="00830FDE"/>
    <w:rsid w:val="008313FC"/>
    <w:rsid w:val="0083162B"/>
    <w:rsid w:val="00831A80"/>
    <w:rsid w:val="00831E4A"/>
    <w:rsid w:val="00831EC9"/>
    <w:rsid w:val="00831FF0"/>
    <w:rsid w:val="00832934"/>
    <w:rsid w:val="008329E3"/>
    <w:rsid w:val="00833338"/>
    <w:rsid w:val="008334BB"/>
    <w:rsid w:val="00833743"/>
    <w:rsid w:val="00833AAC"/>
    <w:rsid w:val="00833E72"/>
    <w:rsid w:val="008340A4"/>
    <w:rsid w:val="00834138"/>
    <w:rsid w:val="008348BD"/>
    <w:rsid w:val="00834AE1"/>
    <w:rsid w:val="00834E0A"/>
    <w:rsid w:val="00835314"/>
    <w:rsid w:val="00835621"/>
    <w:rsid w:val="00835B8D"/>
    <w:rsid w:val="0083685E"/>
    <w:rsid w:val="00836ED5"/>
    <w:rsid w:val="00836F30"/>
    <w:rsid w:val="00837446"/>
    <w:rsid w:val="0084143C"/>
    <w:rsid w:val="0084170B"/>
    <w:rsid w:val="00842125"/>
    <w:rsid w:val="008440B2"/>
    <w:rsid w:val="008452DE"/>
    <w:rsid w:val="008454B7"/>
    <w:rsid w:val="008463CD"/>
    <w:rsid w:val="00846DDB"/>
    <w:rsid w:val="00847163"/>
    <w:rsid w:val="00850B85"/>
    <w:rsid w:val="00850BD7"/>
    <w:rsid w:val="00850FC6"/>
    <w:rsid w:val="0085103F"/>
    <w:rsid w:val="00851964"/>
    <w:rsid w:val="00851DEA"/>
    <w:rsid w:val="00851E09"/>
    <w:rsid w:val="00852324"/>
    <w:rsid w:val="0085492F"/>
    <w:rsid w:val="0085622D"/>
    <w:rsid w:val="00856386"/>
    <w:rsid w:val="008566BF"/>
    <w:rsid w:val="00856902"/>
    <w:rsid w:val="00857E7D"/>
    <w:rsid w:val="008602DB"/>
    <w:rsid w:val="008606E3"/>
    <w:rsid w:val="00860C72"/>
    <w:rsid w:val="00860FAA"/>
    <w:rsid w:val="008611E9"/>
    <w:rsid w:val="00861BB9"/>
    <w:rsid w:val="00862872"/>
    <w:rsid w:val="00865645"/>
    <w:rsid w:val="00865BE1"/>
    <w:rsid w:val="00866462"/>
    <w:rsid w:val="00866626"/>
    <w:rsid w:val="008666F1"/>
    <w:rsid w:val="00867BF4"/>
    <w:rsid w:val="0087000D"/>
    <w:rsid w:val="0087037B"/>
    <w:rsid w:val="008709CF"/>
    <w:rsid w:val="0087135F"/>
    <w:rsid w:val="0087138B"/>
    <w:rsid w:val="0087148F"/>
    <w:rsid w:val="008714A6"/>
    <w:rsid w:val="008719A8"/>
    <w:rsid w:val="00872188"/>
    <w:rsid w:val="0087224D"/>
    <w:rsid w:val="00872396"/>
    <w:rsid w:val="008729C2"/>
    <w:rsid w:val="00872BC4"/>
    <w:rsid w:val="00872D94"/>
    <w:rsid w:val="0087472E"/>
    <w:rsid w:val="008747F3"/>
    <w:rsid w:val="00874D40"/>
    <w:rsid w:val="00875484"/>
    <w:rsid w:val="00875805"/>
    <w:rsid w:val="00875D1A"/>
    <w:rsid w:val="0087675E"/>
    <w:rsid w:val="008775A0"/>
    <w:rsid w:val="0087765E"/>
    <w:rsid w:val="00880364"/>
    <w:rsid w:val="00880514"/>
    <w:rsid w:val="00880BA7"/>
    <w:rsid w:val="0088127F"/>
    <w:rsid w:val="00883A72"/>
    <w:rsid w:val="008852B3"/>
    <w:rsid w:val="00886C7D"/>
    <w:rsid w:val="0088784C"/>
    <w:rsid w:val="00890766"/>
    <w:rsid w:val="008912C0"/>
    <w:rsid w:val="00891501"/>
    <w:rsid w:val="00891592"/>
    <w:rsid w:val="00891E9E"/>
    <w:rsid w:val="00892931"/>
    <w:rsid w:val="008937ED"/>
    <w:rsid w:val="008949D7"/>
    <w:rsid w:val="00894C1B"/>
    <w:rsid w:val="00894F1F"/>
    <w:rsid w:val="0089725E"/>
    <w:rsid w:val="008A0D45"/>
    <w:rsid w:val="008A1021"/>
    <w:rsid w:val="008A1147"/>
    <w:rsid w:val="008A133D"/>
    <w:rsid w:val="008A17B9"/>
    <w:rsid w:val="008A2037"/>
    <w:rsid w:val="008A2231"/>
    <w:rsid w:val="008A2F68"/>
    <w:rsid w:val="008A3779"/>
    <w:rsid w:val="008A398C"/>
    <w:rsid w:val="008A45E4"/>
    <w:rsid w:val="008A4BE7"/>
    <w:rsid w:val="008A5398"/>
    <w:rsid w:val="008A54A3"/>
    <w:rsid w:val="008A5A80"/>
    <w:rsid w:val="008A5C1D"/>
    <w:rsid w:val="008A5F20"/>
    <w:rsid w:val="008A6275"/>
    <w:rsid w:val="008A62D7"/>
    <w:rsid w:val="008A6941"/>
    <w:rsid w:val="008A6C8F"/>
    <w:rsid w:val="008A710A"/>
    <w:rsid w:val="008A7114"/>
    <w:rsid w:val="008A72FA"/>
    <w:rsid w:val="008A743B"/>
    <w:rsid w:val="008A7CCB"/>
    <w:rsid w:val="008A7D10"/>
    <w:rsid w:val="008B05D3"/>
    <w:rsid w:val="008B114F"/>
    <w:rsid w:val="008B149A"/>
    <w:rsid w:val="008B1D57"/>
    <w:rsid w:val="008B22F6"/>
    <w:rsid w:val="008B44D7"/>
    <w:rsid w:val="008B46F0"/>
    <w:rsid w:val="008B47D4"/>
    <w:rsid w:val="008B4B51"/>
    <w:rsid w:val="008B4FA6"/>
    <w:rsid w:val="008B5282"/>
    <w:rsid w:val="008B5FF5"/>
    <w:rsid w:val="008B6A1A"/>
    <w:rsid w:val="008B77C8"/>
    <w:rsid w:val="008B785C"/>
    <w:rsid w:val="008B7C17"/>
    <w:rsid w:val="008C0403"/>
    <w:rsid w:val="008C041B"/>
    <w:rsid w:val="008C0EE8"/>
    <w:rsid w:val="008C1CDC"/>
    <w:rsid w:val="008C22EB"/>
    <w:rsid w:val="008C2B82"/>
    <w:rsid w:val="008C2D01"/>
    <w:rsid w:val="008C3301"/>
    <w:rsid w:val="008C35D5"/>
    <w:rsid w:val="008C3D70"/>
    <w:rsid w:val="008C40E6"/>
    <w:rsid w:val="008C47BE"/>
    <w:rsid w:val="008C4A8B"/>
    <w:rsid w:val="008C4F49"/>
    <w:rsid w:val="008C5EC9"/>
    <w:rsid w:val="008C65AD"/>
    <w:rsid w:val="008C6AAA"/>
    <w:rsid w:val="008C6F28"/>
    <w:rsid w:val="008C741C"/>
    <w:rsid w:val="008C758C"/>
    <w:rsid w:val="008C7F00"/>
    <w:rsid w:val="008D08A9"/>
    <w:rsid w:val="008D0DEB"/>
    <w:rsid w:val="008D0E50"/>
    <w:rsid w:val="008D0F7A"/>
    <w:rsid w:val="008D1E4B"/>
    <w:rsid w:val="008D263D"/>
    <w:rsid w:val="008D2DAD"/>
    <w:rsid w:val="008D3015"/>
    <w:rsid w:val="008D3565"/>
    <w:rsid w:val="008D3707"/>
    <w:rsid w:val="008D48E5"/>
    <w:rsid w:val="008D4DA7"/>
    <w:rsid w:val="008D511B"/>
    <w:rsid w:val="008D5C49"/>
    <w:rsid w:val="008D5D75"/>
    <w:rsid w:val="008D5F35"/>
    <w:rsid w:val="008D609A"/>
    <w:rsid w:val="008D65B2"/>
    <w:rsid w:val="008D682A"/>
    <w:rsid w:val="008D6834"/>
    <w:rsid w:val="008D6877"/>
    <w:rsid w:val="008D68E4"/>
    <w:rsid w:val="008D72F0"/>
    <w:rsid w:val="008E048A"/>
    <w:rsid w:val="008E0506"/>
    <w:rsid w:val="008E0CFF"/>
    <w:rsid w:val="008E109F"/>
    <w:rsid w:val="008E1171"/>
    <w:rsid w:val="008E11F6"/>
    <w:rsid w:val="008E25EC"/>
    <w:rsid w:val="008E2A19"/>
    <w:rsid w:val="008E2A90"/>
    <w:rsid w:val="008E2AEF"/>
    <w:rsid w:val="008E3198"/>
    <w:rsid w:val="008E3C26"/>
    <w:rsid w:val="008E48DF"/>
    <w:rsid w:val="008E494A"/>
    <w:rsid w:val="008E5002"/>
    <w:rsid w:val="008E5D6B"/>
    <w:rsid w:val="008E72AB"/>
    <w:rsid w:val="008E76F0"/>
    <w:rsid w:val="008E7AA9"/>
    <w:rsid w:val="008E7C76"/>
    <w:rsid w:val="008F0BA8"/>
    <w:rsid w:val="008F10BE"/>
    <w:rsid w:val="008F11D2"/>
    <w:rsid w:val="008F15FE"/>
    <w:rsid w:val="008F19A9"/>
    <w:rsid w:val="008F2688"/>
    <w:rsid w:val="008F2BEC"/>
    <w:rsid w:val="008F2CA8"/>
    <w:rsid w:val="008F2D29"/>
    <w:rsid w:val="008F2DE8"/>
    <w:rsid w:val="008F31B3"/>
    <w:rsid w:val="008F3498"/>
    <w:rsid w:val="008F38F4"/>
    <w:rsid w:val="008F3C31"/>
    <w:rsid w:val="008F47C4"/>
    <w:rsid w:val="008F5187"/>
    <w:rsid w:val="008F55B3"/>
    <w:rsid w:val="008F60D8"/>
    <w:rsid w:val="008F62BB"/>
    <w:rsid w:val="008F73AB"/>
    <w:rsid w:val="008F760A"/>
    <w:rsid w:val="008F787C"/>
    <w:rsid w:val="0090024A"/>
    <w:rsid w:val="00901C36"/>
    <w:rsid w:val="00901DCF"/>
    <w:rsid w:val="00901E27"/>
    <w:rsid w:val="00902727"/>
    <w:rsid w:val="00903112"/>
    <w:rsid w:val="0090312B"/>
    <w:rsid w:val="009049C6"/>
    <w:rsid w:val="0090508D"/>
    <w:rsid w:val="009053CB"/>
    <w:rsid w:val="00905F8E"/>
    <w:rsid w:val="00906D1A"/>
    <w:rsid w:val="00906D3A"/>
    <w:rsid w:val="00906EC9"/>
    <w:rsid w:val="0091023B"/>
    <w:rsid w:val="00911142"/>
    <w:rsid w:val="009112DD"/>
    <w:rsid w:val="009113BD"/>
    <w:rsid w:val="009130CC"/>
    <w:rsid w:val="00913320"/>
    <w:rsid w:val="0091378A"/>
    <w:rsid w:val="00913860"/>
    <w:rsid w:val="00913AB8"/>
    <w:rsid w:val="00913EEB"/>
    <w:rsid w:val="00913FF0"/>
    <w:rsid w:val="00914109"/>
    <w:rsid w:val="0091440B"/>
    <w:rsid w:val="00916008"/>
    <w:rsid w:val="0091660E"/>
    <w:rsid w:val="00916A5C"/>
    <w:rsid w:val="0091736D"/>
    <w:rsid w:val="00917A47"/>
    <w:rsid w:val="00917C0F"/>
    <w:rsid w:val="0092042C"/>
    <w:rsid w:val="009204A6"/>
    <w:rsid w:val="0092055D"/>
    <w:rsid w:val="00923B91"/>
    <w:rsid w:val="00923C62"/>
    <w:rsid w:val="00923CB4"/>
    <w:rsid w:val="00923D01"/>
    <w:rsid w:val="00924190"/>
    <w:rsid w:val="0092524A"/>
    <w:rsid w:val="00926102"/>
    <w:rsid w:val="00926B40"/>
    <w:rsid w:val="0093037A"/>
    <w:rsid w:val="009309E2"/>
    <w:rsid w:val="009312DA"/>
    <w:rsid w:val="0093158F"/>
    <w:rsid w:val="009334BA"/>
    <w:rsid w:val="00933A05"/>
    <w:rsid w:val="00934B33"/>
    <w:rsid w:val="00935693"/>
    <w:rsid w:val="00935D92"/>
    <w:rsid w:val="00936604"/>
    <w:rsid w:val="0093664E"/>
    <w:rsid w:val="009373E9"/>
    <w:rsid w:val="00937447"/>
    <w:rsid w:val="009379AA"/>
    <w:rsid w:val="00937D08"/>
    <w:rsid w:val="0094154D"/>
    <w:rsid w:val="00942146"/>
    <w:rsid w:val="009421A5"/>
    <w:rsid w:val="009423AD"/>
    <w:rsid w:val="0094273A"/>
    <w:rsid w:val="00942E6D"/>
    <w:rsid w:val="009432CF"/>
    <w:rsid w:val="0094353E"/>
    <w:rsid w:val="00943DAC"/>
    <w:rsid w:val="00943F49"/>
    <w:rsid w:val="00944416"/>
    <w:rsid w:val="009448BE"/>
    <w:rsid w:val="00944955"/>
    <w:rsid w:val="009449E0"/>
    <w:rsid w:val="00945228"/>
    <w:rsid w:val="0094659D"/>
    <w:rsid w:val="009471E0"/>
    <w:rsid w:val="00947DE9"/>
    <w:rsid w:val="00947EE9"/>
    <w:rsid w:val="009508B6"/>
    <w:rsid w:val="0095091A"/>
    <w:rsid w:val="00950C00"/>
    <w:rsid w:val="00951399"/>
    <w:rsid w:val="0095155F"/>
    <w:rsid w:val="00951E0B"/>
    <w:rsid w:val="00952AB5"/>
    <w:rsid w:val="00952DAA"/>
    <w:rsid w:val="00952FD2"/>
    <w:rsid w:val="00953D31"/>
    <w:rsid w:val="00954429"/>
    <w:rsid w:val="00955055"/>
    <w:rsid w:val="00955ACE"/>
    <w:rsid w:val="009563CE"/>
    <w:rsid w:val="00957348"/>
    <w:rsid w:val="0095792C"/>
    <w:rsid w:val="0096089B"/>
    <w:rsid w:val="009609EB"/>
    <w:rsid w:val="00960A36"/>
    <w:rsid w:val="00960F7A"/>
    <w:rsid w:val="00961701"/>
    <w:rsid w:val="009617EB"/>
    <w:rsid w:val="00961D7A"/>
    <w:rsid w:val="00962049"/>
    <w:rsid w:val="00962D42"/>
    <w:rsid w:val="00964310"/>
    <w:rsid w:val="009647B0"/>
    <w:rsid w:val="00966F30"/>
    <w:rsid w:val="00967DB4"/>
    <w:rsid w:val="009705B2"/>
    <w:rsid w:val="0097267A"/>
    <w:rsid w:val="009735CD"/>
    <w:rsid w:val="00973D17"/>
    <w:rsid w:val="00973E2E"/>
    <w:rsid w:val="009742F7"/>
    <w:rsid w:val="00976328"/>
    <w:rsid w:val="0097680D"/>
    <w:rsid w:val="00976A34"/>
    <w:rsid w:val="00976C2C"/>
    <w:rsid w:val="00976F4D"/>
    <w:rsid w:val="0097701B"/>
    <w:rsid w:val="00977713"/>
    <w:rsid w:val="00981DB5"/>
    <w:rsid w:val="00981FC9"/>
    <w:rsid w:val="00982438"/>
    <w:rsid w:val="00982680"/>
    <w:rsid w:val="009830E1"/>
    <w:rsid w:val="00983A7B"/>
    <w:rsid w:val="0098404C"/>
    <w:rsid w:val="00984589"/>
    <w:rsid w:val="0098473E"/>
    <w:rsid w:val="00984CFF"/>
    <w:rsid w:val="00984D59"/>
    <w:rsid w:val="00985283"/>
    <w:rsid w:val="00985913"/>
    <w:rsid w:val="00986F43"/>
    <w:rsid w:val="0098763E"/>
    <w:rsid w:val="00992090"/>
    <w:rsid w:val="00992AB4"/>
    <w:rsid w:val="00992C99"/>
    <w:rsid w:val="0099438D"/>
    <w:rsid w:val="00994D18"/>
    <w:rsid w:val="00995492"/>
    <w:rsid w:val="00995992"/>
    <w:rsid w:val="00995ACF"/>
    <w:rsid w:val="00996E06"/>
    <w:rsid w:val="009A03E5"/>
    <w:rsid w:val="009A0F3B"/>
    <w:rsid w:val="009A1BB4"/>
    <w:rsid w:val="009A1D14"/>
    <w:rsid w:val="009A1DF8"/>
    <w:rsid w:val="009A2628"/>
    <w:rsid w:val="009A27EE"/>
    <w:rsid w:val="009A3104"/>
    <w:rsid w:val="009A3200"/>
    <w:rsid w:val="009A329C"/>
    <w:rsid w:val="009A3515"/>
    <w:rsid w:val="009A35C7"/>
    <w:rsid w:val="009A38A4"/>
    <w:rsid w:val="009A3CED"/>
    <w:rsid w:val="009A403B"/>
    <w:rsid w:val="009A4285"/>
    <w:rsid w:val="009A5298"/>
    <w:rsid w:val="009A55EF"/>
    <w:rsid w:val="009A5ABA"/>
    <w:rsid w:val="009A6153"/>
    <w:rsid w:val="009A6F56"/>
    <w:rsid w:val="009A70BB"/>
    <w:rsid w:val="009A7225"/>
    <w:rsid w:val="009A775E"/>
    <w:rsid w:val="009B0897"/>
    <w:rsid w:val="009B0EC9"/>
    <w:rsid w:val="009B1611"/>
    <w:rsid w:val="009B1946"/>
    <w:rsid w:val="009B1967"/>
    <w:rsid w:val="009B1B05"/>
    <w:rsid w:val="009B2E7A"/>
    <w:rsid w:val="009B42E1"/>
    <w:rsid w:val="009B4337"/>
    <w:rsid w:val="009B5730"/>
    <w:rsid w:val="009B6ABA"/>
    <w:rsid w:val="009B6F33"/>
    <w:rsid w:val="009B7095"/>
    <w:rsid w:val="009B7BD9"/>
    <w:rsid w:val="009C05F1"/>
    <w:rsid w:val="009C0824"/>
    <w:rsid w:val="009C122D"/>
    <w:rsid w:val="009C2AEC"/>
    <w:rsid w:val="009C359D"/>
    <w:rsid w:val="009C3D70"/>
    <w:rsid w:val="009C4138"/>
    <w:rsid w:val="009C562F"/>
    <w:rsid w:val="009C649D"/>
    <w:rsid w:val="009C7103"/>
    <w:rsid w:val="009C7561"/>
    <w:rsid w:val="009C7616"/>
    <w:rsid w:val="009C7DD5"/>
    <w:rsid w:val="009C7F77"/>
    <w:rsid w:val="009D1CFF"/>
    <w:rsid w:val="009D20A1"/>
    <w:rsid w:val="009D3E57"/>
    <w:rsid w:val="009D40D6"/>
    <w:rsid w:val="009D4374"/>
    <w:rsid w:val="009D4777"/>
    <w:rsid w:val="009D5646"/>
    <w:rsid w:val="009D5FA5"/>
    <w:rsid w:val="009D6D28"/>
    <w:rsid w:val="009E02BD"/>
    <w:rsid w:val="009E1BF5"/>
    <w:rsid w:val="009E1F09"/>
    <w:rsid w:val="009E20C7"/>
    <w:rsid w:val="009E227D"/>
    <w:rsid w:val="009E2793"/>
    <w:rsid w:val="009E2864"/>
    <w:rsid w:val="009E2C84"/>
    <w:rsid w:val="009E2CCD"/>
    <w:rsid w:val="009E36B0"/>
    <w:rsid w:val="009E4F28"/>
    <w:rsid w:val="009E5019"/>
    <w:rsid w:val="009E6725"/>
    <w:rsid w:val="009E6A3F"/>
    <w:rsid w:val="009E6FE1"/>
    <w:rsid w:val="009F04ED"/>
    <w:rsid w:val="009F188B"/>
    <w:rsid w:val="009F22FE"/>
    <w:rsid w:val="009F293C"/>
    <w:rsid w:val="009F3B71"/>
    <w:rsid w:val="009F4473"/>
    <w:rsid w:val="00A00115"/>
    <w:rsid w:val="00A00638"/>
    <w:rsid w:val="00A01265"/>
    <w:rsid w:val="00A0126E"/>
    <w:rsid w:val="00A013BF"/>
    <w:rsid w:val="00A035D9"/>
    <w:rsid w:val="00A03ACA"/>
    <w:rsid w:val="00A04DEE"/>
    <w:rsid w:val="00A04EDB"/>
    <w:rsid w:val="00A04F1B"/>
    <w:rsid w:val="00A0501B"/>
    <w:rsid w:val="00A0575E"/>
    <w:rsid w:val="00A06116"/>
    <w:rsid w:val="00A0612E"/>
    <w:rsid w:val="00A0779A"/>
    <w:rsid w:val="00A07FCB"/>
    <w:rsid w:val="00A11221"/>
    <w:rsid w:val="00A11DDD"/>
    <w:rsid w:val="00A11F15"/>
    <w:rsid w:val="00A122E8"/>
    <w:rsid w:val="00A126BD"/>
    <w:rsid w:val="00A1283A"/>
    <w:rsid w:val="00A12F03"/>
    <w:rsid w:val="00A1320A"/>
    <w:rsid w:val="00A13B19"/>
    <w:rsid w:val="00A13F55"/>
    <w:rsid w:val="00A142C9"/>
    <w:rsid w:val="00A14947"/>
    <w:rsid w:val="00A14AA3"/>
    <w:rsid w:val="00A15FFF"/>
    <w:rsid w:val="00A16174"/>
    <w:rsid w:val="00A16963"/>
    <w:rsid w:val="00A1784B"/>
    <w:rsid w:val="00A20780"/>
    <w:rsid w:val="00A22149"/>
    <w:rsid w:val="00A22217"/>
    <w:rsid w:val="00A234DF"/>
    <w:rsid w:val="00A235DF"/>
    <w:rsid w:val="00A24EAC"/>
    <w:rsid w:val="00A25818"/>
    <w:rsid w:val="00A2588B"/>
    <w:rsid w:val="00A25B93"/>
    <w:rsid w:val="00A25D4C"/>
    <w:rsid w:val="00A267A7"/>
    <w:rsid w:val="00A2707B"/>
    <w:rsid w:val="00A2769B"/>
    <w:rsid w:val="00A31175"/>
    <w:rsid w:val="00A323B0"/>
    <w:rsid w:val="00A325AE"/>
    <w:rsid w:val="00A32A83"/>
    <w:rsid w:val="00A33257"/>
    <w:rsid w:val="00A33950"/>
    <w:rsid w:val="00A3598D"/>
    <w:rsid w:val="00A36811"/>
    <w:rsid w:val="00A368DB"/>
    <w:rsid w:val="00A37713"/>
    <w:rsid w:val="00A37C69"/>
    <w:rsid w:val="00A40DD9"/>
    <w:rsid w:val="00A40E9E"/>
    <w:rsid w:val="00A42029"/>
    <w:rsid w:val="00A420D9"/>
    <w:rsid w:val="00A423AA"/>
    <w:rsid w:val="00A42BA1"/>
    <w:rsid w:val="00A42F40"/>
    <w:rsid w:val="00A43ACA"/>
    <w:rsid w:val="00A44419"/>
    <w:rsid w:val="00A44B5B"/>
    <w:rsid w:val="00A44DF9"/>
    <w:rsid w:val="00A45AF5"/>
    <w:rsid w:val="00A45E60"/>
    <w:rsid w:val="00A473C2"/>
    <w:rsid w:val="00A473C5"/>
    <w:rsid w:val="00A476DD"/>
    <w:rsid w:val="00A479C7"/>
    <w:rsid w:val="00A51F10"/>
    <w:rsid w:val="00A52687"/>
    <w:rsid w:val="00A52EE9"/>
    <w:rsid w:val="00A53003"/>
    <w:rsid w:val="00A53145"/>
    <w:rsid w:val="00A53EC6"/>
    <w:rsid w:val="00A54197"/>
    <w:rsid w:val="00A547BF"/>
    <w:rsid w:val="00A550DB"/>
    <w:rsid w:val="00A55B3C"/>
    <w:rsid w:val="00A55C0F"/>
    <w:rsid w:val="00A56AC7"/>
    <w:rsid w:val="00A57ACF"/>
    <w:rsid w:val="00A60244"/>
    <w:rsid w:val="00A61852"/>
    <w:rsid w:val="00A62E50"/>
    <w:rsid w:val="00A64B97"/>
    <w:rsid w:val="00A6515A"/>
    <w:rsid w:val="00A654B1"/>
    <w:rsid w:val="00A65883"/>
    <w:rsid w:val="00A65EA2"/>
    <w:rsid w:val="00A6660C"/>
    <w:rsid w:val="00A66D5C"/>
    <w:rsid w:val="00A66FA1"/>
    <w:rsid w:val="00A67BE5"/>
    <w:rsid w:val="00A70100"/>
    <w:rsid w:val="00A703A6"/>
    <w:rsid w:val="00A70DEB"/>
    <w:rsid w:val="00A70FD2"/>
    <w:rsid w:val="00A718E1"/>
    <w:rsid w:val="00A71BF0"/>
    <w:rsid w:val="00A71F0B"/>
    <w:rsid w:val="00A72613"/>
    <w:rsid w:val="00A728A1"/>
    <w:rsid w:val="00A7376A"/>
    <w:rsid w:val="00A749C7"/>
    <w:rsid w:val="00A74A88"/>
    <w:rsid w:val="00A74F18"/>
    <w:rsid w:val="00A75480"/>
    <w:rsid w:val="00A75AD7"/>
    <w:rsid w:val="00A75C57"/>
    <w:rsid w:val="00A760D6"/>
    <w:rsid w:val="00A765C6"/>
    <w:rsid w:val="00A77AB0"/>
    <w:rsid w:val="00A8074F"/>
    <w:rsid w:val="00A814D9"/>
    <w:rsid w:val="00A81645"/>
    <w:rsid w:val="00A81CEE"/>
    <w:rsid w:val="00A81E46"/>
    <w:rsid w:val="00A8240C"/>
    <w:rsid w:val="00A829BB"/>
    <w:rsid w:val="00A82DF8"/>
    <w:rsid w:val="00A84AF7"/>
    <w:rsid w:val="00A84BC5"/>
    <w:rsid w:val="00A8511B"/>
    <w:rsid w:val="00A851E2"/>
    <w:rsid w:val="00A85667"/>
    <w:rsid w:val="00A85848"/>
    <w:rsid w:val="00A8713F"/>
    <w:rsid w:val="00A87501"/>
    <w:rsid w:val="00A8768C"/>
    <w:rsid w:val="00A876A9"/>
    <w:rsid w:val="00A90BA1"/>
    <w:rsid w:val="00A925EA"/>
    <w:rsid w:val="00A927F4"/>
    <w:rsid w:val="00A935E9"/>
    <w:rsid w:val="00A93949"/>
    <w:rsid w:val="00A939A9"/>
    <w:rsid w:val="00A93AFF"/>
    <w:rsid w:val="00A9408E"/>
    <w:rsid w:val="00A94A23"/>
    <w:rsid w:val="00A94F2D"/>
    <w:rsid w:val="00A96C95"/>
    <w:rsid w:val="00A97A67"/>
    <w:rsid w:val="00A97A9A"/>
    <w:rsid w:val="00AA0671"/>
    <w:rsid w:val="00AA07C9"/>
    <w:rsid w:val="00AA11E7"/>
    <w:rsid w:val="00AA13EF"/>
    <w:rsid w:val="00AA18EA"/>
    <w:rsid w:val="00AA2531"/>
    <w:rsid w:val="00AA27D2"/>
    <w:rsid w:val="00AA30D3"/>
    <w:rsid w:val="00AA3797"/>
    <w:rsid w:val="00AA3FAB"/>
    <w:rsid w:val="00AA4528"/>
    <w:rsid w:val="00AA478A"/>
    <w:rsid w:val="00AA54FB"/>
    <w:rsid w:val="00AA6388"/>
    <w:rsid w:val="00AA64BC"/>
    <w:rsid w:val="00AA64FC"/>
    <w:rsid w:val="00AA6B9E"/>
    <w:rsid w:val="00AA7EBA"/>
    <w:rsid w:val="00AB0629"/>
    <w:rsid w:val="00AB0CBA"/>
    <w:rsid w:val="00AB1614"/>
    <w:rsid w:val="00AB1E09"/>
    <w:rsid w:val="00AB2077"/>
    <w:rsid w:val="00AB382F"/>
    <w:rsid w:val="00AB390A"/>
    <w:rsid w:val="00AB404C"/>
    <w:rsid w:val="00AB4B80"/>
    <w:rsid w:val="00AB4CFF"/>
    <w:rsid w:val="00AB502F"/>
    <w:rsid w:val="00AB5330"/>
    <w:rsid w:val="00AB5C4F"/>
    <w:rsid w:val="00AB7747"/>
    <w:rsid w:val="00AB7814"/>
    <w:rsid w:val="00AB7C81"/>
    <w:rsid w:val="00AB7EE0"/>
    <w:rsid w:val="00AC0EE4"/>
    <w:rsid w:val="00AC14CE"/>
    <w:rsid w:val="00AC189D"/>
    <w:rsid w:val="00AC2003"/>
    <w:rsid w:val="00AC26E0"/>
    <w:rsid w:val="00AC2A56"/>
    <w:rsid w:val="00AC2D27"/>
    <w:rsid w:val="00AC3317"/>
    <w:rsid w:val="00AC3810"/>
    <w:rsid w:val="00AC3EAF"/>
    <w:rsid w:val="00AC5300"/>
    <w:rsid w:val="00AC53A7"/>
    <w:rsid w:val="00AC5A0B"/>
    <w:rsid w:val="00AC5A6A"/>
    <w:rsid w:val="00AC5AC6"/>
    <w:rsid w:val="00AC6C84"/>
    <w:rsid w:val="00AC748B"/>
    <w:rsid w:val="00AC786E"/>
    <w:rsid w:val="00AD055E"/>
    <w:rsid w:val="00AD0592"/>
    <w:rsid w:val="00AD27EC"/>
    <w:rsid w:val="00AD42F4"/>
    <w:rsid w:val="00AD46FA"/>
    <w:rsid w:val="00AD4764"/>
    <w:rsid w:val="00AD47A7"/>
    <w:rsid w:val="00AD7197"/>
    <w:rsid w:val="00AD7349"/>
    <w:rsid w:val="00AD774F"/>
    <w:rsid w:val="00AE0364"/>
    <w:rsid w:val="00AE0454"/>
    <w:rsid w:val="00AE0517"/>
    <w:rsid w:val="00AE1E96"/>
    <w:rsid w:val="00AE1EE2"/>
    <w:rsid w:val="00AE241D"/>
    <w:rsid w:val="00AE2776"/>
    <w:rsid w:val="00AE34B5"/>
    <w:rsid w:val="00AE36B2"/>
    <w:rsid w:val="00AE3B8F"/>
    <w:rsid w:val="00AE45F2"/>
    <w:rsid w:val="00AE6307"/>
    <w:rsid w:val="00AE6607"/>
    <w:rsid w:val="00AE7AB8"/>
    <w:rsid w:val="00AF0574"/>
    <w:rsid w:val="00AF0CBF"/>
    <w:rsid w:val="00AF0DE1"/>
    <w:rsid w:val="00AF120C"/>
    <w:rsid w:val="00AF13B0"/>
    <w:rsid w:val="00AF187B"/>
    <w:rsid w:val="00AF2305"/>
    <w:rsid w:val="00AF257F"/>
    <w:rsid w:val="00AF2707"/>
    <w:rsid w:val="00AF2766"/>
    <w:rsid w:val="00AF31C0"/>
    <w:rsid w:val="00AF33CF"/>
    <w:rsid w:val="00AF35A4"/>
    <w:rsid w:val="00AF4352"/>
    <w:rsid w:val="00AF4D50"/>
    <w:rsid w:val="00AF50EE"/>
    <w:rsid w:val="00AF529E"/>
    <w:rsid w:val="00AF5588"/>
    <w:rsid w:val="00AF6179"/>
    <w:rsid w:val="00AF61E8"/>
    <w:rsid w:val="00AF63E3"/>
    <w:rsid w:val="00AF67E4"/>
    <w:rsid w:val="00AF688D"/>
    <w:rsid w:val="00AF7011"/>
    <w:rsid w:val="00AF7062"/>
    <w:rsid w:val="00AF76D5"/>
    <w:rsid w:val="00AF79CD"/>
    <w:rsid w:val="00AF79D4"/>
    <w:rsid w:val="00AF7EA5"/>
    <w:rsid w:val="00B00222"/>
    <w:rsid w:val="00B00286"/>
    <w:rsid w:val="00B005F6"/>
    <w:rsid w:val="00B00767"/>
    <w:rsid w:val="00B0087F"/>
    <w:rsid w:val="00B00B24"/>
    <w:rsid w:val="00B01B61"/>
    <w:rsid w:val="00B01F22"/>
    <w:rsid w:val="00B02151"/>
    <w:rsid w:val="00B023A9"/>
    <w:rsid w:val="00B02460"/>
    <w:rsid w:val="00B0264E"/>
    <w:rsid w:val="00B02AE3"/>
    <w:rsid w:val="00B03436"/>
    <w:rsid w:val="00B04409"/>
    <w:rsid w:val="00B050D6"/>
    <w:rsid w:val="00B05323"/>
    <w:rsid w:val="00B057AA"/>
    <w:rsid w:val="00B05B40"/>
    <w:rsid w:val="00B071BC"/>
    <w:rsid w:val="00B0728E"/>
    <w:rsid w:val="00B07441"/>
    <w:rsid w:val="00B111E1"/>
    <w:rsid w:val="00B124B9"/>
    <w:rsid w:val="00B124C9"/>
    <w:rsid w:val="00B1260C"/>
    <w:rsid w:val="00B1268F"/>
    <w:rsid w:val="00B1295A"/>
    <w:rsid w:val="00B12FE3"/>
    <w:rsid w:val="00B13009"/>
    <w:rsid w:val="00B145EF"/>
    <w:rsid w:val="00B14A55"/>
    <w:rsid w:val="00B14D32"/>
    <w:rsid w:val="00B1515C"/>
    <w:rsid w:val="00B1529A"/>
    <w:rsid w:val="00B15999"/>
    <w:rsid w:val="00B16830"/>
    <w:rsid w:val="00B16951"/>
    <w:rsid w:val="00B16FFA"/>
    <w:rsid w:val="00B20041"/>
    <w:rsid w:val="00B204C8"/>
    <w:rsid w:val="00B2050E"/>
    <w:rsid w:val="00B20A45"/>
    <w:rsid w:val="00B20EAB"/>
    <w:rsid w:val="00B210EB"/>
    <w:rsid w:val="00B21945"/>
    <w:rsid w:val="00B21C49"/>
    <w:rsid w:val="00B226A7"/>
    <w:rsid w:val="00B227E2"/>
    <w:rsid w:val="00B22C5C"/>
    <w:rsid w:val="00B23B9D"/>
    <w:rsid w:val="00B24454"/>
    <w:rsid w:val="00B245BA"/>
    <w:rsid w:val="00B24F30"/>
    <w:rsid w:val="00B25862"/>
    <w:rsid w:val="00B25A7A"/>
    <w:rsid w:val="00B25D23"/>
    <w:rsid w:val="00B27BEF"/>
    <w:rsid w:val="00B301AD"/>
    <w:rsid w:val="00B30266"/>
    <w:rsid w:val="00B30501"/>
    <w:rsid w:val="00B30F23"/>
    <w:rsid w:val="00B31ABF"/>
    <w:rsid w:val="00B31DA2"/>
    <w:rsid w:val="00B326D2"/>
    <w:rsid w:val="00B328E0"/>
    <w:rsid w:val="00B33BE3"/>
    <w:rsid w:val="00B34178"/>
    <w:rsid w:val="00B342DC"/>
    <w:rsid w:val="00B343B3"/>
    <w:rsid w:val="00B3494D"/>
    <w:rsid w:val="00B35257"/>
    <w:rsid w:val="00B36163"/>
    <w:rsid w:val="00B36EF2"/>
    <w:rsid w:val="00B3752E"/>
    <w:rsid w:val="00B40884"/>
    <w:rsid w:val="00B40F4B"/>
    <w:rsid w:val="00B41319"/>
    <w:rsid w:val="00B41344"/>
    <w:rsid w:val="00B415B2"/>
    <w:rsid w:val="00B41831"/>
    <w:rsid w:val="00B41D73"/>
    <w:rsid w:val="00B423B4"/>
    <w:rsid w:val="00B427F3"/>
    <w:rsid w:val="00B42AAE"/>
    <w:rsid w:val="00B43B2D"/>
    <w:rsid w:val="00B43D6A"/>
    <w:rsid w:val="00B45808"/>
    <w:rsid w:val="00B468CC"/>
    <w:rsid w:val="00B46A8D"/>
    <w:rsid w:val="00B47547"/>
    <w:rsid w:val="00B4754E"/>
    <w:rsid w:val="00B47E17"/>
    <w:rsid w:val="00B50313"/>
    <w:rsid w:val="00B50DDB"/>
    <w:rsid w:val="00B50EFC"/>
    <w:rsid w:val="00B51131"/>
    <w:rsid w:val="00B51BAE"/>
    <w:rsid w:val="00B5379E"/>
    <w:rsid w:val="00B53A7B"/>
    <w:rsid w:val="00B53B5D"/>
    <w:rsid w:val="00B54A89"/>
    <w:rsid w:val="00B56038"/>
    <w:rsid w:val="00B57CDC"/>
    <w:rsid w:val="00B60179"/>
    <w:rsid w:val="00B6055E"/>
    <w:rsid w:val="00B615BD"/>
    <w:rsid w:val="00B61771"/>
    <w:rsid w:val="00B61F20"/>
    <w:rsid w:val="00B62CDD"/>
    <w:rsid w:val="00B62F66"/>
    <w:rsid w:val="00B6317D"/>
    <w:rsid w:val="00B64B30"/>
    <w:rsid w:val="00B65B69"/>
    <w:rsid w:val="00B66DD4"/>
    <w:rsid w:val="00B709D7"/>
    <w:rsid w:val="00B71048"/>
    <w:rsid w:val="00B71C63"/>
    <w:rsid w:val="00B722EA"/>
    <w:rsid w:val="00B7261B"/>
    <w:rsid w:val="00B74F87"/>
    <w:rsid w:val="00B75043"/>
    <w:rsid w:val="00B754A0"/>
    <w:rsid w:val="00B757F1"/>
    <w:rsid w:val="00B75C45"/>
    <w:rsid w:val="00B76315"/>
    <w:rsid w:val="00B765DA"/>
    <w:rsid w:val="00B76D6A"/>
    <w:rsid w:val="00B7723F"/>
    <w:rsid w:val="00B77455"/>
    <w:rsid w:val="00B77642"/>
    <w:rsid w:val="00B80510"/>
    <w:rsid w:val="00B80534"/>
    <w:rsid w:val="00B808CD"/>
    <w:rsid w:val="00B816FC"/>
    <w:rsid w:val="00B81833"/>
    <w:rsid w:val="00B81A05"/>
    <w:rsid w:val="00B82503"/>
    <w:rsid w:val="00B83057"/>
    <w:rsid w:val="00B835D1"/>
    <w:rsid w:val="00B8377A"/>
    <w:rsid w:val="00B8433C"/>
    <w:rsid w:val="00B857EC"/>
    <w:rsid w:val="00B867C5"/>
    <w:rsid w:val="00B87491"/>
    <w:rsid w:val="00B878E7"/>
    <w:rsid w:val="00B87941"/>
    <w:rsid w:val="00B9188A"/>
    <w:rsid w:val="00B92545"/>
    <w:rsid w:val="00B92E54"/>
    <w:rsid w:val="00B9361A"/>
    <w:rsid w:val="00B93BC5"/>
    <w:rsid w:val="00B941C0"/>
    <w:rsid w:val="00B95E3D"/>
    <w:rsid w:val="00B96435"/>
    <w:rsid w:val="00B9749B"/>
    <w:rsid w:val="00B9772F"/>
    <w:rsid w:val="00B9791E"/>
    <w:rsid w:val="00BA05E7"/>
    <w:rsid w:val="00BA08DC"/>
    <w:rsid w:val="00BA0D92"/>
    <w:rsid w:val="00BA122C"/>
    <w:rsid w:val="00BA1AA5"/>
    <w:rsid w:val="00BA1ADE"/>
    <w:rsid w:val="00BA1C4E"/>
    <w:rsid w:val="00BA29E9"/>
    <w:rsid w:val="00BA351C"/>
    <w:rsid w:val="00BA3836"/>
    <w:rsid w:val="00BA565C"/>
    <w:rsid w:val="00BA5BA7"/>
    <w:rsid w:val="00BA6207"/>
    <w:rsid w:val="00BA62A2"/>
    <w:rsid w:val="00BA6B74"/>
    <w:rsid w:val="00BA6C05"/>
    <w:rsid w:val="00BA7142"/>
    <w:rsid w:val="00BA7235"/>
    <w:rsid w:val="00BB01A3"/>
    <w:rsid w:val="00BB104A"/>
    <w:rsid w:val="00BB1209"/>
    <w:rsid w:val="00BB186B"/>
    <w:rsid w:val="00BB1C94"/>
    <w:rsid w:val="00BB1F5F"/>
    <w:rsid w:val="00BB237C"/>
    <w:rsid w:val="00BB2502"/>
    <w:rsid w:val="00BB295E"/>
    <w:rsid w:val="00BB2EA8"/>
    <w:rsid w:val="00BB3270"/>
    <w:rsid w:val="00BB41A3"/>
    <w:rsid w:val="00BB4804"/>
    <w:rsid w:val="00BB49F2"/>
    <w:rsid w:val="00BB4AED"/>
    <w:rsid w:val="00BB5AAE"/>
    <w:rsid w:val="00BB5DDF"/>
    <w:rsid w:val="00BB6482"/>
    <w:rsid w:val="00BB76F5"/>
    <w:rsid w:val="00BB7986"/>
    <w:rsid w:val="00BC0A75"/>
    <w:rsid w:val="00BC0AE9"/>
    <w:rsid w:val="00BC0E0C"/>
    <w:rsid w:val="00BC18D3"/>
    <w:rsid w:val="00BC204D"/>
    <w:rsid w:val="00BC28D8"/>
    <w:rsid w:val="00BC32DC"/>
    <w:rsid w:val="00BC35B6"/>
    <w:rsid w:val="00BC3A0F"/>
    <w:rsid w:val="00BC4FD8"/>
    <w:rsid w:val="00BC5D61"/>
    <w:rsid w:val="00BC6A31"/>
    <w:rsid w:val="00BC715A"/>
    <w:rsid w:val="00BC72B5"/>
    <w:rsid w:val="00BC7A97"/>
    <w:rsid w:val="00BD1B51"/>
    <w:rsid w:val="00BD3A0C"/>
    <w:rsid w:val="00BD4596"/>
    <w:rsid w:val="00BD58A7"/>
    <w:rsid w:val="00BD5941"/>
    <w:rsid w:val="00BD6690"/>
    <w:rsid w:val="00BD69A6"/>
    <w:rsid w:val="00BD72A5"/>
    <w:rsid w:val="00BD7525"/>
    <w:rsid w:val="00BD76E5"/>
    <w:rsid w:val="00BE06F8"/>
    <w:rsid w:val="00BE1405"/>
    <w:rsid w:val="00BE191A"/>
    <w:rsid w:val="00BE2495"/>
    <w:rsid w:val="00BE312D"/>
    <w:rsid w:val="00BE31CD"/>
    <w:rsid w:val="00BE3227"/>
    <w:rsid w:val="00BE3A7C"/>
    <w:rsid w:val="00BE3EA5"/>
    <w:rsid w:val="00BE40D7"/>
    <w:rsid w:val="00BE54C6"/>
    <w:rsid w:val="00BE5D50"/>
    <w:rsid w:val="00BE6CC0"/>
    <w:rsid w:val="00BE751F"/>
    <w:rsid w:val="00BF00F2"/>
    <w:rsid w:val="00BF0E7A"/>
    <w:rsid w:val="00BF19D5"/>
    <w:rsid w:val="00BF1C20"/>
    <w:rsid w:val="00BF268F"/>
    <w:rsid w:val="00BF2EB7"/>
    <w:rsid w:val="00BF334B"/>
    <w:rsid w:val="00BF55EB"/>
    <w:rsid w:val="00BF59CF"/>
    <w:rsid w:val="00BF6163"/>
    <w:rsid w:val="00BF63E8"/>
    <w:rsid w:val="00BF685C"/>
    <w:rsid w:val="00BF7822"/>
    <w:rsid w:val="00C006A1"/>
    <w:rsid w:val="00C010DD"/>
    <w:rsid w:val="00C01A24"/>
    <w:rsid w:val="00C0236F"/>
    <w:rsid w:val="00C0263C"/>
    <w:rsid w:val="00C02B65"/>
    <w:rsid w:val="00C0325A"/>
    <w:rsid w:val="00C03A5C"/>
    <w:rsid w:val="00C03E92"/>
    <w:rsid w:val="00C04ECE"/>
    <w:rsid w:val="00C06302"/>
    <w:rsid w:val="00C0663D"/>
    <w:rsid w:val="00C0681E"/>
    <w:rsid w:val="00C07735"/>
    <w:rsid w:val="00C07E75"/>
    <w:rsid w:val="00C10578"/>
    <w:rsid w:val="00C10817"/>
    <w:rsid w:val="00C1091A"/>
    <w:rsid w:val="00C11DB8"/>
    <w:rsid w:val="00C12240"/>
    <w:rsid w:val="00C12C4D"/>
    <w:rsid w:val="00C12DFC"/>
    <w:rsid w:val="00C135BC"/>
    <w:rsid w:val="00C13B06"/>
    <w:rsid w:val="00C14979"/>
    <w:rsid w:val="00C14CCF"/>
    <w:rsid w:val="00C15B17"/>
    <w:rsid w:val="00C15C95"/>
    <w:rsid w:val="00C162F9"/>
    <w:rsid w:val="00C17F88"/>
    <w:rsid w:val="00C209D0"/>
    <w:rsid w:val="00C213CA"/>
    <w:rsid w:val="00C221AA"/>
    <w:rsid w:val="00C22F8E"/>
    <w:rsid w:val="00C23AC0"/>
    <w:rsid w:val="00C251BE"/>
    <w:rsid w:val="00C25202"/>
    <w:rsid w:val="00C2549A"/>
    <w:rsid w:val="00C255F0"/>
    <w:rsid w:val="00C2596A"/>
    <w:rsid w:val="00C26215"/>
    <w:rsid w:val="00C26B6C"/>
    <w:rsid w:val="00C2710F"/>
    <w:rsid w:val="00C27537"/>
    <w:rsid w:val="00C305EF"/>
    <w:rsid w:val="00C309A9"/>
    <w:rsid w:val="00C30C09"/>
    <w:rsid w:val="00C31269"/>
    <w:rsid w:val="00C316CA"/>
    <w:rsid w:val="00C325B7"/>
    <w:rsid w:val="00C328FE"/>
    <w:rsid w:val="00C33507"/>
    <w:rsid w:val="00C33ECE"/>
    <w:rsid w:val="00C33FF3"/>
    <w:rsid w:val="00C34246"/>
    <w:rsid w:val="00C34671"/>
    <w:rsid w:val="00C34B22"/>
    <w:rsid w:val="00C3571A"/>
    <w:rsid w:val="00C36C3C"/>
    <w:rsid w:val="00C37485"/>
    <w:rsid w:val="00C37C39"/>
    <w:rsid w:val="00C37D82"/>
    <w:rsid w:val="00C4045C"/>
    <w:rsid w:val="00C40B75"/>
    <w:rsid w:val="00C40EA1"/>
    <w:rsid w:val="00C41036"/>
    <w:rsid w:val="00C411B1"/>
    <w:rsid w:val="00C41AD4"/>
    <w:rsid w:val="00C41EC1"/>
    <w:rsid w:val="00C42DDB"/>
    <w:rsid w:val="00C43A59"/>
    <w:rsid w:val="00C43B0A"/>
    <w:rsid w:val="00C4409D"/>
    <w:rsid w:val="00C44E72"/>
    <w:rsid w:val="00C45A06"/>
    <w:rsid w:val="00C46795"/>
    <w:rsid w:val="00C474AE"/>
    <w:rsid w:val="00C476A2"/>
    <w:rsid w:val="00C477E1"/>
    <w:rsid w:val="00C47D11"/>
    <w:rsid w:val="00C47E5B"/>
    <w:rsid w:val="00C47ED8"/>
    <w:rsid w:val="00C509B8"/>
    <w:rsid w:val="00C51672"/>
    <w:rsid w:val="00C53BB8"/>
    <w:rsid w:val="00C53EE2"/>
    <w:rsid w:val="00C544CC"/>
    <w:rsid w:val="00C5468E"/>
    <w:rsid w:val="00C55796"/>
    <w:rsid w:val="00C55A6F"/>
    <w:rsid w:val="00C55B1E"/>
    <w:rsid w:val="00C55F1A"/>
    <w:rsid w:val="00C56845"/>
    <w:rsid w:val="00C569E3"/>
    <w:rsid w:val="00C56E97"/>
    <w:rsid w:val="00C57534"/>
    <w:rsid w:val="00C578C2"/>
    <w:rsid w:val="00C60B2F"/>
    <w:rsid w:val="00C6117B"/>
    <w:rsid w:val="00C612CB"/>
    <w:rsid w:val="00C613F1"/>
    <w:rsid w:val="00C61C6F"/>
    <w:rsid w:val="00C61E4B"/>
    <w:rsid w:val="00C63048"/>
    <w:rsid w:val="00C63F23"/>
    <w:rsid w:val="00C64078"/>
    <w:rsid w:val="00C64AEB"/>
    <w:rsid w:val="00C64BFF"/>
    <w:rsid w:val="00C6547B"/>
    <w:rsid w:val="00C65CDA"/>
    <w:rsid w:val="00C65EF4"/>
    <w:rsid w:val="00C704E9"/>
    <w:rsid w:val="00C70840"/>
    <w:rsid w:val="00C70C18"/>
    <w:rsid w:val="00C71D96"/>
    <w:rsid w:val="00C72F2F"/>
    <w:rsid w:val="00C73070"/>
    <w:rsid w:val="00C732E8"/>
    <w:rsid w:val="00C73BCC"/>
    <w:rsid w:val="00C75708"/>
    <w:rsid w:val="00C75BF0"/>
    <w:rsid w:val="00C75C34"/>
    <w:rsid w:val="00C76080"/>
    <w:rsid w:val="00C763C9"/>
    <w:rsid w:val="00C766FD"/>
    <w:rsid w:val="00C76D35"/>
    <w:rsid w:val="00C76F93"/>
    <w:rsid w:val="00C80057"/>
    <w:rsid w:val="00C80758"/>
    <w:rsid w:val="00C82232"/>
    <w:rsid w:val="00C824B8"/>
    <w:rsid w:val="00C82913"/>
    <w:rsid w:val="00C82993"/>
    <w:rsid w:val="00C82EF0"/>
    <w:rsid w:val="00C835C7"/>
    <w:rsid w:val="00C83677"/>
    <w:rsid w:val="00C8377D"/>
    <w:rsid w:val="00C84E0B"/>
    <w:rsid w:val="00C85BF3"/>
    <w:rsid w:val="00C86AD7"/>
    <w:rsid w:val="00C87821"/>
    <w:rsid w:val="00C9004B"/>
    <w:rsid w:val="00C91202"/>
    <w:rsid w:val="00C91816"/>
    <w:rsid w:val="00C931CD"/>
    <w:rsid w:val="00C9396A"/>
    <w:rsid w:val="00C93C05"/>
    <w:rsid w:val="00C9403F"/>
    <w:rsid w:val="00C942BE"/>
    <w:rsid w:val="00C9487C"/>
    <w:rsid w:val="00C95236"/>
    <w:rsid w:val="00C95BC1"/>
    <w:rsid w:val="00C9664D"/>
    <w:rsid w:val="00C97091"/>
    <w:rsid w:val="00C972B1"/>
    <w:rsid w:val="00C9767A"/>
    <w:rsid w:val="00C97CDB"/>
    <w:rsid w:val="00CA031F"/>
    <w:rsid w:val="00CA07CD"/>
    <w:rsid w:val="00CA17B1"/>
    <w:rsid w:val="00CA1D45"/>
    <w:rsid w:val="00CA20C6"/>
    <w:rsid w:val="00CA2205"/>
    <w:rsid w:val="00CA2375"/>
    <w:rsid w:val="00CA2CCE"/>
    <w:rsid w:val="00CA3D51"/>
    <w:rsid w:val="00CA43FD"/>
    <w:rsid w:val="00CA5276"/>
    <w:rsid w:val="00CA7EF8"/>
    <w:rsid w:val="00CB0136"/>
    <w:rsid w:val="00CB01F9"/>
    <w:rsid w:val="00CB0742"/>
    <w:rsid w:val="00CB2791"/>
    <w:rsid w:val="00CB317B"/>
    <w:rsid w:val="00CB38B5"/>
    <w:rsid w:val="00CB5275"/>
    <w:rsid w:val="00CB5D70"/>
    <w:rsid w:val="00CB636D"/>
    <w:rsid w:val="00CB6829"/>
    <w:rsid w:val="00CB6E59"/>
    <w:rsid w:val="00CB6E62"/>
    <w:rsid w:val="00CB6F7E"/>
    <w:rsid w:val="00CB7106"/>
    <w:rsid w:val="00CC05E3"/>
    <w:rsid w:val="00CC141E"/>
    <w:rsid w:val="00CC22F6"/>
    <w:rsid w:val="00CC2567"/>
    <w:rsid w:val="00CC26C9"/>
    <w:rsid w:val="00CC2B90"/>
    <w:rsid w:val="00CC489B"/>
    <w:rsid w:val="00CC5C33"/>
    <w:rsid w:val="00CC77ED"/>
    <w:rsid w:val="00CC7C03"/>
    <w:rsid w:val="00CD007A"/>
    <w:rsid w:val="00CD0B1A"/>
    <w:rsid w:val="00CD1303"/>
    <w:rsid w:val="00CD18D0"/>
    <w:rsid w:val="00CD1BF6"/>
    <w:rsid w:val="00CD24FF"/>
    <w:rsid w:val="00CD28A0"/>
    <w:rsid w:val="00CD2BCD"/>
    <w:rsid w:val="00CD304F"/>
    <w:rsid w:val="00CD36A3"/>
    <w:rsid w:val="00CD3A4C"/>
    <w:rsid w:val="00CD3F3A"/>
    <w:rsid w:val="00CD3FD0"/>
    <w:rsid w:val="00CD632B"/>
    <w:rsid w:val="00CD67B4"/>
    <w:rsid w:val="00CD6964"/>
    <w:rsid w:val="00CE03DF"/>
    <w:rsid w:val="00CE0E41"/>
    <w:rsid w:val="00CE10E9"/>
    <w:rsid w:val="00CE15C0"/>
    <w:rsid w:val="00CE21CB"/>
    <w:rsid w:val="00CE2910"/>
    <w:rsid w:val="00CE32F8"/>
    <w:rsid w:val="00CE3559"/>
    <w:rsid w:val="00CE4464"/>
    <w:rsid w:val="00CE4F93"/>
    <w:rsid w:val="00CE5393"/>
    <w:rsid w:val="00CE5611"/>
    <w:rsid w:val="00CE6093"/>
    <w:rsid w:val="00CE6096"/>
    <w:rsid w:val="00CE6BA9"/>
    <w:rsid w:val="00CE6C04"/>
    <w:rsid w:val="00CE7B4B"/>
    <w:rsid w:val="00CF059A"/>
    <w:rsid w:val="00CF0836"/>
    <w:rsid w:val="00CF0D28"/>
    <w:rsid w:val="00CF0E73"/>
    <w:rsid w:val="00CF2004"/>
    <w:rsid w:val="00CF205D"/>
    <w:rsid w:val="00CF2DE6"/>
    <w:rsid w:val="00CF36BE"/>
    <w:rsid w:val="00CF4160"/>
    <w:rsid w:val="00CF4AE9"/>
    <w:rsid w:val="00CF4BB3"/>
    <w:rsid w:val="00CF4CAA"/>
    <w:rsid w:val="00CF574A"/>
    <w:rsid w:val="00CF6000"/>
    <w:rsid w:val="00CF69E2"/>
    <w:rsid w:val="00CF6EFB"/>
    <w:rsid w:val="00CF7191"/>
    <w:rsid w:val="00CF7203"/>
    <w:rsid w:val="00CF79DB"/>
    <w:rsid w:val="00D003F3"/>
    <w:rsid w:val="00D01F38"/>
    <w:rsid w:val="00D01F45"/>
    <w:rsid w:val="00D03255"/>
    <w:rsid w:val="00D034AA"/>
    <w:rsid w:val="00D0364F"/>
    <w:rsid w:val="00D03E89"/>
    <w:rsid w:val="00D03FCE"/>
    <w:rsid w:val="00D06834"/>
    <w:rsid w:val="00D07257"/>
    <w:rsid w:val="00D074D0"/>
    <w:rsid w:val="00D07982"/>
    <w:rsid w:val="00D1053B"/>
    <w:rsid w:val="00D13787"/>
    <w:rsid w:val="00D139CB"/>
    <w:rsid w:val="00D13B16"/>
    <w:rsid w:val="00D14357"/>
    <w:rsid w:val="00D1445E"/>
    <w:rsid w:val="00D14A3E"/>
    <w:rsid w:val="00D174AC"/>
    <w:rsid w:val="00D2028A"/>
    <w:rsid w:val="00D20AE1"/>
    <w:rsid w:val="00D2196C"/>
    <w:rsid w:val="00D21B9D"/>
    <w:rsid w:val="00D23244"/>
    <w:rsid w:val="00D237AB"/>
    <w:rsid w:val="00D249D8"/>
    <w:rsid w:val="00D25556"/>
    <w:rsid w:val="00D2633B"/>
    <w:rsid w:val="00D2637C"/>
    <w:rsid w:val="00D26811"/>
    <w:rsid w:val="00D275E4"/>
    <w:rsid w:val="00D27B25"/>
    <w:rsid w:val="00D308ED"/>
    <w:rsid w:val="00D33412"/>
    <w:rsid w:val="00D33F27"/>
    <w:rsid w:val="00D347E0"/>
    <w:rsid w:val="00D348CD"/>
    <w:rsid w:val="00D34B9D"/>
    <w:rsid w:val="00D3537B"/>
    <w:rsid w:val="00D35455"/>
    <w:rsid w:val="00D3574E"/>
    <w:rsid w:val="00D35BC6"/>
    <w:rsid w:val="00D35E5B"/>
    <w:rsid w:val="00D36360"/>
    <w:rsid w:val="00D36D86"/>
    <w:rsid w:val="00D37CFD"/>
    <w:rsid w:val="00D40EE2"/>
    <w:rsid w:val="00D4133F"/>
    <w:rsid w:val="00D4151A"/>
    <w:rsid w:val="00D41EF3"/>
    <w:rsid w:val="00D428AA"/>
    <w:rsid w:val="00D42F20"/>
    <w:rsid w:val="00D432B1"/>
    <w:rsid w:val="00D4335E"/>
    <w:rsid w:val="00D43653"/>
    <w:rsid w:val="00D43791"/>
    <w:rsid w:val="00D43B98"/>
    <w:rsid w:val="00D444BB"/>
    <w:rsid w:val="00D449D8"/>
    <w:rsid w:val="00D44F41"/>
    <w:rsid w:val="00D44F57"/>
    <w:rsid w:val="00D45592"/>
    <w:rsid w:val="00D45812"/>
    <w:rsid w:val="00D461A6"/>
    <w:rsid w:val="00D46588"/>
    <w:rsid w:val="00D46DB8"/>
    <w:rsid w:val="00D46F98"/>
    <w:rsid w:val="00D4767D"/>
    <w:rsid w:val="00D47958"/>
    <w:rsid w:val="00D50113"/>
    <w:rsid w:val="00D50574"/>
    <w:rsid w:val="00D50A34"/>
    <w:rsid w:val="00D50ECB"/>
    <w:rsid w:val="00D50FFA"/>
    <w:rsid w:val="00D514FC"/>
    <w:rsid w:val="00D51FFF"/>
    <w:rsid w:val="00D521D5"/>
    <w:rsid w:val="00D522D8"/>
    <w:rsid w:val="00D52765"/>
    <w:rsid w:val="00D5276C"/>
    <w:rsid w:val="00D52825"/>
    <w:rsid w:val="00D534C8"/>
    <w:rsid w:val="00D53997"/>
    <w:rsid w:val="00D53BF6"/>
    <w:rsid w:val="00D53EFA"/>
    <w:rsid w:val="00D54151"/>
    <w:rsid w:val="00D54240"/>
    <w:rsid w:val="00D54E3B"/>
    <w:rsid w:val="00D55493"/>
    <w:rsid w:val="00D569B7"/>
    <w:rsid w:val="00D56E99"/>
    <w:rsid w:val="00D57794"/>
    <w:rsid w:val="00D57E5C"/>
    <w:rsid w:val="00D60211"/>
    <w:rsid w:val="00D609C3"/>
    <w:rsid w:val="00D6152E"/>
    <w:rsid w:val="00D62166"/>
    <w:rsid w:val="00D62B89"/>
    <w:rsid w:val="00D63392"/>
    <w:rsid w:val="00D64415"/>
    <w:rsid w:val="00D64651"/>
    <w:rsid w:val="00D6606F"/>
    <w:rsid w:val="00D66918"/>
    <w:rsid w:val="00D6701E"/>
    <w:rsid w:val="00D67260"/>
    <w:rsid w:val="00D70AB6"/>
    <w:rsid w:val="00D70CC0"/>
    <w:rsid w:val="00D70CD2"/>
    <w:rsid w:val="00D7158F"/>
    <w:rsid w:val="00D718DF"/>
    <w:rsid w:val="00D71E67"/>
    <w:rsid w:val="00D72DF3"/>
    <w:rsid w:val="00D74166"/>
    <w:rsid w:val="00D744B3"/>
    <w:rsid w:val="00D747D0"/>
    <w:rsid w:val="00D7526D"/>
    <w:rsid w:val="00D75769"/>
    <w:rsid w:val="00D75F44"/>
    <w:rsid w:val="00D7643D"/>
    <w:rsid w:val="00D76ABC"/>
    <w:rsid w:val="00D76C1A"/>
    <w:rsid w:val="00D808A0"/>
    <w:rsid w:val="00D80B22"/>
    <w:rsid w:val="00D81601"/>
    <w:rsid w:val="00D8167B"/>
    <w:rsid w:val="00D828C0"/>
    <w:rsid w:val="00D829E4"/>
    <w:rsid w:val="00D82FE8"/>
    <w:rsid w:val="00D8352A"/>
    <w:rsid w:val="00D8647C"/>
    <w:rsid w:val="00D86C19"/>
    <w:rsid w:val="00D913DF"/>
    <w:rsid w:val="00D9151F"/>
    <w:rsid w:val="00D92361"/>
    <w:rsid w:val="00D929EE"/>
    <w:rsid w:val="00D935E8"/>
    <w:rsid w:val="00D942CF"/>
    <w:rsid w:val="00D9430A"/>
    <w:rsid w:val="00D9465E"/>
    <w:rsid w:val="00D94A7C"/>
    <w:rsid w:val="00D95052"/>
    <w:rsid w:val="00D95589"/>
    <w:rsid w:val="00D9559E"/>
    <w:rsid w:val="00D95896"/>
    <w:rsid w:val="00D95AAF"/>
    <w:rsid w:val="00D96280"/>
    <w:rsid w:val="00D96745"/>
    <w:rsid w:val="00D96E38"/>
    <w:rsid w:val="00D97B12"/>
    <w:rsid w:val="00DA0266"/>
    <w:rsid w:val="00DA037E"/>
    <w:rsid w:val="00DA0BDF"/>
    <w:rsid w:val="00DA1319"/>
    <w:rsid w:val="00DA1740"/>
    <w:rsid w:val="00DA1A93"/>
    <w:rsid w:val="00DA1E6E"/>
    <w:rsid w:val="00DA3179"/>
    <w:rsid w:val="00DA3CCE"/>
    <w:rsid w:val="00DA3DD0"/>
    <w:rsid w:val="00DA3FC9"/>
    <w:rsid w:val="00DA496C"/>
    <w:rsid w:val="00DA5CDB"/>
    <w:rsid w:val="00DA6BA4"/>
    <w:rsid w:val="00DA6E17"/>
    <w:rsid w:val="00DA7F59"/>
    <w:rsid w:val="00DB0FFB"/>
    <w:rsid w:val="00DB183A"/>
    <w:rsid w:val="00DB22A9"/>
    <w:rsid w:val="00DB2983"/>
    <w:rsid w:val="00DB2D0C"/>
    <w:rsid w:val="00DB355F"/>
    <w:rsid w:val="00DB3AA1"/>
    <w:rsid w:val="00DB4F7C"/>
    <w:rsid w:val="00DB52B0"/>
    <w:rsid w:val="00DB6549"/>
    <w:rsid w:val="00DB66F3"/>
    <w:rsid w:val="00DB6DF8"/>
    <w:rsid w:val="00DB6FB4"/>
    <w:rsid w:val="00DB7BD7"/>
    <w:rsid w:val="00DB7DC2"/>
    <w:rsid w:val="00DC01B0"/>
    <w:rsid w:val="00DC0B9E"/>
    <w:rsid w:val="00DC1257"/>
    <w:rsid w:val="00DC1F0B"/>
    <w:rsid w:val="00DC203B"/>
    <w:rsid w:val="00DC27A5"/>
    <w:rsid w:val="00DC29D5"/>
    <w:rsid w:val="00DC2C4B"/>
    <w:rsid w:val="00DC2DF1"/>
    <w:rsid w:val="00DC3057"/>
    <w:rsid w:val="00DC321F"/>
    <w:rsid w:val="00DC3255"/>
    <w:rsid w:val="00DC391E"/>
    <w:rsid w:val="00DC3DC0"/>
    <w:rsid w:val="00DC4DC1"/>
    <w:rsid w:val="00DC4E8F"/>
    <w:rsid w:val="00DC5B2B"/>
    <w:rsid w:val="00DC5C94"/>
    <w:rsid w:val="00DC614A"/>
    <w:rsid w:val="00DC6229"/>
    <w:rsid w:val="00DC6445"/>
    <w:rsid w:val="00DC6792"/>
    <w:rsid w:val="00DC687D"/>
    <w:rsid w:val="00DC7868"/>
    <w:rsid w:val="00DD0772"/>
    <w:rsid w:val="00DD0FA4"/>
    <w:rsid w:val="00DD10B9"/>
    <w:rsid w:val="00DD2565"/>
    <w:rsid w:val="00DD318D"/>
    <w:rsid w:val="00DD3F86"/>
    <w:rsid w:val="00DD500B"/>
    <w:rsid w:val="00DD58D0"/>
    <w:rsid w:val="00DD712E"/>
    <w:rsid w:val="00DD72B9"/>
    <w:rsid w:val="00DE01F2"/>
    <w:rsid w:val="00DE0912"/>
    <w:rsid w:val="00DE1FF8"/>
    <w:rsid w:val="00DE2CCD"/>
    <w:rsid w:val="00DE2EAB"/>
    <w:rsid w:val="00DE3718"/>
    <w:rsid w:val="00DE37F3"/>
    <w:rsid w:val="00DE3CDB"/>
    <w:rsid w:val="00DE495C"/>
    <w:rsid w:val="00DE55B1"/>
    <w:rsid w:val="00DE577C"/>
    <w:rsid w:val="00DE595C"/>
    <w:rsid w:val="00DE5D0C"/>
    <w:rsid w:val="00DE5F6C"/>
    <w:rsid w:val="00DE5F97"/>
    <w:rsid w:val="00DE6537"/>
    <w:rsid w:val="00DE68F3"/>
    <w:rsid w:val="00DE6D09"/>
    <w:rsid w:val="00DE7969"/>
    <w:rsid w:val="00DE7B64"/>
    <w:rsid w:val="00DF0352"/>
    <w:rsid w:val="00DF2CEB"/>
    <w:rsid w:val="00DF2E12"/>
    <w:rsid w:val="00DF3995"/>
    <w:rsid w:val="00DF507D"/>
    <w:rsid w:val="00DF514A"/>
    <w:rsid w:val="00DF551B"/>
    <w:rsid w:val="00DF59B5"/>
    <w:rsid w:val="00DF6690"/>
    <w:rsid w:val="00DF6804"/>
    <w:rsid w:val="00DF698C"/>
    <w:rsid w:val="00DF6B56"/>
    <w:rsid w:val="00DF6D08"/>
    <w:rsid w:val="00DF74A6"/>
    <w:rsid w:val="00DF7580"/>
    <w:rsid w:val="00DF7EEB"/>
    <w:rsid w:val="00DF7F3F"/>
    <w:rsid w:val="00E01F2A"/>
    <w:rsid w:val="00E0358D"/>
    <w:rsid w:val="00E03819"/>
    <w:rsid w:val="00E039B1"/>
    <w:rsid w:val="00E03A92"/>
    <w:rsid w:val="00E03B95"/>
    <w:rsid w:val="00E04323"/>
    <w:rsid w:val="00E0433B"/>
    <w:rsid w:val="00E04F64"/>
    <w:rsid w:val="00E070A2"/>
    <w:rsid w:val="00E07C43"/>
    <w:rsid w:val="00E07FFE"/>
    <w:rsid w:val="00E112F8"/>
    <w:rsid w:val="00E11697"/>
    <w:rsid w:val="00E12DD7"/>
    <w:rsid w:val="00E12F34"/>
    <w:rsid w:val="00E1302E"/>
    <w:rsid w:val="00E13486"/>
    <w:rsid w:val="00E14136"/>
    <w:rsid w:val="00E14441"/>
    <w:rsid w:val="00E14F26"/>
    <w:rsid w:val="00E151C7"/>
    <w:rsid w:val="00E1551D"/>
    <w:rsid w:val="00E15B1B"/>
    <w:rsid w:val="00E161B5"/>
    <w:rsid w:val="00E1662B"/>
    <w:rsid w:val="00E1710B"/>
    <w:rsid w:val="00E17413"/>
    <w:rsid w:val="00E20210"/>
    <w:rsid w:val="00E205D4"/>
    <w:rsid w:val="00E20685"/>
    <w:rsid w:val="00E20B0C"/>
    <w:rsid w:val="00E212A6"/>
    <w:rsid w:val="00E22E48"/>
    <w:rsid w:val="00E23035"/>
    <w:rsid w:val="00E23273"/>
    <w:rsid w:val="00E23ED2"/>
    <w:rsid w:val="00E2470D"/>
    <w:rsid w:val="00E2565C"/>
    <w:rsid w:val="00E262D7"/>
    <w:rsid w:val="00E2656A"/>
    <w:rsid w:val="00E26C53"/>
    <w:rsid w:val="00E26F08"/>
    <w:rsid w:val="00E27E1E"/>
    <w:rsid w:val="00E30EC9"/>
    <w:rsid w:val="00E31338"/>
    <w:rsid w:val="00E319DB"/>
    <w:rsid w:val="00E32A04"/>
    <w:rsid w:val="00E32E51"/>
    <w:rsid w:val="00E33552"/>
    <w:rsid w:val="00E335B6"/>
    <w:rsid w:val="00E33BF0"/>
    <w:rsid w:val="00E346EE"/>
    <w:rsid w:val="00E34B3A"/>
    <w:rsid w:val="00E34B83"/>
    <w:rsid w:val="00E3584F"/>
    <w:rsid w:val="00E36AE2"/>
    <w:rsid w:val="00E36BAF"/>
    <w:rsid w:val="00E36C53"/>
    <w:rsid w:val="00E36FFF"/>
    <w:rsid w:val="00E378E1"/>
    <w:rsid w:val="00E37932"/>
    <w:rsid w:val="00E412D0"/>
    <w:rsid w:val="00E41E9C"/>
    <w:rsid w:val="00E422B4"/>
    <w:rsid w:val="00E426A8"/>
    <w:rsid w:val="00E4277C"/>
    <w:rsid w:val="00E43FE2"/>
    <w:rsid w:val="00E44C96"/>
    <w:rsid w:val="00E44ED1"/>
    <w:rsid w:val="00E45E3D"/>
    <w:rsid w:val="00E46E42"/>
    <w:rsid w:val="00E4748E"/>
    <w:rsid w:val="00E47A69"/>
    <w:rsid w:val="00E47B7A"/>
    <w:rsid w:val="00E47DD1"/>
    <w:rsid w:val="00E47F98"/>
    <w:rsid w:val="00E5006E"/>
    <w:rsid w:val="00E5092E"/>
    <w:rsid w:val="00E50A3D"/>
    <w:rsid w:val="00E50E34"/>
    <w:rsid w:val="00E511F5"/>
    <w:rsid w:val="00E51DF7"/>
    <w:rsid w:val="00E5281A"/>
    <w:rsid w:val="00E536CB"/>
    <w:rsid w:val="00E53C62"/>
    <w:rsid w:val="00E53DB6"/>
    <w:rsid w:val="00E54094"/>
    <w:rsid w:val="00E545F1"/>
    <w:rsid w:val="00E54ADB"/>
    <w:rsid w:val="00E554D5"/>
    <w:rsid w:val="00E5574F"/>
    <w:rsid w:val="00E55C79"/>
    <w:rsid w:val="00E560DE"/>
    <w:rsid w:val="00E56322"/>
    <w:rsid w:val="00E571E6"/>
    <w:rsid w:val="00E60216"/>
    <w:rsid w:val="00E606D4"/>
    <w:rsid w:val="00E60982"/>
    <w:rsid w:val="00E61ACE"/>
    <w:rsid w:val="00E6225D"/>
    <w:rsid w:val="00E628BB"/>
    <w:rsid w:val="00E62AA3"/>
    <w:rsid w:val="00E62C62"/>
    <w:rsid w:val="00E63A11"/>
    <w:rsid w:val="00E640C1"/>
    <w:rsid w:val="00E642FD"/>
    <w:rsid w:val="00E64C2B"/>
    <w:rsid w:val="00E654C1"/>
    <w:rsid w:val="00E65AA9"/>
    <w:rsid w:val="00E65D97"/>
    <w:rsid w:val="00E660F4"/>
    <w:rsid w:val="00E66848"/>
    <w:rsid w:val="00E66C31"/>
    <w:rsid w:val="00E67FB7"/>
    <w:rsid w:val="00E7297B"/>
    <w:rsid w:val="00E72A5A"/>
    <w:rsid w:val="00E72AA8"/>
    <w:rsid w:val="00E73354"/>
    <w:rsid w:val="00E7388A"/>
    <w:rsid w:val="00E745F3"/>
    <w:rsid w:val="00E74D3C"/>
    <w:rsid w:val="00E74FFE"/>
    <w:rsid w:val="00E75238"/>
    <w:rsid w:val="00E76881"/>
    <w:rsid w:val="00E76C9C"/>
    <w:rsid w:val="00E77115"/>
    <w:rsid w:val="00E7766D"/>
    <w:rsid w:val="00E776D3"/>
    <w:rsid w:val="00E77A5B"/>
    <w:rsid w:val="00E80231"/>
    <w:rsid w:val="00E809C7"/>
    <w:rsid w:val="00E8181D"/>
    <w:rsid w:val="00E81EDE"/>
    <w:rsid w:val="00E81EEB"/>
    <w:rsid w:val="00E84182"/>
    <w:rsid w:val="00E84811"/>
    <w:rsid w:val="00E84E39"/>
    <w:rsid w:val="00E856F3"/>
    <w:rsid w:val="00E858D2"/>
    <w:rsid w:val="00E87555"/>
    <w:rsid w:val="00E87941"/>
    <w:rsid w:val="00E87A90"/>
    <w:rsid w:val="00E87D17"/>
    <w:rsid w:val="00E87DD9"/>
    <w:rsid w:val="00E90964"/>
    <w:rsid w:val="00E9100D"/>
    <w:rsid w:val="00E9129F"/>
    <w:rsid w:val="00E92130"/>
    <w:rsid w:val="00E9242D"/>
    <w:rsid w:val="00E92D2F"/>
    <w:rsid w:val="00E93308"/>
    <w:rsid w:val="00E93BE5"/>
    <w:rsid w:val="00E93FE8"/>
    <w:rsid w:val="00E94EC7"/>
    <w:rsid w:val="00E95071"/>
    <w:rsid w:val="00E96EE3"/>
    <w:rsid w:val="00EA019F"/>
    <w:rsid w:val="00EA0A40"/>
    <w:rsid w:val="00EA0B78"/>
    <w:rsid w:val="00EA1158"/>
    <w:rsid w:val="00EA1407"/>
    <w:rsid w:val="00EA2B10"/>
    <w:rsid w:val="00EA2C33"/>
    <w:rsid w:val="00EA455E"/>
    <w:rsid w:val="00EA46AE"/>
    <w:rsid w:val="00EA5600"/>
    <w:rsid w:val="00EA5C57"/>
    <w:rsid w:val="00EA60F0"/>
    <w:rsid w:val="00EA67B6"/>
    <w:rsid w:val="00EA6EC8"/>
    <w:rsid w:val="00EA6F65"/>
    <w:rsid w:val="00EA7316"/>
    <w:rsid w:val="00EA77A2"/>
    <w:rsid w:val="00EB1438"/>
    <w:rsid w:val="00EB2A9A"/>
    <w:rsid w:val="00EB3256"/>
    <w:rsid w:val="00EB5255"/>
    <w:rsid w:val="00EB56FD"/>
    <w:rsid w:val="00EB5C47"/>
    <w:rsid w:val="00EB609A"/>
    <w:rsid w:val="00EB62D0"/>
    <w:rsid w:val="00EC0224"/>
    <w:rsid w:val="00EC030D"/>
    <w:rsid w:val="00EC09ED"/>
    <w:rsid w:val="00EC1350"/>
    <w:rsid w:val="00EC1DCA"/>
    <w:rsid w:val="00EC230C"/>
    <w:rsid w:val="00EC26A9"/>
    <w:rsid w:val="00EC2DF5"/>
    <w:rsid w:val="00EC2F21"/>
    <w:rsid w:val="00EC3179"/>
    <w:rsid w:val="00EC3908"/>
    <w:rsid w:val="00EC43BA"/>
    <w:rsid w:val="00EC503B"/>
    <w:rsid w:val="00EC5D9E"/>
    <w:rsid w:val="00ED01C0"/>
    <w:rsid w:val="00ED04C7"/>
    <w:rsid w:val="00ED0639"/>
    <w:rsid w:val="00ED0730"/>
    <w:rsid w:val="00ED0C2A"/>
    <w:rsid w:val="00ED1994"/>
    <w:rsid w:val="00ED2190"/>
    <w:rsid w:val="00ED23E2"/>
    <w:rsid w:val="00ED266D"/>
    <w:rsid w:val="00ED2739"/>
    <w:rsid w:val="00ED2A39"/>
    <w:rsid w:val="00ED2FEA"/>
    <w:rsid w:val="00ED3EF9"/>
    <w:rsid w:val="00ED3F80"/>
    <w:rsid w:val="00ED4644"/>
    <w:rsid w:val="00ED50E7"/>
    <w:rsid w:val="00ED5634"/>
    <w:rsid w:val="00ED5A2F"/>
    <w:rsid w:val="00ED6CDB"/>
    <w:rsid w:val="00ED7743"/>
    <w:rsid w:val="00EE1075"/>
    <w:rsid w:val="00EE1BBF"/>
    <w:rsid w:val="00EE1EDD"/>
    <w:rsid w:val="00EE441B"/>
    <w:rsid w:val="00EE5B67"/>
    <w:rsid w:val="00EE5EB2"/>
    <w:rsid w:val="00EE630F"/>
    <w:rsid w:val="00EE6482"/>
    <w:rsid w:val="00EE7C94"/>
    <w:rsid w:val="00EF16FC"/>
    <w:rsid w:val="00EF1D75"/>
    <w:rsid w:val="00EF1F8E"/>
    <w:rsid w:val="00EF2361"/>
    <w:rsid w:val="00EF36D8"/>
    <w:rsid w:val="00EF38D9"/>
    <w:rsid w:val="00EF4538"/>
    <w:rsid w:val="00EF45BF"/>
    <w:rsid w:val="00EF4755"/>
    <w:rsid w:val="00EF4C99"/>
    <w:rsid w:val="00EF519B"/>
    <w:rsid w:val="00EF541D"/>
    <w:rsid w:val="00EF579B"/>
    <w:rsid w:val="00EF5C19"/>
    <w:rsid w:val="00EF6690"/>
    <w:rsid w:val="00EF7135"/>
    <w:rsid w:val="00EF7378"/>
    <w:rsid w:val="00F00008"/>
    <w:rsid w:val="00F00F6D"/>
    <w:rsid w:val="00F01AB9"/>
    <w:rsid w:val="00F01EA9"/>
    <w:rsid w:val="00F021DF"/>
    <w:rsid w:val="00F022D5"/>
    <w:rsid w:val="00F027DB"/>
    <w:rsid w:val="00F02CE8"/>
    <w:rsid w:val="00F03362"/>
    <w:rsid w:val="00F038EE"/>
    <w:rsid w:val="00F03A46"/>
    <w:rsid w:val="00F03CCD"/>
    <w:rsid w:val="00F06383"/>
    <w:rsid w:val="00F063AC"/>
    <w:rsid w:val="00F06493"/>
    <w:rsid w:val="00F067C7"/>
    <w:rsid w:val="00F071EB"/>
    <w:rsid w:val="00F10305"/>
    <w:rsid w:val="00F10447"/>
    <w:rsid w:val="00F10558"/>
    <w:rsid w:val="00F10EBC"/>
    <w:rsid w:val="00F1173E"/>
    <w:rsid w:val="00F12C2B"/>
    <w:rsid w:val="00F12DD4"/>
    <w:rsid w:val="00F12E0A"/>
    <w:rsid w:val="00F1322F"/>
    <w:rsid w:val="00F13587"/>
    <w:rsid w:val="00F135E6"/>
    <w:rsid w:val="00F1371F"/>
    <w:rsid w:val="00F138D3"/>
    <w:rsid w:val="00F13EE5"/>
    <w:rsid w:val="00F14960"/>
    <w:rsid w:val="00F14A7A"/>
    <w:rsid w:val="00F14CB2"/>
    <w:rsid w:val="00F15512"/>
    <w:rsid w:val="00F15653"/>
    <w:rsid w:val="00F157E8"/>
    <w:rsid w:val="00F16393"/>
    <w:rsid w:val="00F17A31"/>
    <w:rsid w:val="00F17F40"/>
    <w:rsid w:val="00F20593"/>
    <w:rsid w:val="00F20FF9"/>
    <w:rsid w:val="00F21065"/>
    <w:rsid w:val="00F21326"/>
    <w:rsid w:val="00F21D22"/>
    <w:rsid w:val="00F22985"/>
    <w:rsid w:val="00F22D46"/>
    <w:rsid w:val="00F23183"/>
    <w:rsid w:val="00F24AF0"/>
    <w:rsid w:val="00F24E61"/>
    <w:rsid w:val="00F2623F"/>
    <w:rsid w:val="00F26F0B"/>
    <w:rsid w:val="00F271F8"/>
    <w:rsid w:val="00F27225"/>
    <w:rsid w:val="00F27625"/>
    <w:rsid w:val="00F30717"/>
    <w:rsid w:val="00F31B1D"/>
    <w:rsid w:val="00F31E81"/>
    <w:rsid w:val="00F33708"/>
    <w:rsid w:val="00F3383E"/>
    <w:rsid w:val="00F33F4F"/>
    <w:rsid w:val="00F35CB1"/>
    <w:rsid w:val="00F36E6E"/>
    <w:rsid w:val="00F3729A"/>
    <w:rsid w:val="00F37AF4"/>
    <w:rsid w:val="00F40371"/>
    <w:rsid w:val="00F40619"/>
    <w:rsid w:val="00F428D3"/>
    <w:rsid w:val="00F42BD9"/>
    <w:rsid w:val="00F431A0"/>
    <w:rsid w:val="00F43936"/>
    <w:rsid w:val="00F443D8"/>
    <w:rsid w:val="00F4441F"/>
    <w:rsid w:val="00F45C24"/>
    <w:rsid w:val="00F45E40"/>
    <w:rsid w:val="00F4602F"/>
    <w:rsid w:val="00F463E6"/>
    <w:rsid w:val="00F465A7"/>
    <w:rsid w:val="00F47B42"/>
    <w:rsid w:val="00F50B7C"/>
    <w:rsid w:val="00F5112C"/>
    <w:rsid w:val="00F51195"/>
    <w:rsid w:val="00F5178C"/>
    <w:rsid w:val="00F527C8"/>
    <w:rsid w:val="00F52EFD"/>
    <w:rsid w:val="00F530C4"/>
    <w:rsid w:val="00F53300"/>
    <w:rsid w:val="00F53DA7"/>
    <w:rsid w:val="00F550E6"/>
    <w:rsid w:val="00F56409"/>
    <w:rsid w:val="00F56857"/>
    <w:rsid w:val="00F57137"/>
    <w:rsid w:val="00F57624"/>
    <w:rsid w:val="00F6019F"/>
    <w:rsid w:val="00F62A0F"/>
    <w:rsid w:val="00F6496C"/>
    <w:rsid w:val="00F650F2"/>
    <w:rsid w:val="00F656C8"/>
    <w:rsid w:val="00F6583F"/>
    <w:rsid w:val="00F65F35"/>
    <w:rsid w:val="00F663B0"/>
    <w:rsid w:val="00F66889"/>
    <w:rsid w:val="00F676C4"/>
    <w:rsid w:val="00F6781A"/>
    <w:rsid w:val="00F705C4"/>
    <w:rsid w:val="00F70BB9"/>
    <w:rsid w:val="00F72DAB"/>
    <w:rsid w:val="00F72DC1"/>
    <w:rsid w:val="00F736D9"/>
    <w:rsid w:val="00F741B5"/>
    <w:rsid w:val="00F74345"/>
    <w:rsid w:val="00F745B3"/>
    <w:rsid w:val="00F75325"/>
    <w:rsid w:val="00F76122"/>
    <w:rsid w:val="00F76723"/>
    <w:rsid w:val="00F778C4"/>
    <w:rsid w:val="00F778DB"/>
    <w:rsid w:val="00F80022"/>
    <w:rsid w:val="00F80042"/>
    <w:rsid w:val="00F801D6"/>
    <w:rsid w:val="00F803E7"/>
    <w:rsid w:val="00F80A0A"/>
    <w:rsid w:val="00F81A21"/>
    <w:rsid w:val="00F82B19"/>
    <w:rsid w:val="00F83C3E"/>
    <w:rsid w:val="00F83CBF"/>
    <w:rsid w:val="00F83F26"/>
    <w:rsid w:val="00F85154"/>
    <w:rsid w:val="00F870D0"/>
    <w:rsid w:val="00F875DB"/>
    <w:rsid w:val="00F87745"/>
    <w:rsid w:val="00F9051B"/>
    <w:rsid w:val="00F90B0A"/>
    <w:rsid w:val="00F912C3"/>
    <w:rsid w:val="00F91F3F"/>
    <w:rsid w:val="00F9212D"/>
    <w:rsid w:val="00F92495"/>
    <w:rsid w:val="00F92B07"/>
    <w:rsid w:val="00F93448"/>
    <w:rsid w:val="00F934F4"/>
    <w:rsid w:val="00F94B68"/>
    <w:rsid w:val="00F95EEC"/>
    <w:rsid w:val="00F9604B"/>
    <w:rsid w:val="00F96110"/>
    <w:rsid w:val="00F9625A"/>
    <w:rsid w:val="00F965DA"/>
    <w:rsid w:val="00F96F41"/>
    <w:rsid w:val="00F970A8"/>
    <w:rsid w:val="00F97262"/>
    <w:rsid w:val="00FA011D"/>
    <w:rsid w:val="00FA127C"/>
    <w:rsid w:val="00FA2215"/>
    <w:rsid w:val="00FA2635"/>
    <w:rsid w:val="00FA27B6"/>
    <w:rsid w:val="00FA3030"/>
    <w:rsid w:val="00FA363E"/>
    <w:rsid w:val="00FA406A"/>
    <w:rsid w:val="00FA4269"/>
    <w:rsid w:val="00FA54D5"/>
    <w:rsid w:val="00FA5ADB"/>
    <w:rsid w:val="00FA5E4A"/>
    <w:rsid w:val="00FA5E78"/>
    <w:rsid w:val="00FA6362"/>
    <w:rsid w:val="00FA6CD6"/>
    <w:rsid w:val="00FA72C9"/>
    <w:rsid w:val="00FA7898"/>
    <w:rsid w:val="00FA7AA6"/>
    <w:rsid w:val="00FA7FE0"/>
    <w:rsid w:val="00FB3DDA"/>
    <w:rsid w:val="00FB4677"/>
    <w:rsid w:val="00FB503A"/>
    <w:rsid w:val="00FB516C"/>
    <w:rsid w:val="00FB5C73"/>
    <w:rsid w:val="00FB5E0D"/>
    <w:rsid w:val="00FB5F98"/>
    <w:rsid w:val="00FB6299"/>
    <w:rsid w:val="00FB65B0"/>
    <w:rsid w:val="00FB7953"/>
    <w:rsid w:val="00FC0EB8"/>
    <w:rsid w:val="00FC1EF0"/>
    <w:rsid w:val="00FC2B9B"/>
    <w:rsid w:val="00FC3895"/>
    <w:rsid w:val="00FC3A85"/>
    <w:rsid w:val="00FC7B18"/>
    <w:rsid w:val="00FD0236"/>
    <w:rsid w:val="00FD037A"/>
    <w:rsid w:val="00FD18E6"/>
    <w:rsid w:val="00FD18F4"/>
    <w:rsid w:val="00FD1B48"/>
    <w:rsid w:val="00FD3329"/>
    <w:rsid w:val="00FD35F7"/>
    <w:rsid w:val="00FD3986"/>
    <w:rsid w:val="00FD4E6A"/>
    <w:rsid w:val="00FD4F72"/>
    <w:rsid w:val="00FD54DB"/>
    <w:rsid w:val="00FD58ED"/>
    <w:rsid w:val="00FD5BCD"/>
    <w:rsid w:val="00FD619F"/>
    <w:rsid w:val="00FD6B43"/>
    <w:rsid w:val="00FD7727"/>
    <w:rsid w:val="00FE01EA"/>
    <w:rsid w:val="00FE1379"/>
    <w:rsid w:val="00FE13D7"/>
    <w:rsid w:val="00FE1649"/>
    <w:rsid w:val="00FE2233"/>
    <w:rsid w:val="00FE2A5F"/>
    <w:rsid w:val="00FE2D7C"/>
    <w:rsid w:val="00FE3595"/>
    <w:rsid w:val="00FE37D1"/>
    <w:rsid w:val="00FE439D"/>
    <w:rsid w:val="00FE4518"/>
    <w:rsid w:val="00FE4A5F"/>
    <w:rsid w:val="00FE5ABA"/>
    <w:rsid w:val="00FE64C3"/>
    <w:rsid w:val="00FE737B"/>
    <w:rsid w:val="00FF0996"/>
    <w:rsid w:val="00FF0BDC"/>
    <w:rsid w:val="00FF0F14"/>
    <w:rsid w:val="00FF11E6"/>
    <w:rsid w:val="00FF161E"/>
    <w:rsid w:val="00FF1800"/>
    <w:rsid w:val="00FF2288"/>
    <w:rsid w:val="00FF24D0"/>
    <w:rsid w:val="00FF2900"/>
    <w:rsid w:val="00FF2C70"/>
    <w:rsid w:val="00FF322D"/>
    <w:rsid w:val="00FF4C73"/>
    <w:rsid w:val="00FF542A"/>
    <w:rsid w:val="00FF57ED"/>
    <w:rsid w:val="00FF5B10"/>
    <w:rsid w:val="00FF61A5"/>
    <w:rsid w:val="00FF67D0"/>
    <w:rsid w:val="010D6029"/>
    <w:rsid w:val="01290F7E"/>
    <w:rsid w:val="01410924"/>
    <w:rsid w:val="0142049B"/>
    <w:rsid w:val="0147778C"/>
    <w:rsid w:val="01561605"/>
    <w:rsid w:val="015D1E09"/>
    <w:rsid w:val="01601742"/>
    <w:rsid w:val="01676C2F"/>
    <w:rsid w:val="01792184"/>
    <w:rsid w:val="01992DA8"/>
    <w:rsid w:val="019D491C"/>
    <w:rsid w:val="01B61553"/>
    <w:rsid w:val="01BE3463"/>
    <w:rsid w:val="01C05790"/>
    <w:rsid w:val="01C16C2C"/>
    <w:rsid w:val="01D9415D"/>
    <w:rsid w:val="01E3418E"/>
    <w:rsid w:val="01EE5E5A"/>
    <w:rsid w:val="021D7EEF"/>
    <w:rsid w:val="02256F1D"/>
    <w:rsid w:val="02375F66"/>
    <w:rsid w:val="023B6957"/>
    <w:rsid w:val="023C2F36"/>
    <w:rsid w:val="025B2DC4"/>
    <w:rsid w:val="02697903"/>
    <w:rsid w:val="026E67DA"/>
    <w:rsid w:val="02AE57D2"/>
    <w:rsid w:val="02B5462D"/>
    <w:rsid w:val="02BB4975"/>
    <w:rsid w:val="02E62980"/>
    <w:rsid w:val="02F96569"/>
    <w:rsid w:val="0316724E"/>
    <w:rsid w:val="0344546B"/>
    <w:rsid w:val="034C3C4F"/>
    <w:rsid w:val="03777B65"/>
    <w:rsid w:val="039D6C50"/>
    <w:rsid w:val="03A67A81"/>
    <w:rsid w:val="03BE185C"/>
    <w:rsid w:val="03E219EE"/>
    <w:rsid w:val="03E861A4"/>
    <w:rsid w:val="03EA7B21"/>
    <w:rsid w:val="0411606A"/>
    <w:rsid w:val="041416B6"/>
    <w:rsid w:val="041E2049"/>
    <w:rsid w:val="04247911"/>
    <w:rsid w:val="04351303"/>
    <w:rsid w:val="043F427F"/>
    <w:rsid w:val="046248DD"/>
    <w:rsid w:val="047853BE"/>
    <w:rsid w:val="04960085"/>
    <w:rsid w:val="04A11A55"/>
    <w:rsid w:val="04B6265B"/>
    <w:rsid w:val="04DB26FC"/>
    <w:rsid w:val="04E97FC7"/>
    <w:rsid w:val="04F31C09"/>
    <w:rsid w:val="051369A7"/>
    <w:rsid w:val="057059F1"/>
    <w:rsid w:val="057912DE"/>
    <w:rsid w:val="05A624E4"/>
    <w:rsid w:val="05B43C04"/>
    <w:rsid w:val="05D433A1"/>
    <w:rsid w:val="05E26DB0"/>
    <w:rsid w:val="05F83EAE"/>
    <w:rsid w:val="06076480"/>
    <w:rsid w:val="062C3C79"/>
    <w:rsid w:val="06300B3B"/>
    <w:rsid w:val="063E7D85"/>
    <w:rsid w:val="064063FC"/>
    <w:rsid w:val="066E18CA"/>
    <w:rsid w:val="069B115B"/>
    <w:rsid w:val="06B27F6D"/>
    <w:rsid w:val="06C14FA9"/>
    <w:rsid w:val="06C72DBC"/>
    <w:rsid w:val="06F32700"/>
    <w:rsid w:val="07097292"/>
    <w:rsid w:val="072107C3"/>
    <w:rsid w:val="07226A19"/>
    <w:rsid w:val="07293586"/>
    <w:rsid w:val="07295285"/>
    <w:rsid w:val="07427F6D"/>
    <w:rsid w:val="074A1FE9"/>
    <w:rsid w:val="07500A1D"/>
    <w:rsid w:val="07615D19"/>
    <w:rsid w:val="07636392"/>
    <w:rsid w:val="076A5F83"/>
    <w:rsid w:val="07761D8D"/>
    <w:rsid w:val="07762B7A"/>
    <w:rsid w:val="07770C56"/>
    <w:rsid w:val="078F0864"/>
    <w:rsid w:val="079F385D"/>
    <w:rsid w:val="07A67B6A"/>
    <w:rsid w:val="07C75183"/>
    <w:rsid w:val="07D26FE6"/>
    <w:rsid w:val="07E43F6E"/>
    <w:rsid w:val="07EF68A9"/>
    <w:rsid w:val="07FD6DF7"/>
    <w:rsid w:val="081E1967"/>
    <w:rsid w:val="082865B2"/>
    <w:rsid w:val="084E5429"/>
    <w:rsid w:val="08660909"/>
    <w:rsid w:val="08696ADE"/>
    <w:rsid w:val="08725E00"/>
    <w:rsid w:val="088200F3"/>
    <w:rsid w:val="08993545"/>
    <w:rsid w:val="08A91B95"/>
    <w:rsid w:val="08B92716"/>
    <w:rsid w:val="08C26C76"/>
    <w:rsid w:val="08CB5FA6"/>
    <w:rsid w:val="08F330BA"/>
    <w:rsid w:val="08F330C9"/>
    <w:rsid w:val="092217DD"/>
    <w:rsid w:val="092A57A2"/>
    <w:rsid w:val="093876D2"/>
    <w:rsid w:val="093A7294"/>
    <w:rsid w:val="096B3CF3"/>
    <w:rsid w:val="096B3F30"/>
    <w:rsid w:val="09A423C9"/>
    <w:rsid w:val="09A71F13"/>
    <w:rsid w:val="09CD27F9"/>
    <w:rsid w:val="09D422B5"/>
    <w:rsid w:val="09ED0F1F"/>
    <w:rsid w:val="09F37969"/>
    <w:rsid w:val="0A25528D"/>
    <w:rsid w:val="0A263993"/>
    <w:rsid w:val="0A2C751F"/>
    <w:rsid w:val="0A2D3AC2"/>
    <w:rsid w:val="0A3B495E"/>
    <w:rsid w:val="0A465FB9"/>
    <w:rsid w:val="0A592759"/>
    <w:rsid w:val="0A636CB9"/>
    <w:rsid w:val="0AA755DF"/>
    <w:rsid w:val="0AB55D1C"/>
    <w:rsid w:val="0AB944A3"/>
    <w:rsid w:val="0ACE2BAA"/>
    <w:rsid w:val="0B120D44"/>
    <w:rsid w:val="0B2544BD"/>
    <w:rsid w:val="0B2B0C5F"/>
    <w:rsid w:val="0B3A06D3"/>
    <w:rsid w:val="0B3E4FA8"/>
    <w:rsid w:val="0B48754E"/>
    <w:rsid w:val="0B4B1C27"/>
    <w:rsid w:val="0B512FB6"/>
    <w:rsid w:val="0B707905"/>
    <w:rsid w:val="0B777E99"/>
    <w:rsid w:val="0B786794"/>
    <w:rsid w:val="0B9D230E"/>
    <w:rsid w:val="0BC50463"/>
    <w:rsid w:val="0BC96739"/>
    <w:rsid w:val="0BD066CE"/>
    <w:rsid w:val="0BD27BF6"/>
    <w:rsid w:val="0BF56037"/>
    <w:rsid w:val="0C075C4D"/>
    <w:rsid w:val="0C091367"/>
    <w:rsid w:val="0C156C90"/>
    <w:rsid w:val="0C171CB6"/>
    <w:rsid w:val="0C1F11C6"/>
    <w:rsid w:val="0C233558"/>
    <w:rsid w:val="0C2C7C08"/>
    <w:rsid w:val="0C3B3C7D"/>
    <w:rsid w:val="0C4115A6"/>
    <w:rsid w:val="0C49550C"/>
    <w:rsid w:val="0C607B67"/>
    <w:rsid w:val="0C7037B7"/>
    <w:rsid w:val="0C796E9E"/>
    <w:rsid w:val="0C7B653C"/>
    <w:rsid w:val="0C825BF5"/>
    <w:rsid w:val="0CAB2EAE"/>
    <w:rsid w:val="0CCC4B59"/>
    <w:rsid w:val="0CFA2204"/>
    <w:rsid w:val="0D034CB1"/>
    <w:rsid w:val="0D0C7AB8"/>
    <w:rsid w:val="0D15548D"/>
    <w:rsid w:val="0D2A57BD"/>
    <w:rsid w:val="0D4A0DC5"/>
    <w:rsid w:val="0D51054B"/>
    <w:rsid w:val="0D621C7D"/>
    <w:rsid w:val="0D6B65B1"/>
    <w:rsid w:val="0D7036AA"/>
    <w:rsid w:val="0D731909"/>
    <w:rsid w:val="0D8F4B28"/>
    <w:rsid w:val="0DAA0079"/>
    <w:rsid w:val="0DB44810"/>
    <w:rsid w:val="0DC72033"/>
    <w:rsid w:val="0DCD1B00"/>
    <w:rsid w:val="0DCD799E"/>
    <w:rsid w:val="0DD025B8"/>
    <w:rsid w:val="0E0A6A8A"/>
    <w:rsid w:val="0E4A5ECD"/>
    <w:rsid w:val="0E4F4A42"/>
    <w:rsid w:val="0E6162E4"/>
    <w:rsid w:val="0E6A73C7"/>
    <w:rsid w:val="0E73034D"/>
    <w:rsid w:val="0E853758"/>
    <w:rsid w:val="0E855450"/>
    <w:rsid w:val="0EE6515E"/>
    <w:rsid w:val="0F13775A"/>
    <w:rsid w:val="0F326317"/>
    <w:rsid w:val="0F4B5AEF"/>
    <w:rsid w:val="0F5C2BA3"/>
    <w:rsid w:val="0F5F45FE"/>
    <w:rsid w:val="0F601F56"/>
    <w:rsid w:val="0F615EBD"/>
    <w:rsid w:val="0F6960C5"/>
    <w:rsid w:val="0F9A112B"/>
    <w:rsid w:val="0FB80F7E"/>
    <w:rsid w:val="0FBF0FD8"/>
    <w:rsid w:val="0FD22C29"/>
    <w:rsid w:val="0FD2532C"/>
    <w:rsid w:val="10010FA9"/>
    <w:rsid w:val="1012195B"/>
    <w:rsid w:val="10260671"/>
    <w:rsid w:val="102B3267"/>
    <w:rsid w:val="103B4960"/>
    <w:rsid w:val="10470670"/>
    <w:rsid w:val="105C651B"/>
    <w:rsid w:val="106D2F64"/>
    <w:rsid w:val="10701822"/>
    <w:rsid w:val="10712399"/>
    <w:rsid w:val="10A04E3C"/>
    <w:rsid w:val="10A134A2"/>
    <w:rsid w:val="10A342B4"/>
    <w:rsid w:val="10B63710"/>
    <w:rsid w:val="10C34956"/>
    <w:rsid w:val="10C50DD0"/>
    <w:rsid w:val="10C51863"/>
    <w:rsid w:val="10DA7B9E"/>
    <w:rsid w:val="10E6155A"/>
    <w:rsid w:val="10F10820"/>
    <w:rsid w:val="10FF1997"/>
    <w:rsid w:val="11005262"/>
    <w:rsid w:val="111C2F7A"/>
    <w:rsid w:val="112E5024"/>
    <w:rsid w:val="115D0906"/>
    <w:rsid w:val="11665CA1"/>
    <w:rsid w:val="11755C50"/>
    <w:rsid w:val="11760186"/>
    <w:rsid w:val="11A526D9"/>
    <w:rsid w:val="11B67C1F"/>
    <w:rsid w:val="11C06BB2"/>
    <w:rsid w:val="11D706B9"/>
    <w:rsid w:val="11E365EE"/>
    <w:rsid w:val="11EE232F"/>
    <w:rsid w:val="1216189F"/>
    <w:rsid w:val="121E2078"/>
    <w:rsid w:val="12280F14"/>
    <w:rsid w:val="12302753"/>
    <w:rsid w:val="12514FFD"/>
    <w:rsid w:val="126348A9"/>
    <w:rsid w:val="127A580F"/>
    <w:rsid w:val="12840433"/>
    <w:rsid w:val="128817A8"/>
    <w:rsid w:val="12BC6037"/>
    <w:rsid w:val="12EF695C"/>
    <w:rsid w:val="13023193"/>
    <w:rsid w:val="1306153F"/>
    <w:rsid w:val="13207DD3"/>
    <w:rsid w:val="133D757D"/>
    <w:rsid w:val="13432DF2"/>
    <w:rsid w:val="135F24E2"/>
    <w:rsid w:val="13621F2F"/>
    <w:rsid w:val="136C24C2"/>
    <w:rsid w:val="1370708B"/>
    <w:rsid w:val="13936861"/>
    <w:rsid w:val="13951726"/>
    <w:rsid w:val="13C64279"/>
    <w:rsid w:val="13CB3A86"/>
    <w:rsid w:val="13F35552"/>
    <w:rsid w:val="13FA68E0"/>
    <w:rsid w:val="141F4151"/>
    <w:rsid w:val="14233B13"/>
    <w:rsid w:val="14396509"/>
    <w:rsid w:val="144F4396"/>
    <w:rsid w:val="14705A07"/>
    <w:rsid w:val="14771CDF"/>
    <w:rsid w:val="147D490B"/>
    <w:rsid w:val="14877A3D"/>
    <w:rsid w:val="148B3890"/>
    <w:rsid w:val="14911189"/>
    <w:rsid w:val="149E144B"/>
    <w:rsid w:val="14A10EC5"/>
    <w:rsid w:val="14DD2C3C"/>
    <w:rsid w:val="14EF1875"/>
    <w:rsid w:val="15080B89"/>
    <w:rsid w:val="151C63E2"/>
    <w:rsid w:val="153B79F8"/>
    <w:rsid w:val="154020D1"/>
    <w:rsid w:val="155F5995"/>
    <w:rsid w:val="157533D5"/>
    <w:rsid w:val="15844F2B"/>
    <w:rsid w:val="15B41AD3"/>
    <w:rsid w:val="15BE773A"/>
    <w:rsid w:val="15C96AAD"/>
    <w:rsid w:val="15CA4090"/>
    <w:rsid w:val="15CE1E8D"/>
    <w:rsid w:val="15D02824"/>
    <w:rsid w:val="15E87481"/>
    <w:rsid w:val="15F925DF"/>
    <w:rsid w:val="160317CE"/>
    <w:rsid w:val="16087E1D"/>
    <w:rsid w:val="16181B83"/>
    <w:rsid w:val="161A600B"/>
    <w:rsid w:val="162570CE"/>
    <w:rsid w:val="166D5C6A"/>
    <w:rsid w:val="16897AA8"/>
    <w:rsid w:val="16980D7A"/>
    <w:rsid w:val="16C06502"/>
    <w:rsid w:val="1709198F"/>
    <w:rsid w:val="17257822"/>
    <w:rsid w:val="17626B4E"/>
    <w:rsid w:val="176E70D3"/>
    <w:rsid w:val="17701D14"/>
    <w:rsid w:val="17735226"/>
    <w:rsid w:val="178C5AA1"/>
    <w:rsid w:val="17AA5F28"/>
    <w:rsid w:val="17B62B1E"/>
    <w:rsid w:val="17BC1AA1"/>
    <w:rsid w:val="17F54E7E"/>
    <w:rsid w:val="17F97707"/>
    <w:rsid w:val="180C346F"/>
    <w:rsid w:val="1840063A"/>
    <w:rsid w:val="186D5438"/>
    <w:rsid w:val="18716361"/>
    <w:rsid w:val="189D4D48"/>
    <w:rsid w:val="189F0EB9"/>
    <w:rsid w:val="189F624C"/>
    <w:rsid w:val="18BB04AA"/>
    <w:rsid w:val="18BC1D2B"/>
    <w:rsid w:val="18CD2B3E"/>
    <w:rsid w:val="18CD4F1B"/>
    <w:rsid w:val="18D6367D"/>
    <w:rsid w:val="18E63F8E"/>
    <w:rsid w:val="18F46985"/>
    <w:rsid w:val="190B41A4"/>
    <w:rsid w:val="195D6A87"/>
    <w:rsid w:val="198B6DB9"/>
    <w:rsid w:val="198D30EC"/>
    <w:rsid w:val="19944425"/>
    <w:rsid w:val="19C50FA2"/>
    <w:rsid w:val="19F81081"/>
    <w:rsid w:val="19F83806"/>
    <w:rsid w:val="1A073245"/>
    <w:rsid w:val="1A0758B3"/>
    <w:rsid w:val="1A097470"/>
    <w:rsid w:val="1A0A5C1B"/>
    <w:rsid w:val="1A10582E"/>
    <w:rsid w:val="1A1324AA"/>
    <w:rsid w:val="1A1C66C0"/>
    <w:rsid w:val="1A2270BE"/>
    <w:rsid w:val="1A26496F"/>
    <w:rsid w:val="1A42393B"/>
    <w:rsid w:val="1A6625D6"/>
    <w:rsid w:val="1A735A51"/>
    <w:rsid w:val="1AA33880"/>
    <w:rsid w:val="1AAD45DE"/>
    <w:rsid w:val="1AB65D1D"/>
    <w:rsid w:val="1ABC445F"/>
    <w:rsid w:val="1ADC6D40"/>
    <w:rsid w:val="1AE46DEA"/>
    <w:rsid w:val="1AE94FB9"/>
    <w:rsid w:val="1B046F80"/>
    <w:rsid w:val="1B26620D"/>
    <w:rsid w:val="1B3267B5"/>
    <w:rsid w:val="1B3A07DB"/>
    <w:rsid w:val="1B40161D"/>
    <w:rsid w:val="1B441859"/>
    <w:rsid w:val="1B522B5E"/>
    <w:rsid w:val="1B6606B1"/>
    <w:rsid w:val="1B6A434C"/>
    <w:rsid w:val="1BD417C5"/>
    <w:rsid w:val="1BD60EF4"/>
    <w:rsid w:val="1BF27226"/>
    <w:rsid w:val="1BFB3CE0"/>
    <w:rsid w:val="1C1864B0"/>
    <w:rsid w:val="1C2023BD"/>
    <w:rsid w:val="1C2E0CC8"/>
    <w:rsid w:val="1C3F4754"/>
    <w:rsid w:val="1C4032FE"/>
    <w:rsid w:val="1C5D6D12"/>
    <w:rsid w:val="1C5E7925"/>
    <w:rsid w:val="1C614170"/>
    <w:rsid w:val="1C634C3C"/>
    <w:rsid w:val="1C6A081D"/>
    <w:rsid w:val="1C8A72A9"/>
    <w:rsid w:val="1C996897"/>
    <w:rsid w:val="1CB22D3B"/>
    <w:rsid w:val="1CE24294"/>
    <w:rsid w:val="1CEA39EA"/>
    <w:rsid w:val="1CFD070F"/>
    <w:rsid w:val="1D0F2C44"/>
    <w:rsid w:val="1D2E0F06"/>
    <w:rsid w:val="1D386C54"/>
    <w:rsid w:val="1D4F4543"/>
    <w:rsid w:val="1D5337BB"/>
    <w:rsid w:val="1D534564"/>
    <w:rsid w:val="1D5D57EA"/>
    <w:rsid w:val="1D5E10DB"/>
    <w:rsid w:val="1D5F6196"/>
    <w:rsid w:val="1D605C63"/>
    <w:rsid w:val="1D6132A5"/>
    <w:rsid w:val="1D634930"/>
    <w:rsid w:val="1D660B43"/>
    <w:rsid w:val="1D7C3EC2"/>
    <w:rsid w:val="1D890DA3"/>
    <w:rsid w:val="1D8E1C29"/>
    <w:rsid w:val="1D8E56D5"/>
    <w:rsid w:val="1DA16AE8"/>
    <w:rsid w:val="1DA70180"/>
    <w:rsid w:val="1DC31AF1"/>
    <w:rsid w:val="1DD02E40"/>
    <w:rsid w:val="1DEC2CAE"/>
    <w:rsid w:val="1DF423BD"/>
    <w:rsid w:val="1DFE71E1"/>
    <w:rsid w:val="1E485CAF"/>
    <w:rsid w:val="1E787307"/>
    <w:rsid w:val="1E7A43DA"/>
    <w:rsid w:val="1E967206"/>
    <w:rsid w:val="1EC53744"/>
    <w:rsid w:val="1EC93137"/>
    <w:rsid w:val="1F002484"/>
    <w:rsid w:val="1F0423C1"/>
    <w:rsid w:val="1F0C571A"/>
    <w:rsid w:val="1F226FF4"/>
    <w:rsid w:val="1F355821"/>
    <w:rsid w:val="1F906BCA"/>
    <w:rsid w:val="1FC25E68"/>
    <w:rsid w:val="1FC45EAE"/>
    <w:rsid w:val="1FE53EC9"/>
    <w:rsid w:val="1FE7539E"/>
    <w:rsid w:val="204A043C"/>
    <w:rsid w:val="20671BE0"/>
    <w:rsid w:val="207A61C9"/>
    <w:rsid w:val="20906006"/>
    <w:rsid w:val="20916CFE"/>
    <w:rsid w:val="20963CB8"/>
    <w:rsid w:val="20967902"/>
    <w:rsid w:val="20A51982"/>
    <w:rsid w:val="20A81A1B"/>
    <w:rsid w:val="20B02153"/>
    <w:rsid w:val="20B07FB6"/>
    <w:rsid w:val="20B646FB"/>
    <w:rsid w:val="20E97AC1"/>
    <w:rsid w:val="20EC77BF"/>
    <w:rsid w:val="211C305E"/>
    <w:rsid w:val="213B74B1"/>
    <w:rsid w:val="21595C47"/>
    <w:rsid w:val="215A2310"/>
    <w:rsid w:val="215C2833"/>
    <w:rsid w:val="21625D28"/>
    <w:rsid w:val="216655B5"/>
    <w:rsid w:val="21B92553"/>
    <w:rsid w:val="21DC1AA7"/>
    <w:rsid w:val="21DE318A"/>
    <w:rsid w:val="21EF5B80"/>
    <w:rsid w:val="21F16417"/>
    <w:rsid w:val="21F63848"/>
    <w:rsid w:val="221150DC"/>
    <w:rsid w:val="222344F1"/>
    <w:rsid w:val="22561810"/>
    <w:rsid w:val="22576990"/>
    <w:rsid w:val="22595F32"/>
    <w:rsid w:val="22921C8A"/>
    <w:rsid w:val="229C1E2A"/>
    <w:rsid w:val="229E57E3"/>
    <w:rsid w:val="22B70195"/>
    <w:rsid w:val="22D02978"/>
    <w:rsid w:val="22E735D5"/>
    <w:rsid w:val="22F47480"/>
    <w:rsid w:val="2303032F"/>
    <w:rsid w:val="230E494D"/>
    <w:rsid w:val="232B5C53"/>
    <w:rsid w:val="23326DE6"/>
    <w:rsid w:val="235D0EC5"/>
    <w:rsid w:val="23634C65"/>
    <w:rsid w:val="236E6475"/>
    <w:rsid w:val="2388469A"/>
    <w:rsid w:val="23987410"/>
    <w:rsid w:val="23C31D80"/>
    <w:rsid w:val="23D828E1"/>
    <w:rsid w:val="23DC5C6B"/>
    <w:rsid w:val="23DE1C48"/>
    <w:rsid w:val="240210CD"/>
    <w:rsid w:val="2434794B"/>
    <w:rsid w:val="24446331"/>
    <w:rsid w:val="244731CB"/>
    <w:rsid w:val="24521E21"/>
    <w:rsid w:val="24694BB9"/>
    <w:rsid w:val="247D114C"/>
    <w:rsid w:val="2485597A"/>
    <w:rsid w:val="249B154A"/>
    <w:rsid w:val="249B5576"/>
    <w:rsid w:val="24BF09F7"/>
    <w:rsid w:val="24C870C8"/>
    <w:rsid w:val="24C928F7"/>
    <w:rsid w:val="24D06819"/>
    <w:rsid w:val="24E04765"/>
    <w:rsid w:val="24F75DC7"/>
    <w:rsid w:val="251A61EE"/>
    <w:rsid w:val="252D53FE"/>
    <w:rsid w:val="254168DF"/>
    <w:rsid w:val="25431CB9"/>
    <w:rsid w:val="259127EB"/>
    <w:rsid w:val="25A54550"/>
    <w:rsid w:val="25B42BE6"/>
    <w:rsid w:val="25B52667"/>
    <w:rsid w:val="25DE1BBE"/>
    <w:rsid w:val="25EC2D81"/>
    <w:rsid w:val="262F3C6F"/>
    <w:rsid w:val="266529A1"/>
    <w:rsid w:val="267A740D"/>
    <w:rsid w:val="26AE424B"/>
    <w:rsid w:val="26BA0A51"/>
    <w:rsid w:val="26FD53EA"/>
    <w:rsid w:val="26FF49CC"/>
    <w:rsid w:val="27025128"/>
    <w:rsid w:val="27084A19"/>
    <w:rsid w:val="27242217"/>
    <w:rsid w:val="27423F70"/>
    <w:rsid w:val="277057A2"/>
    <w:rsid w:val="27713183"/>
    <w:rsid w:val="277F4CDB"/>
    <w:rsid w:val="278542BB"/>
    <w:rsid w:val="27877E0D"/>
    <w:rsid w:val="278C7E6E"/>
    <w:rsid w:val="2797304A"/>
    <w:rsid w:val="27BA5042"/>
    <w:rsid w:val="27E04077"/>
    <w:rsid w:val="281A54B0"/>
    <w:rsid w:val="282E3109"/>
    <w:rsid w:val="28315019"/>
    <w:rsid w:val="28333D17"/>
    <w:rsid w:val="284424CF"/>
    <w:rsid w:val="287348EA"/>
    <w:rsid w:val="2874680A"/>
    <w:rsid w:val="28AB77F3"/>
    <w:rsid w:val="28B201C4"/>
    <w:rsid w:val="28B94EB0"/>
    <w:rsid w:val="28FE2577"/>
    <w:rsid w:val="29017E61"/>
    <w:rsid w:val="290C0B9E"/>
    <w:rsid w:val="290F78EF"/>
    <w:rsid w:val="29206EB8"/>
    <w:rsid w:val="29215158"/>
    <w:rsid w:val="293773A4"/>
    <w:rsid w:val="294B3B9D"/>
    <w:rsid w:val="29595666"/>
    <w:rsid w:val="29874881"/>
    <w:rsid w:val="29AC1C19"/>
    <w:rsid w:val="29CC2B1A"/>
    <w:rsid w:val="29D93812"/>
    <w:rsid w:val="29E325E0"/>
    <w:rsid w:val="29E60835"/>
    <w:rsid w:val="29FA4AED"/>
    <w:rsid w:val="2A010BB2"/>
    <w:rsid w:val="2A0C5869"/>
    <w:rsid w:val="2A127154"/>
    <w:rsid w:val="2A1C1939"/>
    <w:rsid w:val="2A2F18D2"/>
    <w:rsid w:val="2A3D1019"/>
    <w:rsid w:val="2A430765"/>
    <w:rsid w:val="2A452503"/>
    <w:rsid w:val="2AA30402"/>
    <w:rsid w:val="2ACF2CE1"/>
    <w:rsid w:val="2AE90385"/>
    <w:rsid w:val="2AF72702"/>
    <w:rsid w:val="2AF92FF6"/>
    <w:rsid w:val="2AFC4894"/>
    <w:rsid w:val="2B2611D8"/>
    <w:rsid w:val="2B416E41"/>
    <w:rsid w:val="2B52083F"/>
    <w:rsid w:val="2B715282"/>
    <w:rsid w:val="2B724B56"/>
    <w:rsid w:val="2B751F48"/>
    <w:rsid w:val="2BA2455B"/>
    <w:rsid w:val="2BA936A8"/>
    <w:rsid w:val="2BB84C5F"/>
    <w:rsid w:val="2BB96CF1"/>
    <w:rsid w:val="2BDB2FC9"/>
    <w:rsid w:val="2BDF1B42"/>
    <w:rsid w:val="2BE2330D"/>
    <w:rsid w:val="2BE74D6E"/>
    <w:rsid w:val="2BF11EAE"/>
    <w:rsid w:val="2BF74245"/>
    <w:rsid w:val="2BFE6EB2"/>
    <w:rsid w:val="2C0F60BD"/>
    <w:rsid w:val="2C315A5A"/>
    <w:rsid w:val="2C332C44"/>
    <w:rsid w:val="2C4B1C25"/>
    <w:rsid w:val="2C536736"/>
    <w:rsid w:val="2C9F25CE"/>
    <w:rsid w:val="2CC0057C"/>
    <w:rsid w:val="2CC154DF"/>
    <w:rsid w:val="2CF62FBE"/>
    <w:rsid w:val="2CFF3422"/>
    <w:rsid w:val="2D071621"/>
    <w:rsid w:val="2D247E3D"/>
    <w:rsid w:val="2D297497"/>
    <w:rsid w:val="2D3D576E"/>
    <w:rsid w:val="2D421FD0"/>
    <w:rsid w:val="2D6044EC"/>
    <w:rsid w:val="2D685EE1"/>
    <w:rsid w:val="2D6C21C2"/>
    <w:rsid w:val="2D8A3F0F"/>
    <w:rsid w:val="2D9E56F5"/>
    <w:rsid w:val="2DC53663"/>
    <w:rsid w:val="2DF56965"/>
    <w:rsid w:val="2E016666"/>
    <w:rsid w:val="2E193F61"/>
    <w:rsid w:val="2E222864"/>
    <w:rsid w:val="2E3438AE"/>
    <w:rsid w:val="2E3C24D3"/>
    <w:rsid w:val="2E3D437B"/>
    <w:rsid w:val="2E5B1ED6"/>
    <w:rsid w:val="2E5F13C2"/>
    <w:rsid w:val="2E667F96"/>
    <w:rsid w:val="2E6966E5"/>
    <w:rsid w:val="2E7245F3"/>
    <w:rsid w:val="2E762724"/>
    <w:rsid w:val="2E8226AB"/>
    <w:rsid w:val="2E8D4033"/>
    <w:rsid w:val="2E951288"/>
    <w:rsid w:val="2EE866F5"/>
    <w:rsid w:val="2F04654E"/>
    <w:rsid w:val="2F1424E8"/>
    <w:rsid w:val="2F3B6308"/>
    <w:rsid w:val="2F415097"/>
    <w:rsid w:val="2F8A246F"/>
    <w:rsid w:val="2FA865D9"/>
    <w:rsid w:val="2FD065E6"/>
    <w:rsid w:val="2FD61400"/>
    <w:rsid w:val="2FD96870"/>
    <w:rsid w:val="2FFA4F6C"/>
    <w:rsid w:val="2FFD3820"/>
    <w:rsid w:val="30304FE1"/>
    <w:rsid w:val="30580BC9"/>
    <w:rsid w:val="306C6E8E"/>
    <w:rsid w:val="30A74D49"/>
    <w:rsid w:val="30A91891"/>
    <w:rsid w:val="30EA3721"/>
    <w:rsid w:val="30F2032E"/>
    <w:rsid w:val="30F524B2"/>
    <w:rsid w:val="31032900"/>
    <w:rsid w:val="311A21F3"/>
    <w:rsid w:val="311E2ED7"/>
    <w:rsid w:val="31210354"/>
    <w:rsid w:val="31211CDD"/>
    <w:rsid w:val="31442AF1"/>
    <w:rsid w:val="314876DB"/>
    <w:rsid w:val="315619EE"/>
    <w:rsid w:val="315C449C"/>
    <w:rsid w:val="31697FA7"/>
    <w:rsid w:val="317177E5"/>
    <w:rsid w:val="318501E2"/>
    <w:rsid w:val="318D4498"/>
    <w:rsid w:val="31903F88"/>
    <w:rsid w:val="31A717FE"/>
    <w:rsid w:val="31B82709"/>
    <w:rsid w:val="31BD2FCF"/>
    <w:rsid w:val="31D05482"/>
    <w:rsid w:val="31E2166D"/>
    <w:rsid w:val="31F12C79"/>
    <w:rsid w:val="31F2695B"/>
    <w:rsid w:val="32101B3D"/>
    <w:rsid w:val="3222502F"/>
    <w:rsid w:val="32400B34"/>
    <w:rsid w:val="325A693A"/>
    <w:rsid w:val="32700042"/>
    <w:rsid w:val="327C65A2"/>
    <w:rsid w:val="328B740F"/>
    <w:rsid w:val="329168CA"/>
    <w:rsid w:val="329E6876"/>
    <w:rsid w:val="32C31CF6"/>
    <w:rsid w:val="32D11D6C"/>
    <w:rsid w:val="33045A37"/>
    <w:rsid w:val="33215CAF"/>
    <w:rsid w:val="333015F2"/>
    <w:rsid w:val="3337290D"/>
    <w:rsid w:val="334B6320"/>
    <w:rsid w:val="336851BD"/>
    <w:rsid w:val="337D3B58"/>
    <w:rsid w:val="33A04F06"/>
    <w:rsid w:val="33A64572"/>
    <w:rsid w:val="33B83428"/>
    <w:rsid w:val="33D934D4"/>
    <w:rsid w:val="33EA2EAA"/>
    <w:rsid w:val="33F47ECB"/>
    <w:rsid w:val="33FE2F6A"/>
    <w:rsid w:val="34004BC3"/>
    <w:rsid w:val="340E07E5"/>
    <w:rsid w:val="341F5D90"/>
    <w:rsid w:val="34235BF7"/>
    <w:rsid w:val="343216A0"/>
    <w:rsid w:val="343D11CA"/>
    <w:rsid w:val="34587B88"/>
    <w:rsid w:val="345A6A71"/>
    <w:rsid w:val="34741A8A"/>
    <w:rsid w:val="34A00D95"/>
    <w:rsid w:val="34B32A5D"/>
    <w:rsid w:val="34BD5BBE"/>
    <w:rsid w:val="34FB796B"/>
    <w:rsid w:val="34FF38FF"/>
    <w:rsid w:val="35220CF6"/>
    <w:rsid w:val="353E75DF"/>
    <w:rsid w:val="354628D0"/>
    <w:rsid w:val="35507F44"/>
    <w:rsid w:val="35690524"/>
    <w:rsid w:val="356A637D"/>
    <w:rsid w:val="356D4F9D"/>
    <w:rsid w:val="35746CBC"/>
    <w:rsid w:val="358C5FA8"/>
    <w:rsid w:val="359C5777"/>
    <w:rsid w:val="35AB1518"/>
    <w:rsid w:val="35B51CDA"/>
    <w:rsid w:val="35BB33C8"/>
    <w:rsid w:val="35BB5A78"/>
    <w:rsid w:val="35C15DF1"/>
    <w:rsid w:val="35EA7A7E"/>
    <w:rsid w:val="35FB17D9"/>
    <w:rsid w:val="36074A7F"/>
    <w:rsid w:val="363C7F73"/>
    <w:rsid w:val="36424E33"/>
    <w:rsid w:val="365D53C4"/>
    <w:rsid w:val="366062BE"/>
    <w:rsid w:val="366873B0"/>
    <w:rsid w:val="36716136"/>
    <w:rsid w:val="36760BA4"/>
    <w:rsid w:val="367B7334"/>
    <w:rsid w:val="368F3CA3"/>
    <w:rsid w:val="36923549"/>
    <w:rsid w:val="3698148D"/>
    <w:rsid w:val="36A42101"/>
    <w:rsid w:val="36B129D7"/>
    <w:rsid w:val="36B26D32"/>
    <w:rsid w:val="36B75FBF"/>
    <w:rsid w:val="36BD0C45"/>
    <w:rsid w:val="36D02B02"/>
    <w:rsid w:val="36DB6DEC"/>
    <w:rsid w:val="36ED5D76"/>
    <w:rsid w:val="36EF6B96"/>
    <w:rsid w:val="36F43F40"/>
    <w:rsid w:val="371062D3"/>
    <w:rsid w:val="371B748A"/>
    <w:rsid w:val="371D006C"/>
    <w:rsid w:val="372A0E41"/>
    <w:rsid w:val="374510D2"/>
    <w:rsid w:val="375553FC"/>
    <w:rsid w:val="37661A13"/>
    <w:rsid w:val="378551A5"/>
    <w:rsid w:val="379320DC"/>
    <w:rsid w:val="37B63DE0"/>
    <w:rsid w:val="37C4673A"/>
    <w:rsid w:val="37CF2656"/>
    <w:rsid w:val="37E00298"/>
    <w:rsid w:val="382811B0"/>
    <w:rsid w:val="3846371E"/>
    <w:rsid w:val="38490595"/>
    <w:rsid w:val="3857207B"/>
    <w:rsid w:val="38606463"/>
    <w:rsid w:val="3861656F"/>
    <w:rsid w:val="3870256F"/>
    <w:rsid w:val="387B14EE"/>
    <w:rsid w:val="38863356"/>
    <w:rsid w:val="38B302F9"/>
    <w:rsid w:val="38B30C88"/>
    <w:rsid w:val="38C42E95"/>
    <w:rsid w:val="38DB1616"/>
    <w:rsid w:val="38E01351"/>
    <w:rsid w:val="38E723A3"/>
    <w:rsid w:val="38F004F4"/>
    <w:rsid w:val="38F12CD3"/>
    <w:rsid w:val="38F94775"/>
    <w:rsid w:val="39155B04"/>
    <w:rsid w:val="391666A3"/>
    <w:rsid w:val="391C5A88"/>
    <w:rsid w:val="391F68A0"/>
    <w:rsid w:val="392300EB"/>
    <w:rsid w:val="3927325F"/>
    <w:rsid w:val="392971ED"/>
    <w:rsid w:val="39325651"/>
    <w:rsid w:val="39414426"/>
    <w:rsid w:val="3953526F"/>
    <w:rsid w:val="39592B25"/>
    <w:rsid w:val="395F3DF1"/>
    <w:rsid w:val="398033C4"/>
    <w:rsid w:val="398E34A3"/>
    <w:rsid w:val="39B747A8"/>
    <w:rsid w:val="39C663AB"/>
    <w:rsid w:val="39D60126"/>
    <w:rsid w:val="39EC4F97"/>
    <w:rsid w:val="3A0C2048"/>
    <w:rsid w:val="3A10210A"/>
    <w:rsid w:val="3A2841BD"/>
    <w:rsid w:val="3A437DEA"/>
    <w:rsid w:val="3A453A27"/>
    <w:rsid w:val="3A872856"/>
    <w:rsid w:val="3A8B4990"/>
    <w:rsid w:val="3A961614"/>
    <w:rsid w:val="3AB0132A"/>
    <w:rsid w:val="3ADB2271"/>
    <w:rsid w:val="3B1B0476"/>
    <w:rsid w:val="3B263535"/>
    <w:rsid w:val="3B3763D1"/>
    <w:rsid w:val="3B536D9D"/>
    <w:rsid w:val="3B563B4D"/>
    <w:rsid w:val="3B5A6BC7"/>
    <w:rsid w:val="3B7D557D"/>
    <w:rsid w:val="3B895CD0"/>
    <w:rsid w:val="3B914B85"/>
    <w:rsid w:val="3B9402C7"/>
    <w:rsid w:val="3B9A612F"/>
    <w:rsid w:val="3BF62541"/>
    <w:rsid w:val="3BF85ABC"/>
    <w:rsid w:val="3BFB4837"/>
    <w:rsid w:val="3C011D0B"/>
    <w:rsid w:val="3C0C5591"/>
    <w:rsid w:val="3C0D06AF"/>
    <w:rsid w:val="3C24440F"/>
    <w:rsid w:val="3C2F6E1E"/>
    <w:rsid w:val="3C416DFC"/>
    <w:rsid w:val="3C4F64BA"/>
    <w:rsid w:val="3C8124F5"/>
    <w:rsid w:val="3C8A61A4"/>
    <w:rsid w:val="3CAB45C5"/>
    <w:rsid w:val="3CB26F1B"/>
    <w:rsid w:val="3CD00B52"/>
    <w:rsid w:val="3CDA245A"/>
    <w:rsid w:val="3CDE204C"/>
    <w:rsid w:val="3CEF2613"/>
    <w:rsid w:val="3D0575D8"/>
    <w:rsid w:val="3D073C82"/>
    <w:rsid w:val="3D141F11"/>
    <w:rsid w:val="3D1E069A"/>
    <w:rsid w:val="3D1E06B7"/>
    <w:rsid w:val="3D3E2AEA"/>
    <w:rsid w:val="3D4C3459"/>
    <w:rsid w:val="3D4D2D2E"/>
    <w:rsid w:val="3D517192"/>
    <w:rsid w:val="3D5B0C93"/>
    <w:rsid w:val="3D821F72"/>
    <w:rsid w:val="3D85504F"/>
    <w:rsid w:val="3D932E36"/>
    <w:rsid w:val="3DC940AF"/>
    <w:rsid w:val="3DE9514C"/>
    <w:rsid w:val="3E0C5604"/>
    <w:rsid w:val="3E297FAE"/>
    <w:rsid w:val="3E5325C6"/>
    <w:rsid w:val="3E741759"/>
    <w:rsid w:val="3E810A69"/>
    <w:rsid w:val="3E9171EE"/>
    <w:rsid w:val="3EC11A53"/>
    <w:rsid w:val="3EDA0523"/>
    <w:rsid w:val="3EE51CB2"/>
    <w:rsid w:val="3EE95859"/>
    <w:rsid w:val="3EEA4CD8"/>
    <w:rsid w:val="3EF847CE"/>
    <w:rsid w:val="3F88218E"/>
    <w:rsid w:val="3FA567FB"/>
    <w:rsid w:val="3FFB2F15"/>
    <w:rsid w:val="402210DC"/>
    <w:rsid w:val="40303C23"/>
    <w:rsid w:val="40336F0D"/>
    <w:rsid w:val="40390E17"/>
    <w:rsid w:val="403E66BC"/>
    <w:rsid w:val="405F7AAA"/>
    <w:rsid w:val="40754D26"/>
    <w:rsid w:val="407A6407"/>
    <w:rsid w:val="408B20B7"/>
    <w:rsid w:val="40957FDF"/>
    <w:rsid w:val="40BB359F"/>
    <w:rsid w:val="40DA4E17"/>
    <w:rsid w:val="40F005A0"/>
    <w:rsid w:val="412D2458"/>
    <w:rsid w:val="41362B18"/>
    <w:rsid w:val="414447B0"/>
    <w:rsid w:val="414601C0"/>
    <w:rsid w:val="415D54F4"/>
    <w:rsid w:val="416044BC"/>
    <w:rsid w:val="41683EEA"/>
    <w:rsid w:val="41725E7F"/>
    <w:rsid w:val="417340EF"/>
    <w:rsid w:val="417949E8"/>
    <w:rsid w:val="417D2796"/>
    <w:rsid w:val="41905C11"/>
    <w:rsid w:val="41A16EB8"/>
    <w:rsid w:val="41BF069E"/>
    <w:rsid w:val="41C821A4"/>
    <w:rsid w:val="41EF2605"/>
    <w:rsid w:val="4200449D"/>
    <w:rsid w:val="420640A8"/>
    <w:rsid w:val="42104972"/>
    <w:rsid w:val="423A3BCC"/>
    <w:rsid w:val="42410457"/>
    <w:rsid w:val="42493261"/>
    <w:rsid w:val="424E57D2"/>
    <w:rsid w:val="4275443D"/>
    <w:rsid w:val="427E7003"/>
    <w:rsid w:val="42A11B51"/>
    <w:rsid w:val="42B26C49"/>
    <w:rsid w:val="42BA2C13"/>
    <w:rsid w:val="42BC5603"/>
    <w:rsid w:val="42DA1507"/>
    <w:rsid w:val="42DE0FF8"/>
    <w:rsid w:val="42F86240"/>
    <w:rsid w:val="431C7618"/>
    <w:rsid w:val="43337AAD"/>
    <w:rsid w:val="43396014"/>
    <w:rsid w:val="433A6FE6"/>
    <w:rsid w:val="43480868"/>
    <w:rsid w:val="4350713C"/>
    <w:rsid w:val="436653E0"/>
    <w:rsid w:val="43AF4912"/>
    <w:rsid w:val="43B35DD1"/>
    <w:rsid w:val="43B71169"/>
    <w:rsid w:val="43C4431A"/>
    <w:rsid w:val="43C91A95"/>
    <w:rsid w:val="43E90043"/>
    <w:rsid w:val="43F96F77"/>
    <w:rsid w:val="43FB448B"/>
    <w:rsid w:val="44181FF3"/>
    <w:rsid w:val="44231536"/>
    <w:rsid w:val="442E38B9"/>
    <w:rsid w:val="444D3855"/>
    <w:rsid w:val="44692B43"/>
    <w:rsid w:val="44780127"/>
    <w:rsid w:val="447F0DF9"/>
    <w:rsid w:val="448D7804"/>
    <w:rsid w:val="44953B16"/>
    <w:rsid w:val="449A6764"/>
    <w:rsid w:val="44A21BB1"/>
    <w:rsid w:val="44A744A4"/>
    <w:rsid w:val="44B951CC"/>
    <w:rsid w:val="44BE6633"/>
    <w:rsid w:val="44CD14E0"/>
    <w:rsid w:val="44F20B0B"/>
    <w:rsid w:val="44F3240C"/>
    <w:rsid w:val="451F7CF8"/>
    <w:rsid w:val="452E5F4C"/>
    <w:rsid w:val="45303661"/>
    <w:rsid w:val="453D4F37"/>
    <w:rsid w:val="454668C9"/>
    <w:rsid w:val="45586F68"/>
    <w:rsid w:val="455A2A63"/>
    <w:rsid w:val="45612018"/>
    <w:rsid w:val="456663CD"/>
    <w:rsid w:val="456A208C"/>
    <w:rsid w:val="456B4699"/>
    <w:rsid w:val="458946E9"/>
    <w:rsid w:val="458B4A64"/>
    <w:rsid w:val="458D0AB3"/>
    <w:rsid w:val="459531E3"/>
    <w:rsid w:val="459840AD"/>
    <w:rsid w:val="45993EB9"/>
    <w:rsid w:val="45A47C0E"/>
    <w:rsid w:val="45AB379A"/>
    <w:rsid w:val="45CC7793"/>
    <w:rsid w:val="45F864A7"/>
    <w:rsid w:val="460D24C8"/>
    <w:rsid w:val="460F2663"/>
    <w:rsid w:val="46160AEE"/>
    <w:rsid w:val="461D5857"/>
    <w:rsid w:val="46333E99"/>
    <w:rsid w:val="46511091"/>
    <w:rsid w:val="46577FD6"/>
    <w:rsid w:val="465F5514"/>
    <w:rsid w:val="465F5FAB"/>
    <w:rsid w:val="466725E3"/>
    <w:rsid w:val="46675D27"/>
    <w:rsid w:val="46761E5A"/>
    <w:rsid w:val="467D2D5A"/>
    <w:rsid w:val="468974CC"/>
    <w:rsid w:val="46997965"/>
    <w:rsid w:val="46A71088"/>
    <w:rsid w:val="46BF20A2"/>
    <w:rsid w:val="46C0453E"/>
    <w:rsid w:val="46D73EC6"/>
    <w:rsid w:val="46D955A7"/>
    <w:rsid w:val="46F8763D"/>
    <w:rsid w:val="47133957"/>
    <w:rsid w:val="471865D7"/>
    <w:rsid w:val="47264D1B"/>
    <w:rsid w:val="473E14BF"/>
    <w:rsid w:val="475A25EC"/>
    <w:rsid w:val="47615D53"/>
    <w:rsid w:val="477A762D"/>
    <w:rsid w:val="47A07E0C"/>
    <w:rsid w:val="47AD2EC7"/>
    <w:rsid w:val="47BA6588"/>
    <w:rsid w:val="47DC3B92"/>
    <w:rsid w:val="47FC0752"/>
    <w:rsid w:val="481A01C9"/>
    <w:rsid w:val="482129F5"/>
    <w:rsid w:val="482D44FD"/>
    <w:rsid w:val="4836539F"/>
    <w:rsid w:val="4870272E"/>
    <w:rsid w:val="487675DC"/>
    <w:rsid w:val="48772AEC"/>
    <w:rsid w:val="48821568"/>
    <w:rsid w:val="48851393"/>
    <w:rsid w:val="4890022C"/>
    <w:rsid w:val="48BF4882"/>
    <w:rsid w:val="48CD6FC5"/>
    <w:rsid w:val="48EB1D78"/>
    <w:rsid w:val="4924738D"/>
    <w:rsid w:val="49270190"/>
    <w:rsid w:val="4929464F"/>
    <w:rsid w:val="494C400A"/>
    <w:rsid w:val="49726F4F"/>
    <w:rsid w:val="49761E64"/>
    <w:rsid w:val="49765832"/>
    <w:rsid w:val="49BA14B8"/>
    <w:rsid w:val="49D42D07"/>
    <w:rsid w:val="49D46803"/>
    <w:rsid w:val="49D756BA"/>
    <w:rsid w:val="49DC7715"/>
    <w:rsid w:val="49DD4D85"/>
    <w:rsid w:val="49F22E5E"/>
    <w:rsid w:val="4A023139"/>
    <w:rsid w:val="4A2013C0"/>
    <w:rsid w:val="4A2F3EE7"/>
    <w:rsid w:val="4A36580C"/>
    <w:rsid w:val="4A7707C6"/>
    <w:rsid w:val="4A7B576F"/>
    <w:rsid w:val="4A8C1339"/>
    <w:rsid w:val="4A8F4985"/>
    <w:rsid w:val="4AB473AE"/>
    <w:rsid w:val="4AD8620F"/>
    <w:rsid w:val="4AE679B3"/>
    <w:rsid w:val="4AEB42B2"/>
    <w:rsid w:val="4AF561A9"/>
    <w:rsid w:val="4AFB01E8"/>
    <w:rsid w:val="4B053BE4"/>
    <w:rsid w:val="4B5430FF"/>
    <w:rsid w:val="4BA251EB"/>
    <w:rsid w:val="4BA768C5"/>
    <w:rsid w:val="4BBC5EF3"/>
    <w:rsid w:val="4BCF06D2"/>
    <w:rsid w:val="4BD35EC6"/>
    <w:rsid w:val="4BD87B34"/>
    <w:rsid w:val="4BE46F2C"/>
    <w:rsid w:val="4BEE392E"/>
    <w:rsid w:val="4C095E61"/>
    <w:rsid w:val="4C172E59"/>
    <w:rsid w:val="4C3D4F91"/>
    <w:rsid w:val="4C4A0649"/>
    <w:rsid w:val="4C6C0BEF"/>
    <w:rsid w:val="4C740BAE"/>
    <w:rsid w:val="4C7443CA"/>
    <w:rsid w:val="4C7E5ECA"/>
    <w:rsid w:val="4C876AA5"/>
    <w:rsid w:val="4CA24E44"/>
    <w:rsid w:val="4CF00600"/>
    <w:rsid w:val="4CF459D7"/>
    <w:rsid w:val="4D0053C6"/>
    <w:rsid w:val="4D070704"/>
    <w:rsid w:val="4D0E00FB"/>
    <w:rsid w:val="4D162893"/>
    <w:rsid w:val="4D176606"/>
    <w:rsid w:val="4D4952BF"/>
    <w:rsid w:val="4D4C5F59"/>
    <w:rsid w:val="4DB55D50"/>
    <w:rsid w:val="4DEC4FB0"/>
    <w:rsid w:val="4DFF7E96"/>
    <w:rsid w:val="4E075D8A"/>
    <w:rsid w:val="4E10402F"/>
    <w:rsid w:val="4E1B0AA9"/>
    <w:rsid w:val="4E2011BC"/>
    <w:rsid w:val="4E2027F9"/>
    <w:rsid w:val="4E273DE2"/>
    <w:rsid w:val="4E340BD7"/>
    <w:rsid w:val="4E6A1991"/>
    <w:rsid w:val="4E974A31"/>
    <w:rsid w:val="4EBC4CF2"/>
    <w:rsid w:val="4EC00FAD"/>
    <w:rsid w:val="4EDE5EDB"/>
    <w:rsid w:val="4EFB083B"/>
    <w:rsid w:val="4F052628"/>
    <w:rsid w:val="4F0E5BE1"/>
    <w:rsid w:val="4F114E0C"/>
    <w:rsid w:val="4F340514"/>
    <w:rsid w:val="4F3E5DB8"/>
    <w:rsid w:val="4F416B96"/>
    <w:rsid w:val="4F4812FB"/>
    <w:rsid w:val="4F4E1640"/>
    <w:rsid w:val="4F6E4F05"/>
    <w:rsid w:val="4F84138C"/>
    <w:rsid w:val="4F894099"/>
    <w:rsid w:val="4F8F207C"/>
    <w:rsid w:val="4F9843DC"/>
    <w:rsid w:val="4FAC5905"/>
    <w:rsid w:val="4FBE1D1B"/>
    <w:rsid w:val="4FC62A8C"/>
    <w:rsid w:val="4FC770F0"/>
    <w:rsid w:val="4FE20F0D"/>
    <w:rsid w:val="4FE3234A"/>
    <w:rsid w:val="4FE51552"/>
    <w:rsid w:val="4FE5334A"/>
    <w:rsid w:val="4FE81846"/>
    <w:rsid w:val="4FF254C9"/>
    <w:rsid w:val="4FFB237E"/>
    <w:rsid w:val="50040C10"/>
    <w:rsid w:val="500435F6"/>
    <w:rsid w:val="50137E07"/>
    <w:rsid w:val="50504C4B"/>
    <w:rsid w:val="506E48D1"/>
    <w:rsid w:val="508825A3"/>
    <w:rsid w:val="508D5BA3"/>
    <w:rsid w:val="50901426"/>
    <w:rsid w:val="509C6E7C"/>
    <w:rsid w:val="509F0B20"/>
    <w:rsid w:val="50B023DD"/>
    <w:rsid w:val="50C87EC6"/>
    <w:rsid w:val="50DE6667"/>
    <w:rsid w:val="50E0572E"/>
    <w:rsid w:val="50E43195"/>
    <w:rsid w:val="50FD72D3"/>
    <w:rsid w:val="511465B9"/>
    <w:rsid w:val="51312C3A"/>
    <w:rsid w:val="513870F9"/>
    <w:rsid w:val="514B7BED"/>
    <w:rsid w:val="51547125"/>
    <w:rsid w:val="5161538E"/>
    <w:rsid w:val="5162104E"/>
    <w:rsid w:val="516C2F33"/>
    <w:rsid w:val="51867B98"/>
    <w:rsid w:val="518A3C44"/>
    <w:rsid w:val="519E173C"/>
    <w:rsid w:val="51A056CA"/>
    <w:rsid w:val="51AF590D"/>
    <w:rsid w:val="51BC5532"/>
    <w:rsid w:val="51C12734"/>
    <w:rsid w:val="51C27D36"/>
    <w:rsid w:val="51E71A02"/>
    <w:rsid w:val="51FA74D0"/>
    <w:rsid w:val="51FE6C35"/>
    <w:rsid w:val="520435E6"/>
    <w:rsid w:val="520E1CDF"/>
    <w:rsid w:val="522B29E5"/>
    <w:rsid w:val="523A78CD"/>
    <w:rsid w:val="52491C87"/>
    <w:rsid w:val="524C432C"/>
    <w:rsid w:val="527511C4"/>
    <w:rsid w:val="5280230C"/>
    <w:rsid w:val="52972161"/>
    <w:rsid w:val="52A92884"/>
    <w:rsid w:val="52B95C27"/>
    <w:rsid w:val="52C14F34"/>
    <w:rsid w:val="52DC6BD6"/>
    <w:rsid w:val="52E256FE"/>
    <w:rsid w:val="52E77A54"/>
    <w:rsid w:val="52F34775"/>
    <w:rsid w:val="530245BD"/>
    <w:rsid w:val="532669C0"/>
    <w:rsid w:val="533F105C"/>
    <w:rsid w:val="535360E0"/>
    <w:rsid w:val="535624E4"/>
    <w:rsid w:val="537F2A9A"/>
    <w:rsid w:val="538C2370"/>
    <w:rsid w:val="53A039CC"/>
    <w:rsid w:val="53A1505A"/>
    <w:rsid w:val="53B41132"/>
    <w:rsid w:val="53DB566E"/>
    <w:rsid w:val="53F2320D"/>
    <w:rsid w:val="54063E08"/>
    <w:rsid w:val="54104D89"/>
    <w:rsid w:val="543437E8"/>
    <w:rsid w:val="545C11CB"/>
    <w:rsid w:val="546B1FBF"/>
    <w:rsid w:val="5478015B"/>
    <w:rsid w:val="548062A4"/>
    <w:rsid w:val="54841290"/>
    <w:rsid w:val="54D1261E"/>
    <w:rsid w:val="54D63807"/>
    <w:rsid w:val="54F73313"/>
    <w:rsid w:val="54F80955"/>
    <w:rsid w:val="550137B4"/>
    <w:rsid w:val="552A618C"/>
    <w:rsid w:val="555170A7"/>
    <w:rsid w:val="555F0EC4"/>
    <w:rsid w:val="556D0A20"/>
    <w:rsid w:val="557B0928"/>
    <w:rsid w:val="55833339"/>
    <w:rsid w:val="5587536D"/>
    <w:rsid w:val="558C043F"/>
    <w:rsid w:val="559B174B"/>
    <w:rsid w:val="55A40749"/>
    <w:rsid w:val="55B17159"/>
    <w:rsid w:val="55B94FAC"/>
    <w:rsid w:val="55BD1336"/>
    <w:rsid w:val="55C96153"/>
    <w:rsid w:val="55CE0CF4"/>
    <w:rsid w:val="56195E26"/>
    <w:rsid w:val="561A1EEF"/>
    <w:rsid w:val="562123DF"/>
    <w:rsid w:val="56232B5F"/>
    <w:rsid w:val="564A5AA2"/>
    <w:rsid w:val="564F6B20"/>
    <w:rsid w:val="56835A9E"/>
    <w:rsid w:val="56835CE6"/>
    <w:rsid w:val="569A4DDE"/>
    <w:rsid w:val="569F399A"/>
    <w:rsid w:val="56B22A9C"/>
    <w:rsid w:val="56CE6E2D"/>
    <w:rsid w:val="56FA5D69"/>
    <w:rsid w:val="570163E4"/>
    <w:rsid w:val="5710529C"/>
    <w:rsid w:val="57123BA5"/>
    <w:rsid w:val="572A7F10"/>
    <w:rsid w:val="57307C8C"/>
    <w:rsid w:val="573B2C8C"/>
    <w:rsid w:val="575E79F0"/>
    <w:rsid w:val="57640BC6"/>
    <w:rsid w:val="577B5705"/>
    <w:rsid w:val="5790682B"/>
    <w:rsid w:val="579A7E0E"/>
    <w:rsid w:val="57A06424"/>
    <w:rsid w:val="57B72A76"/>
    <w:rsid w:val="57C3426C"/>
    <w:rsid w:val="57CE1F93"/>
    <w:rsid w:val="57D61E46"/>
    <w:rsid w:val="580E5802"/>
    <w:rsid w:val="58245A64"/>
    <w:rsid w:val="582A5667"/>
    <w:rsid w:val="583A3465"/>
    <w:rsid w:val="583C03BC"/>
    <w:rsid w:val="584D5C6E"/>
    <w:rsid w:val="58804089"/>
    <w:rsid w:val="588743D1"/>
    <w:rsid w:val="5887701A"/>
    <w:rsid w:val="58BA6690"/>
    <w:rsid w:val="58BC6401"/>
    <w:rsid w:val="58C54B31"/>
    <w:rsid w:val="58D41EBE"/>
    <w:rsid w:val="58E467E4"/>
    <w:rsid w:val="58F44C79"/>
    <w:rsid w:val="58FD3402"/>
    <w:rsid w:val="59140133"/>
    <w:rsid w:val="592A2B31"/>
    <w:rsid w:val="593257A1"/>
    <w:rsid w:val="59367B64"/>
    <w:rsid w:val="593E34F6"/>
    <w:rsid w:val="59407EBE"/>
    <w:rsid w:val="595B3CC9"/>
    <w:rsid w:val="597614C6"/>
    <w:rsid w:val="599154C1"/>
    <w:rsid w:val="59980EEA"/>
    <w:rsid w:val="59C0439F"/>
    <w:rsid w:val="59D547CD"/>
    <w:rsid w:val="59DB3743"/>
    <w:rsid w:val="59E766FB"/>
    <w:rsid w:val="59ED79C9"/>
    <w:rsid w:val="5A140899"/>
    <w:rsid w:val="5A3E0115"/>
    <w:rsid w:val="5A581238"/>
    <w:rsid w:val="5A5F0BF6"/>
    <w:rsid w:val="5A81253D"/>
    <w:rsid w:val="5AA93841"/>
    <w:rsid w:val="5AB07FCF"/>
    <w:rsid w:val="5AB11033"/>
    <w:rsid w:val="5ABE2233"/>
    <w:rsid w:val="5B223D51"/>
    <w:rsid w:val="5B256B60"/>
    <w:rsid w:val="5B294E4F"/>
    <w:rsid w:val="5B296730"/>
    <w:rsid w:val="5B4F1634"/>
    <w:rsid w:val="5B6836FC"/>
    <w:rsid w:val="5B6F1FA5"/>
    <w:rsid w:val="5B8C73EB"/>
    <w:rsid w:val="5B8F6EDB"/>
    <w:rsid w:val="5B916400"/>
    <w:rsid w:val="5BB5181A"/>
    <w:rsid w:val="5BDF5D95"/>
    <w:rsid w:val="5BFE7528"/>
    <w:rsid w:val="5C0A77AE"/>
    <w:rsid w:val="5C224979"/>
    <w:rsid w:val="5C2C297C"/>
    <w:rsid w:val="5C2F3E3C"/>
    <w:rsid w:val="5C4F73DF"/>
    <w:rsid w:val="5C6B495B"/>
    <w:rsid w:val="5C70227F"/>
    <w:rsid w:val="5C802736"/>
    <w:rsid w:val="5CC5348B"/>
    <w:rsid w:val="5CC76079"/>
    <w:rsid w:val="5CCC791F"/>
    <w:rsid w:val="5D253C87"/>
    <w:rsid w:val="5D2D156D"/>
    <w:rsid w:val="5D3C3F6D"/>
    <w:rsid w:val="5D47554F"/>
    <w:rsid w:val="5D6972B8"/>
    <w:rsid w:val="5D6F5D61"/>
    <w:rsid w:val="5D7A71BA"/>
    <w:rsid w:val="5D7C1B33"/>
    <w:rsid w:val="5D7C731A"/>
    <w:rsid w:val="5DA05F87"/>
    <w:rsid w:val="5DA556BD"/>
    <w:rsid w:val="5DCA0B2C"/>
    <w:rsid w:val="5DCF29DF"/>
    <w:rsid w:val="5DDF0212"/>
    <w:rsid w:val="5E1F7AEE"/>
    <w:rsid w:val="5E213863"/>
    <w:rsid w:val="5E2349D3"/>
    <w:rsid w:val="5E2467F1"/>
    <w:rsid w:val="5E2B449D"/>
    <w:rsid w:val="5E2D2B13"/>
    <w:rsid w:val="5E362D4A"/>
    <w:rsid w:val="5E565838"/>
    <w:rsid w:val="5E62194D"/>
    <w:rsid w:val="5E886A2F"/>
    <w:rsid w:val="5E9761BC"/>
    <w:rsid w:val="5EA651E7"/>
    <w:rsid w:val="5ED47FE7"/>
    <w:rsid w:val="5ED61133"/>
    <w:rsid w:val="5EDC0BBC"/>
    <w:rsid w:val="5F0B570B"/>
    <w:rsid w:val="5F1A2B43"/>
    <w:rsid w:val="5F35068C"/>
    <w:rsid w:val="5F4712CA"/>
    <w:rsid w:val="5F5D0E23"/>
    <w:rsid w:val="5F6F2AFC"/>
    <w:rsid w:val="5F781A34"/>
    <w:rsid w:val="5F9164B3"/>
    <w:rsid w:val="5F946BA8"/>
    <w:rsid w:val="5F950838"/>
    <w:rsid w:val="5FAA4777"/>
    <w:rsid w:val="5FB837BB"/>
    <w:rsid w:val="5FE12603"/>
    <w:rsid w:val="60030E42"/>
    <w:rsid w:val="60306ABA"/>
    <w:rsid w:val="60685E37"/>
    <w:rsid w:val="606B1C79"/>
    <w:rsid w:val="60932FCA"/>
    <w:rsid w:val="60996106"/>
    <w:rsid w:val="60CC405A"/>
    <w:rsid w:val="60F449B2"/>
    <w:rsid w:val="610558E4"/>
    <w:rsid w:val="6115543A"/>
    <w:rsid w:val="6115578D"/>
    <w:rsid w:val="611930FE"/>
    <w:rsid w:val="61257885"/>
    <w:rsid w:val="6126799A"/>
    <w:rsid w:val="612F6358"/>
    <w:rsid w:val="614B5652"/>
    <w:rsid w:val="616B2C3F"/>
    <w:rsid w:val="61A70F2C"/>
    <w:rsid w:val="61C158B1"/>
    <w:rsid w:val="61C805F8"/>
    <w:rsid w:val="61D3318F"/>
    <w:rsid w:val="61DE3DBB"/>
    <w:rsid w:val="61E215D8"/>
    <w:rsid w:val="61F91536"/>
    <w:rsid w:val="621B3775"/>
    <w:rsid w:val="62364782"/>
    <w:rsid w:val="62645D4F"/>
    <w:rsid w:val="62671F99"/>
    <w:rsid w:val="62710A98"/>
    <w:rsid w:val="6283537B"/>
    <w:rsid w:val="62A3326C"/>
    <w:rsid w:val="62B8044A"/>
    <w:rsid w:val="62D0552D"/>
    <w:rsid w:val="62D856B6"/>
    <w:rsid w:val="62E775FD"/>
    <w:rsid w:val="62EC317A"/>
    <w:rsid w:val="62F6549D"/>
    <w:rsid w:val="62FA0C98"/>
    <w:rsid w:val="630A358C"/>
    <w:rsid w:val="630C2718"/>
    <w:rsid w:val="631A5ABB"/>
    <w:rsid w:val="631D62A6"/>
    <w:rsid w:val="63267639"/>
    <w:rsid w:val="63377E4B"/>
    <w:rsid w:val="634E4F86"/>
    <w:rsid w:val="63582A58"/>
    <w:rsid w:val="63600AA8"/>
    <w:rsid w:val="6394356A"/>
    <w:rsid w:val="639C3F43"/>
    <w:rsid w:val="63C61B2C"/>
    <w:rsid w:val="63D1718A"/>
    <w:rsid w:val="63D40BE9"/>
    <w:rsid w:val="63FF0976"/>
    <w:rsid w:val="64102431"/>
    <w:rsid w:val="641C0087"/>
    <w:rsid w:val="64426B27"/>
    <w:rsid w:val="64492860"/>
    <w:rsid w:val="644C1634"/>
    <w:rsid w:val="64553767"/>
    <w:rsid w:val="6466598A"/>
    <w:rsid w:val="648D404E"/>
    <w:rsid w:val="649B069F"/>
    <w:rsid w:val="649B2DAE"/>
    <w:rsid w:val="64A5243A"/>
    <w:rsid w:val="64C729D0"/>
    <w:rsid w:val="64D12C14"/>
    <w:rsid w:val="64F531DE"/>
    <w:rsid w:val="650A19F3"/>
    <w:rsid w:val="65230758"/>
    <w:rsid w:val="652310DA"/>
    <w:rsid w:val="65286CCA"/>
    <w:rsid w:val="652C24F7"/>
    <w:rsid w:val="652C53ED"/>
    <w:rsid w:val="6534541F"/>
    <w:rsid w:val="65373578"/>
    <w:rsid w:val="653A1DFB"/>
    <w:rsid w:val="653D4140"/>
    <w:rsid w:val="65401B67"/>
    <w:rsid w:val="65670F24"/>
    <w:rsid w:val="65752ED3"/>
    <w:rsid w:val="65830CBA"/>
    <w:rsid w:val="658759AA"/>
    <w:rsid w:val="65A610A9"/>
    <w:rsid w:val="65B2774A"/>
    <w:rsid w:val="66061B48"/>
    <w:rsid w:val="66154489"/>
    <w:rsid w:val="662E109F"/>
    <w:rsid w:val="663A49CF"/>
    <w:rsid w:val="66676EF2"/>
    <w:rsid w:val="6673503F"/>
    <w:rsid w:val="6679228E"/>
    <w:rsid w:val="667B2536"/>
    <w:rsid w:val="667F2833"/>
    <w:rsid w:val="66B07D06"/>
    <w:rsid w:val="66B3593A"/>
    <w:rsid w:val="66CC1B88"/>
    <w:rsid w:val="66E83943"/>
    <w:rsid w:val="66F347C2"/>
    <w:rsid w:val="66F86F35"/>
    <w:rsid w:val="67065B78"/>
    <w:rsid w:val="670D6F06"/>
    <w:rsid w:val="67180834"/>
    <w:rsid w:val="671F124A"/>
    <w:rsid w:val="67780823"/>
    <w:rsid w:val="677A33C6"/>
    <w:rsid w:val="677A6B46"/>
    <w:rsid w:val="67C259EB"/>
    <w:rsid w:val="67C81DAB"/>
    <w:rsid w:val="68180327"/>
    <w:rsid w:val="681F6961"/>
    <w:rsid w:val="682D56C2"/>
    <w:rsid w:val="68304B94"/>
    <w:rsid w:val="68503741"/>
    <w:rsid w:val="6851117A"/>
    <w:rsid w:val="685651F8"/>
    <w:rsid w:val="685D09D5"/>
    <w:rsid w:val="68610A2F"/>
    <w:rsid w:val="68633281"/>
    <w:rsid w:val="687E79C3"/>
    <w:rsid w:val="68805514"/>
    <w:rsid w:val="68BD4161"/>
    <w:rsid w:val="68C66380"/>
    <w:rsid w:val="68E343C2"/>
    <w:rsid w:val="68E36F3F"/>
    <w:rsid w:val="68EA0337"/>
    <w:rsid w:val="68EF499F"/>
    <w:rsid w:val="68F95923"/>
    <w:rsid w:val="6904786F"/>
    <w:rsid w:val="690F6F65"/>
    <w:rsid w:val="69290E06"/>
    <w:rsid w:val="692914AF"/>
    <w:rsid w:val="692D4A8D"/>
    <w:rsid w:val="69316E2F"/>
    <w:rsid w:val="693469CC"/>
    <w:rsid w:val="69377FBF"/>
    <w:rsid w:val="69381295"/>
    <w:rsid w:val="693A1BAB"/>
    <w:rsid w:val="694E2071"/>
    <w:rsid w:val="69505848"/>
    <w:rsid w:val="69726AF3"/>
    <w:rsid w:val="69766163"/>
    <w:rsid w:val="6978309B"/>
    <w:rsid w:val="697A3B33"/>
    <w:rsid w:val="699D6C67"/>
    <w:rsid w:val="69AD4AF1"/>
    <w:rsid w:val="69B549B4"/>
    <w:rsid w:val="69D44760"/>
    <w:rsid w:val="69F400B0"/>
    <w:rsid w:val="69F63070"/>
    <w:rsid w:val="6A31729F"/>
    <w:rsid w:val="6A407BFD"/>
    <w:rsid w:val="6A520EC7"/>
    <w:rsid w:val="6A5A636C"/>
    <w:rsid w:val="6A64787D"/>
    <w:rsid w:val="6A793230"/>
    <w:rsid w:val="6A793941"/>
    <w:rsid w:val="6A7C7E94"/>
    <w:rsid w:val="6A8B5B43"/>
    <w:rsid w:val="6AAD4B95"/>
    <w:rsid w:val="6AAF6C52"/>
    <w:rsid w:val="6ABB660F"/>
    <w:rsid w:val="6AC634A7"/>
    <w:rsid w:val="6ACE7CA3"/>
    <w:rsid w:val="6AF87E20"/>
    <w:rsid w:val="6B186C4F"/>
    <w:rsid w:val="6B1C2F25"/>
    <w:rsid w:val="6B322639"/>
    <w:rsid w:val="6B422F5B"/>
    <w:rsid w:val="6B4E07D7"/>
    <w:rsid w:val="6B554435"/>
    <w:rsid w:val="6B786905"/>
    <w:rsid w:val="6B7E7D5E"/>
    <w:rsid w:val="6BA50055"/>
    <w:rsid w:val="6BA936A1"/>
    <w:rsid w:val="6BBA7036"/>
    <w:rsid w:val="6BCE4EB6"/>
    <w:rsid w:val="6BD11807"/>
    <w:rsid w:val="6BD77132"/>
    <w:rsid w:val="6BE168CF"/>
    <w:rsid w:val="6BFA099B"/>
    <w:rsid w:val="6C0E23E8"/>
    <w:rsid w:val="6C1528BB"/>
    <w:rsid w:val="6C636C38"/>
    <w:rsid w:val="6C6F1F72"/>
    <w:rsid w:val="6C733C7B"/>
    <w:rsid w:val="6C7528AD"/>
    <w:rsid w:val="6C88775B"/>
    <w:rsid w:val="6CAE7B86"/>
    <w:rsid w:val="6CBC7A1E"/>
    <w:rsid w:val="6CBD4F2A"/>
    <w:rsid w:val="6CC60DB4"/>
    <w:rsid w:val="6CD05517"/>
    <w:rsid w:val="6CD279A1"/>
    <w:rsid w:val="6CE626D3"/>
    <w:rsid w:val="6CFD6DA9"/>
    <w:rsid w:val="6D2900BF"/>
    <w:rsid w:val="6D30032F"/>
    <w:rsid w:val="6D4F02F0"/>
    <w:rsid w:val="6D5115FD"/>
    <w:rsid w:val="6D5F09F8"/>
    <w:rsid w:val="6D6B4986"/>
    <w:rsid w:val="6DAF1626"/>
    <w:rsid w:val="6DB34098"/>
    <w:rsid w:val="6DB545B6"/>
    <w:rsid w:val="6DC23CA4"/>
    <w:rsid w:val="6DC24EEE"/>
    <w:rsid w:val="6DCB1945"/>
    <w:rsid w:val="6DCB5E9B"/>
    <w:rsid w:val="6DD65222"/>
    <w:rsid w:val="6DDD78B1"/>
    <w:rsid w:val="6DE02FB4"/>
    <w:rsid w:val="6DE36C79"/>
    <w:rsid w:val="6E007CDA"/>
    <w:rsid w:val="6E041174"/>
    <w:rsid w:val="6E345478"/>
    <w:rsid w:val="6E514CED"/>
    <w:rsid w:val="6E626859"/>
    <w:rsid w:val="6E8421A4"/>
    <w:rsid w:val="6E881C94"/>
    <w:rsid w:val="6E8D3A60"/>
    <w:rsid w:val="6EB563D5"/>
    <w:rsid w:val="6ED92677"/>
    <w:rsid w:val="6EDC1151"/>
    <w:rsid w:val="6EEC217A"/>
    <w:rsid w:val="6EF54E4F"/>
    <w:rsid w:val="6F1418F3"/>
    <w:rsid w:val="6F1E30E7"/>
    <w:rsid w:val="6F225983"/>
    <w:rsid w:val="6F4638FD"/>
    <w:rsid w:val="6F4D07E7"/>
    <w:rsid w:val="6F5C1B77"/>
    <w:rsid w:val="6F6D7850"/>
    <w:rsid w:val="6F743FC6"/>
    <w:rsid w:val="6F75477E"/>
    <w:rsid w:val="6FB34B31"/>
    <w:rsid w:val="6FCA62DC"/>
    <w:rsid w:val="6FF670D1"/>
    <w:rsid w:val="6FFC5590"/>
    <w:rsid w:val="70010603"/>
    <w:rsid w:val="701620E9"/>
    <w:rsid w:val="701E60FD"/>
    <w:rsid w:val="702C0D33"/>
    <w:rsid w:val="70407F78"/>
    <w:rsid w:val="706D1DD0"/>
    <w:rsid w:val="70856B87"/>
    <w:rsid w:val="70D527EE"/>
    <w:rsid w:val="71127231"/>
    <w:rsid w:val="71136DEE"/>
    <w:rsid w:val="7118710A"/>
    <w:rsid w:val="71195783"/>
    <w:rsid w:val="712B31E0"/>
    <w:rsid w:val="71503604"/>
    <w:rsid w:val="715B5300"/>
    <w:rsid w:val="716817FE"/>
    <w:rsid w:val="71A84966"/>
    <w:rsid w:val="71BC33E9"/>
    <w:rsid w:val="71CE1C84"/>
    <w:rsid w:val="71D27F8A"/>
    <w:rsid w:val="71E26881"/>
    <w:rsid w:val="720679EA"/>
    <w:rsid w:val="72067D01"/>
    <w:rsid w:val="720802A1"/>
    <w:rsid w:val="7218633D"/>
    <w:rsid w:val="721B2EF1"/>
    <w:rsid w:val="722C2B09"/>
    <w:rsid w:val="722C65C9"/>
    <w:rsid w:val="72553024"/>
    <w:rsid w:val="725B547C"/>
    <w:rsid w:val="7271385D"/>
    <w:rsid w:val="727662A7"/>
    <w:rsid w:val="727903ED"/>
    <w:rsid w:val="72951726"/>
    <w:rsid w:val="729E0259"/>
    <w:rsid w:val="72B77299"/>
    <w:rsid w:val="72BD08DB"/>
    <w:rsid w:val="72CB6A14"/>
    <w:rsid w:val="73097D8D"/>
    <w:rsid w:val="73122968"/>
    <w:rsid w:val="731F5D5E"/>
    <w:rsid w:val="73211CCD"/>
    <w:rsid w:val="7335285B"/>
    <w:rsid w:val="733F7442"/>
    <w:rsid w:val="734168B5"/>
    <w:rsid w:val="73555117"/>
    <w:rsid w:val="737E69D7"/>
    <w:rsid w:val="737F2F3A"/>
    <w:rsid w:val="738D3E94"/>
    <w:rsid w:val="73AD5CF9"/>
    <w:rsid w:val="73AE5E19"/>
    <w:rsid w:val="73C51AD5"/>
    <w:rsid w:val="73C95C7B"/>
    <w:rsid w:val="73D32BDA"/>
    <w:rsid w:val="73E4220A"/>
    <w:rsid w:val="73FF76A9"/>
    <w:rsid w:val="741E793C"/>
    <w:rsid w:val="74596983"/>
    <w:rsid w:val="745E3944"/>
    <w:rsid w:val="746C77AE"/>
    <w:rsid w:val="74725EA9"/>
    <w:rsid w:val="748D0D2A"/>
    <w:rsid w:val="749869A9"/>
    <w:rsid w:val="749A44CF"/>
    <w:rsid w:val="74A9308A"/>
    <w:rsid w:val="74CC7CEC"/>
    <w:rsid w:val="74D80B53"/>
    <w:rsid w:val="75032D2C"/>
    <w:rsid w:val="75167F2B"/>
    <w:rsid w:val="751771E8"/>
    <w:rsid w:val="751D2DF5"/>
    <w:rsid w:val="752A7A93"/>
    <w:rsid w:val="752F79B6"/>
    <w:rsid w:val="754B1E4B"/>
    <w:rsid w:val="757A1C0A"/>
    <w:rsid w:val="757C314C"/>
    <w:rsid w:val="7589009F"/>
    <w:rsid w:val="759140AC"/>
    <w:rsid w:val="75956A44"/>
    <w:rsid w:val="759929D8"/>
    <w:rsid w:val="75A0590A"/>
    <w:rsid w:val="75C13E1A"/>
    <w:rsid w:val="75C537CD"/>
    <w:rsid w:val="75E73E4E"/>
    <w:rsid w:val="75F052D6"/>
    <w:rsid w:val="761107C1"/>
    <w:rsid w:val="761B5E70"/>
    <w:rsid w:val="7630676D"/>
    <w:rsid w:val="7635099D"/>
    <w:rsid w:val="763723B2"/>
    <w:rsid w:val="763F2F88"/>
    <w:rsid w:val="764B3A26"/>
    <w:rsid w:val="76705D33"/>
    <w:rsid w:val="76775236"/>
    <w:rsid w:val="769B6AFC"/>
    <w:rsid w:val="76DA4575"/>
    <w:rsid w:val="76FB7304"/>
    <w:rsid w:val="770D790D"/>
    <w:rsid w:val="77126B74"/>
    <w:rsid w:val="77265B83"/>
    <w:rsid w:val="77762421"/>
    <w:rsid w:val="778D2F37"/>
    <w:rsid w:val="779A13E9"/>
    <w:rsid w:val="77B56B1F"/>
    <w:rsid w:val="77CD629B"/>
    <w:rsid w:val="77DC2E91"/>
    <w:rsid w:val="77EA7BB3"/>
    <w:rsid w:val="780F09F4"/>
    <w:rsid w:val="782026E9"/>
    <w:rsid w:val="7832692B"/>
    <w:rsid w:val="7834629F"/>
    <w:rsid w:val="784F55D0"/>
    <w:rsid w:val="78697BFC"/>
    <w:rsid w:val="78837285"/>
    <w:rsid w:val="78A90480"/>
    <w:rsid w:val="78C57641"/>
    <w:rsid w:val="791B5E80"/>
    <w:rsid w:val="79525803"/>
    <w:rsid w:val="795331AE"/>
    <w:rsid w:val="796A4136"/>
    <w:rsid w:val="79887561"/>
    <w:rsid w:val="798E037A"/>
    <w:rsid w:val="79A1489C"/>
    <w:rsid w:val="79D00870"/>
    <w:rsid w:val="79D833A4"/>
    <w:rsid w:val="79E06448"/>
    <w:rsid w:val="79FD743B"/>
    <w:rsid w:val="7A320A96"/>
    <w:rsid w:val="7A322327"/>
    <w:rsid w:val="7A364017"/>
    <w:rsid w:val="7A3B54CB"/>
    <w:rsid w:val="7A5E25B7"/>
    <w:rsid w:val="7A7C2249"/>
    <w:rsid w:val="7A8265E1"/>
    <w:rsid w:val="7A886B78"/>
    <w:rsid w:val="7AA943E3"/>
    <w:rsid w:val="7AAE2838"/>
    <w:rsid w:val="7ABE31C2"/>
    <w:rsid w:val="7AC96B81"/>
    <w:rsid w:val="7B0326A2"/>
    <w:rsid w:val="7B1E74DC"/>
    <w:rsid w:val="7B1F6E83"/>
    <w:rsid w:val="7B3215A7"/>
    <w:rsid w:val="7B3D5850"/>
    <w:rsid w:val="7B4909FD"/>
    <w:rsid w:val="7B686D42"/>
    <w:rsid w:val="7B6B6EF3"/>
    <w:rsid w:val="7B841746"/>
    <w:rsid w:val="7B8D7959"/>
    <w:rsid w:val="7B9E3097"/>
    <w:rsid w:val="7BA03361"/>
    <w:rsid w:val="7BA550DE"/>
    <w:rsid w:val="7BA82B1B"/>
    <w:rsid w:val="7BE75CD4"/>
    <w:rsid w:val="7C0121E8"/>
    <w:rsid w:val="7C1D63FD"/>
    <w:rsid w:val="7C280D64"/>
    <w:rsid w:val="7C354EFC"/>
    <w:rsid w:val="7C384F6E"/>
    <w:rsid w:val="7C6C5AC7"/>
    <w:rsid w:val="7C7F7A12"/>
    <w:rsid w:val="7CB7251E"/>
    <w:rsid w:val="7CC415A5"/>
    <w:rsid w:val="7CC6544B"/>
    <w:rsid w:val="7CCD2F68"/>
    <w:rsid w:val="7CD267D0"/>
    <w:rsid w:val="7CDF44A7"/>
    <w:rsid w:val="7CFE58F0"/>
    <w:rsid w:val="7D0239FF"/>
    <w:rsid w:val="7D22241C"/>
    <w:rsid w:val="7D456FA2"/>
    <w:rsid w:val="7D4C0E1E"/>
    <w:rsid w:val="7D5E40CD"/>
    <w:rsid w:val="7D6A5D09"/>
    <w:rsid w:val="7D8600AB"/>
    <w:rsid w:val="7D987104"/>
    <w:rsid w:val="7D994BC1"/>
    <w:rsid w:val="7DC0325A"/>
    <w:rsid w:val="7DCA19BC"/>
    <w:rsid w:val="7DCD56F2"/>
    <w:rsid w:val="7E085043"/>
    <w:rsid w:val="7E140D75"/>
    <w:rsid w:val="7E2F6709"/>
    <w:rsid w:val="7E305624"/>
    <w:rsid w:val="7E525E1A"/>
    <w:rsid w:val="7E571CF0"/>
    <w:rsid w:val="7E796BCE"/>
    <w:rsid w:val="7E803A88"/>
    <w:rsid w:val="7E8C3242"/>
    <w:rsid w:val="7EA62CDF"/>
    <w:rsid w:val="7EB40CF6"/>
    <w:rsid w:val="7EE46C76"/>
    <w:rsid w:val="7EFE7949"/>
    <w:rsid w:val="7F001CE7"/>
    <w:rsid w:val="7F08467C"/>
    <w:rsid w:val="7F1B7FBA"/>
    <w:rsid w:val="7F2326CD"/>
    <w:rsid w:val="7F3D49CB"/>
    <w:rsid w:val="7F5759FB"/>
    <w:rsid w:val="7F5F5006"/>
    <w:rsid w:val="7F8E616E"/>
    <w:rsid w:val="7F914720"/>
    <w:rsid w:val="7F9A06C8"/>
    <w:rsid w:val="7FC65520"/>
    <w:rsid w:val="7FC671A0"/>
    <w:rsid w:val="7FCF6E9B"/>
    <w:rsid w:val="7FD25AD3"/>
    <w:rsid w:val="7FE26D0F"/>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name="index heading" w:locked="1"/>
    <w:lsdException w:qFormat="1" w:unhideWhenUsed="0" w:uiPriority="0" w:semiHidden="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qFormat="1" w:unhideWhenUsed="0" w:uiPriority="0" w:semiHidden="0" w:name="List Number 5" w:locked="1"/>
    <w:lsdException w:qFormat="1" w:unhideWhenUsed="0" w:uiPriority="1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qFormat="1"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22"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99"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autoRedefine/>
    <w:qFormat/>
    <w:locked/>
    <w:uiPriority w:val="9"/>
    <w:pPr>
      <w:keepNext/>
      <w:keepLines/>
      <w:numPr>
        <w:ilvl w:val="1"/>
        <w:numId w:val="1"/>
      </w:numPr>
      <w:autoSpaceDE w:val="0"/>
      <w:autoSpaceDN w:val="0"/>
      <w:adjustRightInd w:val="0"/>
      <w:spacing w:before="100" w:after="60" w:line="288" w:lineRule="auto"/>
      <w:jc w:val="left"/>
      <w:textAlignment w:val="baseline"/>
      <w:outlineLvl w:val="1"/>
    </w:pPr>
    <w:rPr>
      <w:rFonts w:eastAsia="黑体"/>
      <w:kern w:val="0"/>
      <w:sz w:val="30"/>
      <w:szCs w:val="20"/>
    </w:rPr>
  </w:style>
  <w:style w:type="paragraph" w:styleId="6">
    <w:name w:val="heading 3"/>
    <w:basedOn w:val="1"/>
    <w:next w:val="1"/>
    <w:link w:val="46"/>
    <w:autoRedefine/>
    <w:qFormat/>
    <w:locked/>
    <w:uiPriority w:val="0"/>
    <w:pPr>
      <w:keepNext/>
      <w:keepLines/>
      <w:spacing w:before="260" w:after="260" w:line="416" w:lineRule="auto"/>
      <w:outlineLvl w:val="2"/>
    </w:pPr>
    <w:rPr>
      <w:b/>
      <w:bCs/>
      <w:sz w:val="32"/>
      <w:szCs w:val="32"/>
    </w:rPr>
  </w:style>
  <w:style w:type="paragraph" w:styleId="7">
    <w:name w:val="heading 4"/>
    <w:basedOn w:val="1"/>
    <w:next w:val="1"/>
    <w:autoRedefine/>
    <w:qFormat/>
    <w:locked/>
    <w:uiPriority w:val="0"/>
    <w:pPr>
      <w:keepNext/>
      <w:keepLines/>
      <w:numPr>
        <w:ilvl w:val="3"/>
        <w:numId w:val="2"/>
      </w:numPr>
      <w:adjustRightInd w:val="0"/>
      <w:snapToGrid w:val="0"/>
      <w:spacing w:before="20" w:beforeLines="20" w:after="20" w:afterLines="20"/>
      <w:ind w:left="0" w:firstLineChars="0"/>
      <w:outlineLvl w:val="3"/>
    </w:pPr>
    <w:rPr>
      <w:rFonts w:cs="Times New Roman"/>
      <w:b/>
      <w:bCs/>
      <w:sz w:val="28"/>
      <w:szCs w:val="28"/>
    </w:rPr>
  </w:style>
  <w:style w:type="paragraph" w:styleId="8">
    <w:name w:val="heading 5"/>
    <w:basedOn w:val="9"/>
    <w:next w:val="9"/>
    <w:autoRedefine/>
    <w:qFormat/>
    <w:locked/>
    <w:uiPriority w:val="0"/>
    <w:pPr>
      <w:keepNext/>
      <w:keepLines/>
      <w:numPr>
        <w:ilvl w:val="4"/>
        <w:numId w:val="2"/>
      </w:numPr>
      <w:ind w:firstLineChars="0"/>
      <w:outlineLvl w:val="4"/>
    </w:pPr>
    <w:rPr>
      <w:b/>
      <w:bCs/>
      <w:szCs w:val="28"/>
    </w:rPr>
  </w:style>
  <w:style w:type="character" w:default="1" w:styleId="41">
    <w:name w:val="Default Paragraph Font"/>
    <w:autoRedefine/>
    <w:semiHidden/>
    <w:qFormat/>
    <w:uiPriority w:val="0"/>
  </w:style>
  <w:style w:type="table" w:default="1" w:styleId="39">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basedOn w:val="3"/>
    <w:next w:val="1"/>
    <w:autoRedefine/>
    <w:qFormat/>
    <w:uiPriority w:val="99"/>
    <w:pPr>
      <w:widowControl w:val="0"/>
      <w:autoSpaceDE w:val="0"/>
      <w:autoSpaceDN w:val="0"/>
      <w:adjustRightInd w:val="0"/>
    </w:pPr>
    <w:rPr>
      <w:color w:val="000000"/>
      <w:sz w:val="24"/>
      <w:szCs w:val="24"/>
      <w:lang w:val="en-US" w:eastAsia="zh-CN" w:bidi="ar-SA"/>
    </w:rPr>
  </w:style>
  <w:style w:type="paragraph" w:customStyle="1" w:styleId="3">
    <w:name w:val="纯文本1"/>
    <w:basedOn w:val="1"/>
    <w:autoRedefine/>
    <w:qFormat/>
    <w:uiPriority w:val="0"/>
    <w:rPr>
      <w:rFonts w:ascii="宋体" w:hAnsi="Courier New" w:cs="Courier New"/>
      <w:szCs w:val="21"/>
    </w:rPr>
  </w:style>
  <w:style w:type="paragraph" w:customStyle="1" w:styleId="9">
    <w:name w:val="书正文"/>
    <w:basedOn w:val="1"/>
    <w:autoRedefine/>
    <w:qFormat/>
    <w:uiPriority w:val="0"/>
    <w:pPr>
      <w:ind w:firstLine="480"/>
      <w:jc w:val="both"/>
    </w:pPr>
    <w:rPr>
      <w:rFonts w:ascii="Times New Roman" w:hAnsi="Times New Roman" w:eastAsia="宋体"/>
      <w:color w:val="333333"/>
      <w:sz w:val="24"/>
      <w:szCs w:val="22"/>
      <w:shd w:val="clear" w:color="auto" w:fill="FFFFFF"/>
    </w:rPr>
  </w:style>
  <w:style w:type="paragraph" w:styleId="10">
    <w:name w:val="Normal Indent"/>
    <w:basedOn w:val="1"/>
    <w:next w:val="11"/>
    <w:autoRedefine/>
    <w:qFormat/>
    <w:locked/>
    <w:uiPriority w:val="0"/>
    <w:pPr>
      <w:ind w:firstLine="420" w:firstLineChars="200"/>
    </w:pPr>
  </w:style>
  <w:style w:type="paragraph" w:styleId="11">
    <w:name w:val="Body Text"/>
    <w:basedOn w:val="1"/>
    <w:next w:val="12"/>
    <w:link w:val="57"/>
    <w:autoRedefine/>
    <w:qFormat/>
    <w:uiPriority w:val="0"/>
    <w:pPr>
      <w:widowControl/>
      <w:snapToGrid w:val="0"/>
      <w:spacing w:before="60" w:after="160" w:line="259" w:lineRule="auto"/>
      <w:ind w:right="113"/>
    </w:pPr>
    <w:rPr>
      <w:kern w:val="0"/>
      <w:sz w:val="18"/>
      <w:szCs w:val="20"/>
    </w:rPr>
  </w:style>
  <w:style w:type="paragraph" w:customStyle="1" w:styleId="12">
    <w:name w:val="Date1"/>
    <w:basedOn w:val="1"/>
    <w:next w:val="1"/>
    <w:autoRedefine/>
    <w:qFormat/>
    <w:uiPriority w:val="0"/>
    <w:pPr>
      <w:adjustRightInd w:val="0"/>
      <w:jc w:val="left"/>
      <w:textAlignment w:val="baseline"/>
    </w:pPr>
    <w:rPr>
      <w:rFonts w:ascii="宋体" w:hAnsi="宋体"/>
      <w:sz w:val="28"/>
      <w:szCs w:val="20"/>
    </w:rPr>
  </w:style>
  <w:style w:type="paragraph" w:styleId="13">
    <w:name w:val="caption"/>
    <w:basedOn w:val="1"/>
    <w:next w:val="1"/>
    <w:autoRedefine/>
    <w:qFormat/>
    <w:locked/>
    <w:uiPriority w:val="0"/>
    <w:pPr>
      <w:keepNext/>
      <w:adjustRightInd w:val="0"/>
      <w:snapToGrid w:val="0"/>
      <w:spacing w:line="240" w:lineRule="auto"/>
      <w:ind w:firstLine="0" w:firstLineChars="0"/>
      <w:jc w:val="center"/>
    </w:pPr>
    <w:rPr>
      <w:rFonts w:ascii="Times New Roman" w:hAnsi="Times New Roman" w:eastAsia="宋体" w:cs="Times New Roman"/>
      <w:b/>
      <w:bCs/>
      <w:color w:val="000000"/>
      <w:szCs w:val="20"/>
    </w:rPr>
  </w:style>
  <w:style w:type="paragraph" w:styleId="14">
    <w:name w:val="Document Map"/>
    <w:basedOn w:val="1"/>
    <w:link w:val="55"/>
    <w:autoRedefine/>
    <w:qFormat/>
    <w:locked/>
    <w:uiPriority w:val="0"/>
    <w:pPr>
      <w:shd w:val="clear" w:color="auto" w:fill="000080"/>
    </w:pPr>
  </w:style>
  <w:style w:type="paragraph" w:styleId="15">
    <w:name w:val="annotation text"/>
    <w:basedOn w:val="1"/>
    <w:link w:val="56"/>
    <w:autoRedefine/>
    <w:semiHidden/>
    <w:qFormat/>
    <w:uiPriority w:val="0"/>
    <w:pPr>
      <w:jc w:val="left"/>
    </w:pPr>
    <w:rPr>
      <w:kern w:val="0"/>
      <w:sz w:val="24"/>
      <w:szCs w:val="20"/>
    </w:rPr>
  </w:style>
  <w:style w:type="paragraph" w:styleId="16">
    <w:name w:val="Body Text Indent"/>
    <w:basedOn w:val="1"/>
    <w:next w:val="17"/>
    <w:link w:val="58"/>
    <w:autoRedefine/>
    <w:qFormat/>
    <w:uiPriority w:val="0"/>
    <w:pPr>
      <w:spacing w:after="120"/>
      <w:ind w:left="420" w:leftChars="200"/>
    </w:pPr>
    <w:rPr>
      <w:kern w:val="0"/>
      <w:sz w:val="24"/>
      <w:szCs w:val="20"/>
    </w:rPr>
  </w:style>
  <w:style w:type="paragraph" w:styleId="17">
    <w:name w:val="header"/>
    <w:basedOn w:val="1"/>
    <w:link w:val="65"/>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Plain Text"/>
    <w:basedOn w:val="1"/>
    <w:next w:val="1"/>
    <w:link w:val="60"/>
    <w:autoRedefine/>
    <w:qFormat/>
    <w:locked/>
    <w:uiPriority w:val="0"/>
    <w:rPr>
      <w:rFonts w:hAnsi="Courier New"/>
      <w:spacing w:val="5"/>
    </w:rPr>
  </w:style>
  <w:style w:type="paragraph" w:styleId="19">
    <w:name w:val="Date"/>
    <w:basedOn w:val="1"/>
    <w:next w:val="1"/>
    <w:link w:val="61"/>
    <w:autoRedefine/>
    <w:qFormat/>
    <w:uiPriority w:val="0"/>
    <w:pPr>
      <w:ind w:left="100" w:leftChars="2500"/>
    </w:pPr>
    <w:rPr>
      <w:kern w:val="0"/>
      <w:sz w:val="24"/>
      <w:szCs w:val="20"/>
    </w:rPr>
  </w:style>
  <w:style w:type="paragraph" w:styleId="20">
    <w:name w:val="Body Text Indent 2"/>
    <w:basedOn w:val="1"/>
    <w:link w:val="62"/>
    <w:autoRedefine/>
    <w:qFormat/>
    <w:locked/>
    <w:uiPriority w:val="0"/>
    <w:pPr>
      <w:spacing w:after="120" w:afterLines="0" w:line="480" w:lineRule="auto"/>
      <w:ind w:left="420" w:leftChars="200"/>
    </w:pPr>
  </w:style>
  <w:style w:type="paragraph" w:styleId="21">
    <w:name w:val="Balloon Text"/>
    <w:basedOn w:val="1"/>
    <w:link w:val="63"/>
    <w:autoRedefine/>
    <w:semiHidden/>
    <w:qFormat/>
    <w:uiPriority w:val="0"/>
    <w:rPr>
      <w:kern w:val="0"/>
      <w:sz w:val="18"/>
      <w:szCs w:val="20"/>
    </w:rPr>
  </w:style>
  <w:style w:type="paragraph" w:styleId="22">
    <w:name w:val="footer"/>
    <w:basedOn w:val="1"/>
    <w:link w:val="64"/>
    <w:autoRedefine/>
    <w:qFormat/>
    <w:uiPriority w:val="99"/>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0"/>
      <w:sz w:val="18"/>
      <w:szCs w:val="20"/>
      <w:lang w:val="en-US" w:eastAsia="zh-CN" w:bidi="ar"/>
    </w:rPr>
  </w:style>
  <w:style w:type="paragraph" w:styleId="23">
    <w:name w:val="toc 1"/>
    <w:basedOn w:val="1"/>
    <w:next w:val="1"/>
    <w:autoRedefine/>
    <w:qFormat/>
    <w:locked/>
    <w:uiPriority w:val="0"/>
    <w:rPr>
      <w:rFonts w:ascii="宋体" w:hAnsi="宋体"/>
      <w:sz w:val="24"/>
    </w:rPr>
  </w:style>
  <w:style w:type="paragraph" w:styleId="24">
    <w:name w:val="List Continue 4"/>
    <w:basedOn w:val="1"/>
    <w:next w:val="1"/>
    <w:autoRedefine/>
    <w:qFormat/>
    <w:locked/>
    <w:uiPriority w:val="0"/>
    <w:pPr>
      <w:widowControl w:val="0"/>
      <w:autoSpaceDE/>
      <w:autoSpaceDN/>
      <w:spacing w:before="0" w:after="120" w:line="360" w:lineRule="auto"/>
      <w:ind w:left="1680" w:firstLine="480"/>
      <w:jc w:val="both"/>
    </w:pPr>
    <w:rPr>
      <w:rFonts w:ascii="宋体" w:eastAsia="宋体"/>
      <w:sz w:val="24"/>
    </w:rPr>
  </w:style>
  <w:style w:type="paragraph" w:styleId="25">
    <w:name w:val="index heading"/>
    <w:basedOn w:val="1"/>
    <w:next w:val="26"/>
    <w:autoRedefine/>
    <w:semiHidden/>
    <w:qFormat/>
    <w:locked/>
    <w:uiPriority w:val="0"/>
    <w:rPr>
      <w:rFonts w:ascii="Arial" w:hAnsi="Arial" w:cs="Arial"/>
      <w:b/>
      <w:bCs/>
    </w:rPr>
  </w:style>
  <w:style w:type="paragraph" w:styleId="26">
    <w:name w:val="index 1"/>
    <w:basedOn w:val="1"/>
    <w:next w:val="1"/>
    <w:autoRedefine/>
    <w:semiHidden/>
    <w:qFormat/>
    <w:locked/>
    <w:uiPriority w:val="0"/>
  </w:style>
  <w:style w:type="paragraph" w:styleId="27">
    <w:name w:val="List Number 5"/>
    <w:basedOn w:val="1"/>
    <w:autoRedefine/>
    <w:qFormat/>
    <w:locked/>
    <w:uiPriority w:val="0"/>
    <w:pPr>
      <w:numPr>
        <w:ilvl w:val="0"/>
        <w:numId w:val="3"/>
      </w:numPr>
    </w:pPr>
  </w:style>
  <w:style w:type="paragraph" w:styleId="28">
    <w:name w:val="List"/>
    <w:basedOn w:val="1"/>
    <w:next w:val="1"/>
    <w:autoRedefine/>
    <w:qFormat/>
    <w:locked/>
    <w:uiPriority w:val="0"/>
    <w:pPr>
      <w:ind w:left="420" w:hanging="420"/>
    </w:pPr>
    <w:rPr>
      <w:rFonts w:ascii="新宋体" w:hAnsi="新宋体" w:eastAsia="仿宋_GB2312"/>
      <w:sz w:val="28"/>
      <w:szCs w:val="20"/>
    </w:rPr>
  </w:style>
  <w:style w:type="paragraph" w:styleId="29">
    <w:name w:val="Body Text Indent 3"/>
    <w:basedOn w:val="1"/>
    <w:autoRedefine/>
    <w:qFormat/>
    <w:locked/>
    <w:uiPriority w:val="0"/>
    <w:pPr>
      <w:spacing w:after="120" w:afterLines="0"/>
      <w:ind w:left="420" w:leftChars="200"/>
    </w:pPr>
    <w:rPr>
      <w:sz w:val="16"/>
      <w:szCs w:val="16"/>
    </w:rPr>
  </w:style>
  <w:style w:type="paragraph" w:styleId="30">
    <w:name w:val="table of figures"/>
    <w:basedOn w:val="1"/>
    <w:next w:val="1"/>
    <w:autoRedefine/>
    <w:qFormat/>
    <w:locked/>
    <w:uiPriority w:val="0"/>
    <w:pPr>
      <w:ind w:left="200" w:leftChars="200" w:hanging="200" w:hangingChars="200"/>
    </w:pPr>
    <w:rPr>
      <w:rFonts w:eastAsia="仿宋_GB2312"/>
      <w:sz w:val="28"/>
      <w:szCs w:val="24"/>
    </w:rPr>
  </w:style>
  <w:style w:type="paragraph" w:styleId="31">
    <w:name w:val="toc 2"/>
    <w:basedOn w:val="1"/>
    <w:next w:val="1"/>
    <w:autoRedefine/>
    <w:qFormat/>
    <w:locked/>
    <w:uiPriority w:val="0"/>
    <w:pPr>
      <w:ind w:left="420" w:leftChars="200"/>
    </w:pPr>
  </w:style>
  <w:style w:type="paragraph" w:styleId="32">
    <w:name w:val="Body Text 2"/>
    <w:basedOn w:val="1"/>
    <w:autoRedefine/>
    <w:qFormat/>
    <w:locked/>
    <w:uiPriority w:val="0"/>
    <w:pPr>
      <w:spacing w:after="120" w:line="480" w:lineRule="auto"/>
    </w:pPr>
  </w:style>
  <w:style w:type="paragraph" w:styleId="33">
    <w:name w:val="HTML Preformatted"/>
    <w:basedOn w:val="1"/>
    <w:link w:val="66"/>
    <w:autoRedefine/>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4">
    <w:name w:val="Normal (Web)"/>
    <w:basedOn w:val="1"/>
    <w:link w:val="67"/>
    <w:autoRedefine/>
    <w:qFormat/>
    <w:uiPriority w:val="99"/>
    <w:pPr>
      <w:widowControl/>
      <w:spacing w:before="100" w:beforeAutospacing="1" w:after="100" w:afterAutospacing="1"/>
      <w:jc w:val="left"/>
    </w:pPr>
    <w:rPr>
      <w:rFonts w:ascii="宋体" w:hAnsi="宋体"/>
      <w:kern w:val="0"/>
      <w:sz w:val="24"/>
      <w:szCs w:val="20"/>
    </w:rPr>
  </w:style>
  <w:style w:type="paragraph" w:styleId="35">
    <w:name w:val="Title"/>
    <w:basedOn w:val="1"/>
    <w:next w:val="1"/>
    <w:autoRedefine/>
    <w:qFormat/>
    <w:locked/>
    <w:uiPriority w:val="10"/>
    <w:pPr>
      <w:snapToGrid w:val="0"/>
      <w:ind w:firstLine="0" w:firstLineChars="0"/>
      <w:jc w:val="center"/>
    </w:pPr>
    <w:rPr>
      <w:rFonts w:ascii="Times New Roman" w:hAnsi="Times New Roman" w:eastAsia="宋体" w:cs="Times New Roman"/>
      <w:bCs/>
      <w:sz w:val="24"/>
      <w:szCs w:val="32"/>
    </w:rPr>
  </w:style>
  <w:style w:type="paragraph" w:styleId="36">
    <w:name w:val="annotation subject"/>
    <w:basedOn w:val="15"/>
    <w:next w:val="15"/>
    <w:link w:val="68"/>
    <w:autoRedefine/>
    <w:semiHidden/>
    <w:qFormat/>
    <w:uiPriority w:val="0"/>
    <w:rPr>
      <w:b/>
      <w:kern w:val="2"/>
    </w:rPr>
  </w:style>
  <w:style w:type="paragraph" w:styleId="37">
    <w:name w:val="Body Text First Indent"/>
    <w:basedOn w:val="11"/>
    <w:next w:val="16"/>
    <w:autoRedefine/>
    <w:qFormat/>
    <w:locked/>
    <w:uiPriority w:val="0"/>
    <w:pPr>
      <w:tabs>
        <w:tab w:val="left" w:pos="0"/>
      </w:tabs>
      <w:autoSpaceDE w:val="0"/>
      <w:autoSpaceDN w:val="0"/>
      <w:adjustRightInd w:val="0"/>
      <w:spacing w:before="120" w:line="360" w:lineRule="auto"/>
      <w:ind w:firstLine="567"/>
      <w:textAlignment w:val="baseline"/>
    </w:pPr>
    <w:rPr>
      <w:rFonts w:ascii="宋体"/>
      <w:sz w:val="28"/>
      <w:szCs w:val="28"/>
    </w:rPr>
  </w:style>
  <w:style w:type="paragraph" w:styleId="38">
    <w:name w:val="Body Text First Indent 2"/>
    <w:basedOn w:val="16"/>
    <w:next w:val="37"/>
    <w:link w:val="59"/>
    <w:autoRedefine/>
    <w:qFormat/>
    <w:locked/>
    <w:uiPriority w:val="0"/>
    <w:pPr>
      <w:adjustRightInd w:val="0"/>
      <w:spacing w:line="360" w:lineRule="auto"/>
      <w:ind w:firstLine="420" w:firstLineChars="200"/>
      <w:textAlignment w:val="baseline"/>
    </w:pPr>
  </w:style>
  <w:style w:type="table" w:styleId="40">
    <w:name w:val="Table Grid"/>
    <w:basedOn w:val="39"/>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autoRedefine/>
    <w:qFormat/>
    <w:locked/>
    <w:uiPriority w:val="22"/>
    <w:rPr>
      <w:b/>
      <w:bCs/>
    </w:rPr>
  </w:style>
  <w:style w:type="character" w:styleId="43">
    <w:name w:val="page number"/>
    <w:autoRedefine/>
    <w:qFormat/>
    <w:locked/>
    <w:uiPriority w:val="0"/>
  </w:style>
  <w:style w:type="character" w:styleId="44">
    <w:name w:val="Emphasis"/>
    <w:autoRedefine/>
    <w:qFormat/>
    <w:locked/>
    <w:uiPriority w:val="0"/>
    <w:rPr>
      <w:i/>
    </w:rPr>
  </w:style>
  <w:style w:type="character" w:styleId="45">
    <w:name w:val="annotation reference"/>
    <w:basedOn w:val="41"/>
    <w:autoRedefine/>
    <w:semiHidden/>
    <w:qFormat/>
    <w:uiPriority w:val="0"/>
    <w:rPr>
      <w:sz w:val="21"/>
    </w:rPr>
  </w:style>
  <w:style w:type="character" w:customStyle="1" w:styleId="46">
    <w:name w:val="标题 3 字符"/>
    <w:link w:val="6"/>
    <w:autoRedefine/>
    <w:qFormat/>
    <w:uiPriority w:val="0"/>
    <w:rPr>
      <w:b/>
      <w:bCs/>
      <w:kern w:val="2"/>
      <w:sz w:val="32"/>
      <w:szCs w:val="32"/>
    </w:rPr>
  </w:style>
  <w:style w:type="paragraph" w:customStyle="1" w:styleId="47">
    <w:name w:val="图表标题"/>
    <w:basedOn w:val="1"/>
    <w:next w:val="1"/>
    <w:autoRedefine/>
    <w:qFormat/>
    <w:uiPriority w:val="0"/>
    <w:pPr>
      <w:keepNext w:val="0"/>
      <w:keepLines w:val="0"/>
      <w:widowControl w:val="0"/>
      <w:suppressLineNumbers w:val="0"/>
      <w:adjustRightInd w:val="0"/>
      <w:snapToGrid w:val="0"/>
      <w:spacing w:before="0" w:beforeAutospacing="0" w:after="0" w:afterAutospacing="0" w:line="360" w:lineRule="auto"/>
      <w:ind w:left="0" w:right="0" w:firstLine="723" w:firstLineChars="300"/>
      <w:jc w:val="center"/>
    </w:pPr>
    <w:rPr>
      <w:rFonts w:hint="default" w:ascii="Times New Roman" w:hAnsi="Times New Roman" w:eastAsia="宋体" w:cs="Times New Roman"/>
      <w:b/>
      <w:kern w:val="2"/>
      <w:sz w:val="21"/>
      <w:szCs w:val="24"/>
      <w:lang w:val="en-US" w:eastAsia="zh-CN" w:bidi="ar"/>
    </w:rPr>
  </w:style>
  <w:style w:type="paragraph" w:customStyle="1" w:styleId="48">
    <w:name w:val="环评目录"/>
    <w:basedOn w:val="1"/>
    <w:qFormat/>
    <w:uiPriority w:val="0"/>
    <w:pPr>
      <w:widowControl/>
      <w:spacing w:beforeAutospacing="1" w:afterAutospacing="1"/>
      <w:jc w:val="center"/>
      <w:outlineLvl w:val="0"/>
    </w:pPr>
    <w:rPr>
      <w:rFonts w:ascii="Times New Roman" w:hAnsi="Times New Roman" w:eastAsia="宋体" w:cs="Times New Roman"/>
      <w:b/>
      <w:bCs/>
      <w:snapToGrid w:val="0"/>
      <w:color w:val="000000" w:themeColor="text1"/>
      <w:kern w:val="0"/>
      <w:sz w:val="30"/>
      <w:szCs w:val="30"/>
      <w14:textFill>
        <w14:solidFill>
          <w14:schemeClr w14:val="tx1"/>
        </w14:solidFill>
      </w14:textFill>
    </w:rPr>
  </w:style>
  <w:style w:type="paragraph" w:customStyle="1" w:styleId="49">
    <w:name w:val="Table Text"/>
    <w:basedOn w:val="1"/>
    <w:autoRedefine/>
    <w:semiHidden/>
    <w:qFormat/>
    <w:uiPriority w:val="0"/>
    <w:rPr>
      <w:rFonts w:ascii="宋体" w:hAnsi="宋体" w:eastAsia="宋体" w:cs="宋体"/>
      <w:sz w:val="20"/>
      <w:szCs w:val="20"/>
      <w:lang w:val="en-US" w:eastAsia="en-US" w:bidi="ar-SA"/>
    </w:rPr>
  </w:style>
  <w:style w:type="paragraph" w:customStyle="1" w:styleId="50">
    <w:name w:val="表头"/>
    <w:basedOn w:val="51"/>
    <w:next w:val="1"/>
    <w:autoRedefine/>
    <w:qFormat/>
    <w:uiPriority w:val="0"/>
    <w:pPr>
      <w:tabs>
        <w:tab w:val="left" w:pos="360"/>
        <w:tab w:val="left" w:pos="1620"/>
      </w:tabs>
      <w:spacing w:line="240" w:lineRule="auto"/>
      <w:ind w:firstLine="0" w:firstLineChars="0"/>
      <w:jc w:val="center"/>
    </w:pPr>
    <w:rPr>
      <w:rFonts w:ascii="Times New Roman" w:hAnsi="Times New Roman" w:eastAsia="宋体"/>
      <w:color w:val="000000"/>
      <w:sz w:val="21"/>
      <w:szCs w:val="21"/>
    </w:rPr>
  </w:style>
  <w:style w:type="paragraph" w:customStyle="1" w:styleId="51">
    <w:name w:val="【正文】"/>
    <w:basedOn w:val="1"/>
    <w:autoRedefine/>
    <w:qFormat/>
    <w:uiPriority w:val="0"/>
    <w:pPr>
      <w:adjustRightInd w:val="0"/>
      <w:snapToGrid w:val="0"/>
      <w:spacing w:line="360" w:lineRule="auto"/>
    </w:pPr>
    <w:rPr>
      <w:rFonts w:cs="宋体"/>
      <w:snapToGrid w:val="0"/>
      <w:kern w:val="0"/>
    </w:rPr>
  </w:style>
  <w:style w:type="paragraph" w:customStyle="1" w:styleId="52">
    <w:name w:val="样式5"/>
    <w:basedOn w:val="10"/>
    <w:link w:val="116"/>
    <w:autoRedefine/>
    <w:qFormat/>
    <w:uiPriority w:val="0"/>
    <w:pPr>
      <w:spacing w:line="240" w:lineRule="auto"/>
      <w:ind w:firstLine="0" w:firstLineChars="0"/>
      <w:jc w:val="center"/>
    </w:pPr>
    <w:rPr>
      <w:b/>
      <w:kern w:val="0"/>
      <w:sz w:val="20"/>
      <w:szCs w:val="20"/>
    </w:rPr>
  </w:style>
  <w:style w:type="paragraph" w:customStyle="1" w:styleId="53">
    <w:name w:val="xl2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kern w:val="0"/>
      <w:sz w:val="22"/>
      <w:szCs w:val="22"/>
    </w:rPr>
  </w:style>
  <w:style w:type="paragraph" w:customStyle="1" w:styleId="54">
    <w:name w:val="文本"/>
    <w:basedOn w:val="1"/>
    <w:autoRedefine/>
    <w:qFormat/>
    <w:uiPriority w:val="0"/>
    <w:pPr>
      <w:adjustRightInd w:val="0"/>
      <w:snapToGrid w:val="0"/>
      <w:spacing w:line="360" w:lineRule="auto"/>
      <w:ind w:firstLine="480" w:firstLineChars="200"/>
      <w:jc w:val="left"/>
    </w:pPr>
    <w:rPr>
      <w:rFonts w:ascii="Times New Roman" w:hAnsi="Times New Roman" w:eastAsia="宋体" w:cs="Times New Roman"/>
      <w:sz w:val="24"/>
    </w:rPr>
  </w:style>
  <w:style w:type="character" w:customStyle="1" w:styleId="55">
    <w:name w:val="文档结构图 字符"/>
    <w:link w:val="14"/>
    <w:autoRedefine/>
    <w:qFormat/>
    <w:uiPriority w:val="0"/>
    <w:rPr>
      <w:kern w:val="2"/>
      <w:sz w:val="21"/>
      <w:szCs w:val="24"/>
      <w:shd w:val="clear" w:color="auto" w:fill="000080"/>
    </w:rPr>
  </w:style>
  <w:style w:type="character" w:customStyle="1" w:styleId="56">
    <w:name w:val="批注文字 字符"/>
    <w:link w:val="15"/>
    <w:autoRedefine/>
    <w:qFormat/>
    <w:locked/>
    <w:uiPriority w:val="0"/>
    <w:rPr>
      <w:rFonts w:ascii="Times New Roman" w:hAnsi="Times New Roman" w:eastAsia="宋体"/>
      <w:sz w:val="24"/>
    </w:rPr>
  </w:style>
  <w:style w:type="character" w:customStyle="1" w:styleId="57">
    <w:name w:val="正文文本 字符"/>
    <w:link w:val="11"/>
    <w:autoRedefine/>
    <w:qFormat/>
    <w:locked/>
    <w:uiPriority w:val="0"/>
    <w:rPr>
      <w:sz w:val="18"/>
    </w:rPr>
  </w:style>
  <w:style w:type="character" w:customStyle="1" w:styleId="58">
    <w:name w:val="正文文本缩进 字符"/>
    <w:link w:val="16"/>
    <w:autoRedefine/>
    <w:semiHidden/>
    <w:qFormat/>
    <w:locked/>
    <w:uiPriority w:val="0"/>
    <w:rPr>
      <w:rFonts w:ascii="Times New Roman" w:hAnsi="Times New Roman" w:eastAsia="宋体"/>
      <w:sz w:val="24"/>
    </w:rPr>
  </w:style>
  <w:style w:type="character" w:customStyle="1" w:styleId="59">
    <w:name w:val="正文文本首行缩进 2 字符"/>
    <w:link w:val="38"/>
    <w:autoRedefine/>
    <w:qFormat/>
    <w:uiPriority w:val="0"/>
    <w:rPr>
      <w:sz w:val="24"/>
    </w:rPr>
  </w:style>
  <w:style w:type="character" w:customStyle="1" w:styleId="60">
    <w:name w:val="纯文本 字符"/>
    <w:link w:val="18"/>
    <w:autoRedefine/>
    <w:qFormat/>
    <w:locked/>
    <w:uiPriority w:val="0"/>
    <w:rPr>
      <w:rFonts w:hAnsi="Courier New"/>
      <w:spacing w:val="5"/>
      <w:kern w:val="2"/>
      <w:sz w:val="21"/>
      <w:szCs w:val="24"/>
    </w:rPr>
  </w:style>
  <w:style w:type="character" w:customStyle="1" w:styleId="61">
    <w:name w:val="日期 字符1"/>
    <w:link w:val="19"/>
    <w:autoRedefine/>
    <w:qFormat/>
    <w:locked/>
    <w:uiPriority w:val="0"/>
    <w:rPr>
      <w:rFonts w:ascii="Times New Roman" w:hAnsi="Times New Roman" w:eastAsia="宋体"/>
      <w:sz w:val="24"/>
    </w:rPr>
  </w:style>
  <w:style w:type="character" w:customStyle="1" w:styleId="62">
    <w:name w:val="正文文本缩进 2 字符"/>
    <w:link w:val="20"/>
    <w:autoRedefine/>
    <w:qFormat/>
    <w:uiPriority w:val="0"/>
    <w:rPr>
      <w:kern w:val="2"/>
      <w:sz w:val="21"/>
      <w:szCs w:val="24"/>
    </w:rPr>
  </w:style>
  <w:style w:type="character" w:customStyle="1" w:styleId="63">
    <w:name w:val="批注框文本 字符"/>
    <w:link w:val="21"/>
    <w:autoRedefine/>
    <w:semiHidden/>
    <w:qFormat/>
    <w:locked/>
    <w:uiPriority w:val="0"/>
    <w:rPr>
      <w:rFonts w:ascii="Times New Roman" w:hAnsi="Times New Roman" w:eastAsia="宋体"/>
      <w:sz w:val="18"/>
    </w:rPr>
  </w:style>
  <w:style w:type="character" w:customStyle="1" w:styleId="64">
    <w:name w:val="页脚 字符1"/>
    <w:link w:val="22"/>
    <w:autoRedefine/>
    <w:qFormat/>
    <w:locked/>
    <w:uiPriority w:val="99"/>
    <w:rPr>
      <w:sz w:val="18"/>
    </w:rPr>
  </w:style>
  <w:style w:type="character" w:customStyle="1" w:styleId="65">
    <w:name w:val="页眉 字符"/>
    <w:link w:val="17"/>
    <w:autoRedefine/>
    <w:qFormat/>
    <w:locked/>
    <w:uiPriority w:val="0"/>
    <w:rPr>
      <w:sz w:val="18"/>
    </w:rPr>
  </w:style>
  <w:style w:type="character" w:customStyle="1" w:styleId="66">
    <w:name w:val="HTML 预设格式 字符"/>
    <w:link w:val="33"/>
    <w:autoRedefine/>
    <w:qFormat/>
    <w:uiPriority w:val="0"/>
    <w:rPr>
      <w:rFonts w:ascii="Arial" w:hAnsi="Arial" w:cs="Arial"/>
      <w:sz w:val="24"/>
      <w:szCs w:val="24"/>
    </w:rPr>
  </w:style>
  <w:style w:type="character" w:customStyle="1" w:styleId="67">
    <w:name w:val="普通(网站) 字符"/>
    <w:link w:val="34"/>
    <w:autoRedefine/>
    <w:qFormat/>
    <w:locked/>
    <w:uiPriority w:val="0"/>
    <w:rPr>
      <w:rFonts w:ascii="宋体" w:hAnsi="宋体" w:eastAsia="宋体"/>
      <w:sz w:val="24"/>
    </w:rPr>
  </w:style>
  <w:style w:type="character" w:customStyle="1" w:styleId="68">
    <w:name w:val="批注主题 字符"/>
    <w:link w:val="36"/>
    <w:autoRedefine/>
    <w:semiHidden/>
    <w:qFormat/>
    <w:locked/>
    <w:uiPriority w:val="0"/>
    <w:rPr>
      <w:rFonts w:ascii="Times New Roman" w:hAnsi="Times New Roman" w:eastAsia="宋体"/>
      <w:b/>
      <w:kern w:val="2"/>
      <w:sz w:val="24"/>
    </w:rPr>
  </w:style>
  <w:style w:type="paragraph" w:customStyle="1" w:styleId="69">
    <w:name w:val="正文 首行缩进:  2 字符"/>
    <w:basedOn w:val="1"/>
    <w:autoRedefine/>
    <w:qFormat/>
    <w:uiPriority w:val="0"/>
    <w:pPr>
      <w:adjustRightInd w:val="0"/>
      <w:snapToGrid w:val="0"/>
      <w:spacing w:line="500" w:lineRule="exact"/>
      <w:ind w:firstLine="480"/>
    </w:pPr>
    <w:rPr>
      <w:rFonts w:eastAsia="楷体_GB2312"/>
      <w:lang w:val="zh-CN"/>
    </w:rPr>
  </w:style>
  <w:style w:type="character" w:customStyle="1" w:styleId="70">
    <w:name w:val="页脚 字符"/>
    <w:autoRedefine/>
    <w:qFormat/>
    <w:uiPriority w:val="99"/>
  </w:style>
  <w:style w:type="character" w:customStyle="1" w:styleId="71">
    <w:name w:val="正文粗 字符"/>
    <w:link w:val="72"/>
    <w:autoRedefine/>
    <w:qFormat/>
    <w:uiPriority w:val="0"/>
    <w:rPr>
      <w:rFonts w:ascii="Times New Roman" w:hAnsi="Times New Roman" w:eastAsia="宋体"/>
      <w:b/>
      <w:sz w:val="24"/>
      <w:szCs w:val="20"/>
    </w:rPr>
  </w:style>
  <w:style w:type="paragraph" w:customStyle="1" w:styleId="72">
    <w:name w:val="正文粗"/>
    <w:basedOn w:val="1"/>
    <w:next w:val="9"/>
    <w:link w:val="71"/>
    <w:autoRedefine/>
    <w:qFormat/>
    <w:uiPriority w:val="0"/>
    <w:pPr>
      <w:ind w:firstLine="482"/>
      <w:jc w:val="both"/>
    </w:pPr>
    <w:rPr>
      <w:b/>
      <w:kern w:val="0"/>
      <w:sz w:val="24"/>
      <w:szCs w:val="20"/>
    </w:rPr>
  </w:style>
  <w:style w:type="character" w:customStyle="1" w:styleId="73">
    <w:name w:val="正文文本 (2) + David"/>
    <w:autoRedefine/>
    <w:qFormat/>
    <w:uiPriority w:val="0"/>
    <w:rPr>
      <w:rFonts w:ascii="David" w:hAnsi="David" w:eastAsia="David" w:cs="David"/>
      <w:color w:val="000000"/>
      <w:spacing w:val="0"/>
      <w:w w:val="100"/>
      <w:position w:val="0"/>
      <w:sz w:val="28"/>
      <w:szCs w:val="28"/>
      <w:u w:val="none"/>
      <w:lang w:val="en-US" w:eastAsia="en-US" w:bidi="en-US"/>
    </w:rPr>
  </w:style>
  <w:style w:type="character" w:customStyle="1" w:styleId="74">
    <w:name w:val="表格 Char"/>
    <w:link w:val="75"/>
    <w:autoRedefine/>
    <w:qFormat/>
    <w:locked/>
    <w:uiPriority w:val="0"/>
    <w:rPr>
      <w:rFonts w:ascii="宋体"/>
      <w:sz w:val="21"/>
    </w:rPr>
  </w:style>
  <w:style w:type="paragraph" w:customStyle="1" w:styleId="75">
    <w:name w:val="表格"/>
    <w:basedOn w:val="28"/>
    <w:next w:val="1"/>
    <w:link w:val="74"/>
    <w:autoRedefine/>
    <w:qFormat/>
    <w:uiPriority w:val="0"/>
    <w:pPr>
      <w:adjustRightInd w:val="0"/>
      <w:snapToGrid w:val="0"/>
      <w:spacing w:beforeLines="10" w:afterLines="10" w:line="259" w:lineRule="auto"/>
      <w:jc w:val="center"/>
    </w:pPr>
    <w:rPr>
      <w:rFonts w:ascii="宋体"/>
      <w:kern w:val="0"/>
      <w:szCs w:val="20"/>
    </w:rPr>
  </w:style>
  <w:style w:type="character" w:customStyle="1" w:styleId="76">
    <w:name w:val="fontstyle21"/>
    <w:autoRedefine/>
    <w:qFormat/>
    <w:uiPriority w:val="0"/>
    <w:rPr>
      <w:rFonts w:hint="eastAsia" w:ascii="宋体" w:hAnsi="宋体" w:eastAsia="宋体"/>
      <w:color w:val="000000"/>
      <w:sz w:val="24"/>
      <w:szCs w:val="24"/>
    </w:rPr>
  </w:style>
  <w:style w:type="character" w:customStyle="1" w:styleId="77">
    <w:name w:val="15"/>
    <w:autoRedefine/>
    <w:qFormat/>
    <w:uiPriority w:val="0"/>
  </w:style>
  <w:style w:type="character" w:customStyle="1" w:styleId="78">
    <w:name w:val="日期 字符"/>
    <w:autoRedefine/>
    <w:semiHidden/>
    <w:qFormat/>
    <w:uiPriority w:val="0"/>
    <w:rPr>
      <w:rFonts w:ascii="Times New Roman" w:hAnsi="Times New Roman" w:eastAsia="宋体"/>
      <w:sz w:val="24"/>
    </w:rPr>
  </w:style>
  <w:style w:type="character" w:customStyle="1" w:styleId="79">
    <w:name w:val="正文文本 字符1"/>
    <w:autoRedefine/>
    <w:semiHidden/>
    <w:qFormat/>
    <w:uiPriority w:val="0"/>
    <w:rPr>
      <w:rFonts w:ascii="Times New Roman" w:hAnsi="Times New Roman" w:eastAsia="宋体"/>
      <w:sz w:val="24"/>
    </w:rPr>
  </w:style>
  <w:style w:type="character" w:customStyle="1" w:styleId="80">
    <w:name w:val="批注文字 字符1"/>
    <w:autoRedefine/>
    <w:semiHidden/>
    <w:qFormat/>
    <w:uiPriority w:val="0"/>
    <w:rPr>
      <w:rFonts w:ascii="Times New Roman" w:hAnsi="Times New Roman" w:eastAsia="宋体"/>
      <w:sz w:val="24"/>
    </w:rPr>
  </w:style>
  <w:style w:type="character" w:customStyle="1" w:styleId="81">
    <w:name w:val="textbig1"/>
    <w:autoRedefine/>
    <w:qFormat/>
    <w:uiPriority w:val="0"/>
    <w:rPr>
      <w:sz w:val="18"/>
      <w:szCs w:val="18"/>
    </w:rPr>
  </w:style>
  <w:style w:type="character" w:customStyle="1" w:styleId="82">
    <w:name w:val="4刘群正文* Char"/>
    <w:link w:val="83"/>
    <w:autoRedefine/>
    <w:qFormat/>
    <w:uiPriority w:val="0"/>
    <w:rPr>
      <w:kern w:val="2"/>
      <w:sz w:val="24"/>
      <w:szCs w:val="24"/>
    </w:rPr>
  </w:style>
  <w:style w:type="paragraph" w:customStyle="1" w:styleId="83">
    <w:name w:val="4刘群正文*"/>
    <w:basedOn w:val="1"/>
    <w:link w:val="82"/>
    <w:autoRedefine/>
    <w:qFormat/>
    <w:uiPriority w:val="0"/>
    <w:pPr>
      <w:spacing w:line="520" w:lineRule="exact"/>
      <w:ind w:firstLine="480" w:firstLineChars="200"/>
    </w:pPr>
    <w:rPr>
      <w:sz w:val="24"/>
    </w:rPr>
  </w:style>
  <w:style w:type="character" w:customStyle="1" w:styleId="84">
    <w:name w:val="0正文 Char"/>
    <w:link w:val="85"/>
    <w:autoRedefine/>
    <w:qFormat/>
    <w:uiPriority w:val="0"/>
    <w:rPr>
      <w:color w:val="000000"/>
      <w:sz w:val="24"/>
    </w:rPr>
  </w:style>
  <w:style w:type="paragraph" w:customStyle="1" w:styleId="85">
    <w:name w:val="0正文"/>
    <w:basedOn w:val="1"/>
    <w:link w:val="84"/>
    <w:autoRedefine/>
    <w:qFormat/>
    <w:uiPriority w:val="0"/>
    <w:pPr>
      <w:adjustRightInd w:val="0"/>
      <w:snapToGrid w:val="0"/>
      <w:spacing w:line="360" w:lineRule="auto"/>
      <w:ind w:firstLine="200" w:firstLineChars="200"/>
    </w:pPr>
    <w:rPr>
      <w:color w:val="000000"/>
      <w:kern w:val="0"/>
      <w:sz w:val="24"/>
      <w:szCs w:val="20"/>
    </w:rPr>
  </w:style>
  <w:style w:type="character" w:customStyle="1" w:styleId="86">
    <w:name w:val="表、图名 Char"/>
    <w:link w:val="87"/>
    <w:autoRedefine/>
    <w:qFormat/>
    <w:uiPriority w:val="0"/>
    <w:rPr>
      <w:rFonts w:ascii="宋体" w:hAnsi="宋体"/>
      <w:b/>
      <w:bCs/>
      <w:color w:val="FF0000"/>
      <w:sz w:val="24"/>
      <w:szCs w:val="24"/>
      <w:lang w:val="zh-CN"/>
    </w:rPr>
  </w:style>
  <w:style w:type="paragraph" w:customStyle="1" w:styleId="87">
    <w:name w:val="表、图名"/>
    <w:basedOn w:val="1"/>
    <w:link w:val="86"/>
    <w:autoRedefine/>
    <w:qFormat/>
    <w:uiPriority w:val="0"/>
    <w:pPr>
      <w:adjustRightInd w:val="0"/>
      <w:snapToGrid w:val="0"/>
      <w:jc w:val="center"/>
      <w:textAlignment w:val="baseline"/>
    </w:pPr>
    <w:rPr>
      <w:rFonts w:ascii="宋体" w:hAnsi="宋体"/>
      <w:b/>
      <w:bCs/>
      <w:color w:val="FF0000"/>
      <w:kern w:val="0"/>
      <w:sz w:val="24"/>
      <w:lang w:val="zh-CN"/>
    </w:rPr>
  </w:style>
  <w:style w:type="character" w:customStyle="1" w:styleId="88">
    <w:name w:val="font01"/>
    <w:autoRedefine/>
    <w:qFormat/>
    <w:uiPriority w:val="0"/>
    <w:rPr>
      <w:rFonts w:hint="eastAsia" w:ascii="宋体" w:hAnsi="宋体" w:eastAsia="宋体"/>
      <w:color w:val="000000"/>
      <w:sz w:val="18"/>
      <w:szCs w:val="18"/>
      <w:u w:val="none"/>
      <w:vertAlign w:val="superscript"/>
    </w:rPr>
  </w:style>
  <w:style w:type="character" w:customStyle="1" w:styleId="89">
    <w:name w:val="正文格式 Char Char"/>
    <w:link w:val="90"/>
    <w:autoRedefine/>
    <w:qFormat/>
    <w:uiPriority w:val="0"/>
    <w:rPr>
      <w:rFonts w:ascii="宋体" w:hAnsi="Cambria Math" w:cs="Cambria Math"/>
      <w:kern w:val="2"/>
      <w:sz w:val="24"/>
      <w:szCs w:val="24"/>
    </w:rPr>
  </w:style>
  <w:style w:type="paragraph" w:customStyle="1" w:styleId="90">
    <w:name w:val="正文格式"/>
    <w:basedOn w:val="37"/>
    <w:link w:val="89"/>
    <w:autoRedefine/>
    <w:qFormat/>
    <w:uiPriority w:val="0"/>
    <w:pPr>
      <w:widowControl w:val="0"/>
      <w:tabs>
        <w:tab w:val="clear" w:pos="0"/>
      </w:tabs>
      <w:autoSpaceDE/>
      <w:autoSpaceDN/>
      <w:adjustRightInd/>
      <w:snapToGrid/>
      <w:spacing w:before="0" w:after="0"/>
      <w:ind w:right="0" w:firstLine="200" w:firstLineChars="200"/>
      <w:textAlignment w:val="auto"/>
    </w:pPr>
    <w:rPr>
      <w:rFonts w:hAnsi="Cambria Math"/>
      <w:kern w:val="2"/>
      <w:sz w:val="24"/>
      <w:szCs w:val="24"/>
    </w:rPr>
  </w:style>
  <w:style w:type="character" w:customStyle="1" w:styleId="91">
    <w:name w:val="headline-content2"/>
    <w:autoRedefine/>
    <w:qFormat/>
    <w:uiPriority w:val="0"/>
  </w:style>
  <w:style w:type="character" w:customStyle="1" w:styleId="92">
    <w:name w:val="！正文 Char"/>
    <w:link w:val="93"/>
    <w:autoRedefine/>
    <w:qFormat/>
    <w:uiPriority w:val="0"/>
    <w:rPr>
      <w:kern w:val="2"/>
      <w:sz w:val="24"/>
      <w:szCs w:val="24"/>
    </w:rPr>
  </w:style>
  <w:style w:type="paragraph" w:customStyle="1" w:styleId="93">
    <w:name w:val="！正文"/>
    <w:basedOn w:val="1"/>
    <w:link w:val="92"/>
    <w:autoRedefine/>
    <w:qFormat/>
    <w:uiPriority w:val="0"/>
    <w:pPr>
      <w:widowControl/>
      <w:spacing w:line="500" w:lineRule="exact"/>
      <w:ind w:firstLine="200" w:firstLineChars="200"/>
      <w:jc w:val="left"/>
    </w:pPr>
    <w:rPr>
      <w:sz w:val="24"/>
    </w:rPr>
  </w:style>
  <w:style w:type="character" w:customStyle="1" w:styleId="94">
    <w:name w:val="李 4 Char Char Char"/>
    <w:autoRedefine/>
    <w:qFormat/>
    <w:uiPriority w:val="0"/>
    <w:rPr>
      <w:rFonts w:ascii="黑体" w:hAnsi="黑体" w:eastAsia="宋体" w:cs="黑体"/>
      <w:b/>
      <w:bCs/>
      <w:snapToGrid w:val="0"/>
      <w:sz w:val="24"/>
      <w:szCs w:val="28"/>
      <w:lang w:val="en-US" w:eastAsia="zh-CN" w:bidi="ar-SA"/>
    </w:rPr>
  </w:style>
  <w:style w:type="paragraph" w:customStyle="1" w:styleId="95">
    <w:name w:val="表格文字2"/>
    <w:basedOn w:val="1"/>
    <w:autoRedefine/>
    <w:qFormat/>
    <w:uiPriority w:val="0"/>
    <w:pPr>
      <w:tabs>
        <w:tab w:val="left" w:pos="277"/>
        <w:tab w:val="left" w:pos="600"/>
        <w:tab w:val="left" w:pos="780"/>
        <w:tab w:val="left" w:pos="2517"/>
      </w:tabs>
      <w:adjustRightInd w:val="0"/>
      <w:snapToGrid w:val="0"/>
      <w:spacing w:line="240" w:lineRule="auto"/>
      <w:ind w:firstLine="0" w:firstLineChars="0"/>
      <w:jc w:val="center"/>
      <w:textAlignment w:val="baseline"/>
    </w:pPr>
    <w:rPr>
      <w:kern w:val="0"/>
      <w:sz w:val="21"/>
      <w:szCs w:val="21"/>
      <w:lang w:val="zh-CN"/>
    </w:rPr>
  </w:style>
  <w:style w:type="paragraph" w:customStyle="1" w:styleId="96">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报告表格"/>
    <w:basedOn w:val="1"/>
    <w:autoRedefine/>
    <w:qFormat/>
    <w:uiPriority w:val="0"/>
    <w:pPr>
      <w:autoSpaceDE w:val="0"/>
      <w:autoSpaceDN w:val="0"/>
      <w:adjustRightInd w:val="0"/>
      <w:spacing w:before="40" w:after="40"/>
      <w:jc w:val="center"/>
    </w:pPr>
    <w:rPr>
      <w:kern w:val="0"/>
      <w:szCs w:val="20"/>
    </w:rPr>
  </w:style>
  <w:style w:type="paragraph" w:customStyle="1" w:styleId="98">
    <w:name w:val="Heading 6"/>
    <w:basedOn w:val="1"/>
    <w:autoRedefine/>
    <w:qFormat/>
    <w:uiPriority w:val="1"/>
    <w:pPr>
      <w:autoSpaceDE w:val="0"/>
      <w:autoSpaceDN w:val="0"/>
      <w:jc w:val="center"/>
      <w:outlineLvl w:val="6"/>
    </w:pPr>
    <w:rPr>
      <w:rFonts w:ascii="宋体" w:hAnsi="宋体" w:cs="宋体"/>
      <w:b/>
      <w:bCs/>
      <w:kern w:val="0"/>
      <w:lang w:val="zh-CN" w:bidi="zh-CN"/>
    </w:rPr>
  </w:style>
  <w:style w:type="paragraph" w:customStyle="1" w:styleId="99">
    <w:name w:val="Char Char Char Char1"/>
    <w:basedOn w:val="1"/>
    <w:autoRedefine/>
    <w:qFormat/>
    <w:uiPriority w:val="0"/>
    <w:pPr>
      <w:snapToGrid w:val="0"/>
      <w:spacing w:line="360" w:lineRule="auto"/>
      <w:ind w:firstLine="200" w:firstLineChars="200"/>
    </w:pPr>
    <w:rPr>
      <w:rFonts w:ascii="宋体" w:hAnsi="宋体" w:cs="宋体"/>
      <w:sz w:val="24"/>
    </w:rPr>
  </w:style>
  <w:style w:type="paragraph" w:customStyle="1" w:styleId="100">
    <w:name w:val="表左侧"/>
    <w:basedOn w:val="101"/>
    <w:next w:val="9"/>
    <w:autoRedefine/>
    <w:qFormat/>
    <w:uiPriority w:val="99"/>
    <w:pPr>
      <w:jc w:val="left"/>
    </w:pPr>
    <w:rPr>
      <w:b w:val="0"/>
    </w:rPr>
  </w:style>
  <w:style w:type="paragraph" w:customStyle="1" w:styleId="101">
    <w:name w:val="表格粗"/>
    <w:basedOn w:val="9"/>
    <w:autoRedefine/>
    <w:qFormat/>
    <w:uiPriority w:val="0"/>
    <w:pPr>
      <w:adjustRightInd w:val="0"/>
      <w:snapToGrid w:val="0"/>
      <w:spacing w:line="240" w:lineRule="auto"/>
      <w:ind w:firstLine="0" w:firstLineChars="0"/>
      <w:jc w:val="center"/>
    </w:pPr>
    <w:rPr>
      <w:b/>
      <w:sz w:val="21"/>
      <w:shd w:val="clear" w:color="auto" w:fill="auto"/>
    </w:rPr>
  </w:style>
  <w:style w:type="paragraph" w:customStyle="1" w:styleId="102">
    <w:name w:val="标题后正文"/>
    <w:basedOn w:val="1"/>
    <w:autoRedefine/>
    <w:qFormat/>
    <w:uiPriority w:val="0"/>
    <w:pPr>
      <w:adjustRightInd w:val="0"/>
      <w:spacing w:line="360" w:lineRule="auto"/>
      <w:ind w:firstLine="200" w:firstLineChars="200"/>
      <w:textAlignment w:val="baseline"/>
    </w:pPr>
    <w:rPr>
      <w:rFonts w:ascii="Arial" w:hAnsi="Arial"/>
      <w:snapToGrid w:val="0"/>
      <w:kern w:val="28"/>
      <w:szCs w:val="20"/>
    </w:rPr>
  </w:style>
  <w:style w:type="paragraph" w:customStyle="1" w:styleId="103">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104">
    <w:name w:val="表文6"/>
    <w:basedOn w:val="1"/>
    <w:autoRedefine/>
    <w:qFormat/>
    <w:uiPriority w:val="0"/>
    <w:pPr>
      <w:spacing w:line="240" w:lineRule="auto"/>
      <w:ind w:firstLine="0" w:firstLineChars="0"/>
      <w:jc w:val="center"/>
    </w:pPr>
    <w:rPr>
      <w:rFonts w:ascii="Calibri" w:hAnsi="Calibri" w:eastAsia="宋体" w:cs="黑体"/>
      <w:sz w:val="21"/>
      <w:szCs w:val="22"/>
    </w:rPr>
  </w:style>
  <w:style w:type="paragraph" w:customStyle="1" w:styleId="105">
    <w:name w:val="样式1"/>
    <w:basedOn w:val="25"/>
    <w:next w:val="1"/>
    <w:autoRedefine/>
    <w:qFormat/>
    <w:uiPriority w:val="0"/>
    <w:pPr>
      <w:adjustRightInd w:val="0"/>
      <w:spacing w:line="440" w:lineRule="exact"/>
      <w:ind w:firstLine="480" w:firstLineChars="200"/>
      <w:textAlignment w:val="baseline"/>
    </w:pPr>
    <w:rPr>
      <w:rFonts w:ascii="宋体"/>
      <w:color w:val="000000"/>
      <w:kern w:val="0"/>
      <w:szCs w:val="20"/>
    </w:rPr>
  </w:style>
  <w:style w:type="paragraph" w:customStyle="1" w:styleId="106">
    <w:name w:val="正文文本 (2)"/>
    <w:basedOn w:val="1"/>
    <w:autoRedefine/>
    <w:qFormat/>
    <w:uiPriority w:val="0"/>
    <w:pPr>
      <w:shd w:val="clear" w:color="auto" w:fill="FFFFFF"/>
      <w:spacing w:before="120" w:line="638" w:lineRule="exact"/>
      <w:ind w:hanging="580"/>
      <w:jc w:val="left"/>
    </w:pPr>
    <w:rPr>
      <w:rFonts w:ascii="MingLiU" w:hAnsi="MingLiU" w:eastAsia="MingLiU" w:cs="MingLiU"/>
      <w:kern w:val="0"/>
      <w:sz w:val="26"/>
      <w:szCs w:val="26"/>
    </w:rPr>
  </w:style>
  <w:style w:type="paragraph" w:customStyle="1" w:styleId="107">
    <w:name w:val="书6级"/>
    <w:basedOn w:val="9"/>
    <w:next w:val="9"/>
    <w:autoRedefine/>
    <w:qFormat/>
    <w:uiPriority w:val="99"/>
    <w:pPr>
      <w:numPr>
        <w:ilvl w:val="0"/>
        <w:numId w:val="4"/>
      </w:numPr>
      <w:adjustRightInd w:val="0"/>
      <w:ind w:firstLine="0" w:firstLineChars="0"/>
      <w:outlineLvl w:val="5"/>
    </w:pPr>
    <w:rPr>
      <w:b/>
    </w:rPr>
  </w:style>
  <w:style w:type="paragraph" w:customStyle="1" w:styleId="108">
    <w:name w:val="Table Paragraph"/>
    <w:basedOn w:val="1"/>
    <w:autoRedefine/>
    <w:qFormat/>
    <w:uiPriority w:val="1"/>
  </w:style>
  <w:style w:type="paragraph" w:customStyle="1" w:styleId="109">
    <w:name w:val="表格正文"/>
    <w:basedOn w:val="1"/>
    <w:autoRedefine/>
    <w:qFormat/>
    <w:uiPriority w:val="0"/>
    <w:pPr>
      <w:spacing w:line="360" w:lineRule="exact"/>
      <w:jc w:val="center"/>
    </w:pPr>
  </w:style>
  <w:style w:type="paragraph" w:customStyle="1" w:styleId="110">
    <w:name w:val="引言"/>
    <w:basedOn w:val="1"/>
    <w:next w:val="1"/>
    <w:autoRedefine/>
    <w:qFormat/>
    <w:uiPriority w:val="0"/>
    <w:pPr>
      <w:jc w:val="center"/>
    </w:pPr>
    <w:rPr>
      <w:b/>
      <w:bCs/>
      <w:kern w:val="0"/>
      <w:szCs w:val="21"/>
    </w:rPr>
  </w:style>
  <w:style w:type="paragraph" w:customStyle="1" w:styleId="111">
    <w:name w:val="2"/>
    <w:basedOn w:val="1"/>
    <w:next w:val="29"/>
    <w:autoRedefine/>
    <w:qFormat/>
    <w:uiPriority w:val="0"/>
    <w:pPr>
      <w:ind w:firstLine="527" w:firstLineChars="200"/>
    </w:pPr>
    <w:rPr>
      <w:spacing w:val="5"/>
    </w:rPr>
  </w:style>
  <w:style w:type="paragraph" w:customStyle="1" w:styleId="112">
    <w:name w:val="Char"/>
    <w:basedOn w:val="6"/>
    <w:next w:val="1"/>
    <w:autoRedefine/>
    <w:qFormat/>
    <w:uiPriority w:val="0"/>
    <w:pPr>
      <w:tabs>
        <w:tab w:val="left" w:pos="360"/>
        <w:tab w:val="left" w:pos="900"/>
      </w:tabs>
      <w:snapToGrid w:val="0"/>
      <w:spacing w:before="120" w:after="120" w:line="360" w:lineRule="auto"/>
      <w:ind w:left="542" w:leftChars="-12" w:firstLine="200" w:firstLineChars="200"/>
      <w:jc w:val="left"/>
    </w:pPr>
    <w:rPr>
      <w:rFonts w:ascii="Times New Roman" w:eastAsia="黑体"/>
      <w:b w:val="0"/>
      <w:bCs w:val="0"/>
      <w:sz w:val="24"/>
      <w:szCs w:val="24"/>
    </w:rPr>
  </w:style>
  <w:style w:type="paragraph" w:customStyle="1" w:styleId="113">
    <w:name w:val="书7级"/>
    <w:basedOn w:val="9"/>
    <w:next w:val="9"/>
    <w:autoRedefine/>
    <w:qFormat/>
    <w:uiPriority w:val="99"/>
    <w:pPr>
      <w:numPr>
        <w:ilvl w:val="0"/>
        <w:numId w:val="5"/>
      </w:numPr>
      <w:ind w:firstLine="0" w:firstLineChars="0"/>
      <w:outlineLvl w:val="6"/>
    </w:pPr>
    <w:rPr>
      <w:b/>
    </w:rPr>
  </w:style>
  <w:style w:type="paragraph" w:customStyle="1" w:styleId="114">
    <w:name w:val="1正文"/>
    <w:basedOn w:val="1"/>
    <w:autoRedefine/>
    <w:qFormat/>
    <w:uiPriority w:val="0"/>
    <w:pPr>
      <w:spacing w:line="360" w:lineRule="auto"/>
      <w:ind w:firstLine="200" w:firstLineChars="200"/>
    </w:pPr>
    <w:rPr>
      <w:rFonts w:cs="宋体"/>
      <w:kern w:val="0"/>
      <w:szCs w:val="20"/>
    </w:rPr>
  </w:style>
  <w:style w:type="paragraph" w:customStyle="1" w:styleId="115">
    <w:name w:val="表格文字"/>
    <w:basedOn w:val="11"/>
    <w:autoRedefine/>
    <w:qFormat/>
    <w:uiPriority w:val="0"/>
    <w:pPr>
      <w:overflowPunct w:val="0"/>
      <w:topLinePunct/>
      <w:autoSpaceDE w:val="0"/>
      <w:autoSpaceDN w:val="0"/>
      <w:adjustRightInd w:val="0"/>
      <w:snapToGrid w:val="0"/>
      <w:spacing w:line="360" w:lineRule="exact"/>
      <w:jc w:val="center"/>
      <w:textAlignment w:val="baseline"/>
    </w:pPr>
    <w:rPr>
      <w:rFonts w:ascii="Times New Roman"/>
      <w:spacing w:val="6"/>
      <w:kern w:val="0"/>
      <w:sz w:val="21"/>
      <w:szCs w:val="20"/>
    </w:rPr>
  </w:style>
  <w:style w:type="character" w:customStyle="1" w:styleId="116">
    <w:name w:val="样式5 Char"/>
    <w:link w:val="52"/>
    <w:autoRedefine/>
    <w:qFormat/>
    <w:uiPriority w:val="0"/>
    <w:rPr>
      <w:b/>
    </w:rPr>
  </w:style>
  <w:style w:type="paragraph" w:customStyle="1" w:styleId="117">
    <w:name w:val="表标题"/>
    <w:basedOn w:val="1"/>
    <w:autoRedefine/>
    <w:qFormat/>
    <w:uiPriority w:val="0"/>
    <w:pPr>
      <w:spacing w:line="500" w:lineRule="exact"/>
      <w:ind w:firstLine="482"/>
      <w:jc w:val="center"/>
    </w:pPr>
    <w:rPr>
      <w:rFonts w:ascii="仿宋_GB2312" w:eastAsia="仿宋_GB2312"/>
      <w:b/>
      <w:bCs/>
      <w:szCs w:val="24"/>
    </w:rPr>
  </w:style>
  <w:style w:type="paragraph" w:customStyle="1" w:styleId="118">
    <w:name w:val="■ 正文 ⑴"/>
    <w:basedOn w:val="1"/>
    <w:autoRedefine/>
    <w:qFormat/>
    <w:uiPriority w:val="0"/>
    <w:rPr>
      <w:rFonts w:ascii="宋体" w:hAnsi="宋体" w:cs="宋体"/>
    </w:rPr>
  </w:style>
  <w:style w:type="paragraph" w:customStyle="1" w:styleId="119">
    <w:name w:val="6-表中文字"/>
    <w:basedOn w:val="1"/>
    <w:autoRedefine/>
    <w:qFormat/>
    <w:uiPriority w:val="0"/>
    <w:pPr>
      <w:widowControl/>
      <w:adjustRightInd w:val="0"/>
      <w:snapToGrid w:val="0"/>
      <w:jc w:val="center"/>
    </w:pPr>
    <w:rPr>
      <w:rFonts w:eastAsia="仿宋_GB2312"/>
      <w:kern w:val="0"/>
      <w:sz w:val="20"/>
      <w:szCs w:val="21"/>
    </w:rPr>
  </w:style>
  <w:style w:type="paragraph" w:styleId="120">
    <w:name w:val="No Spacing"/>
    <w:basedOn w:val="1"/>
    <w:autoRedefine/>
    <w:qFormat/>
    <w:uiPriority w:val="0"/>
    <w:pPr>
      <w:adjustRightInd w:val="0"/>
      <w:snapToGrid w:val="0"/>
      <w:spacing w:line="240" w:lineRule="auto"/>
      <w:ind w:firstLine="0" w:firstLineChars="0"/>
      <w:jc w:val="center"/>
    </w:pPr>
    <w:rPr>
      <w:rFonts w:cs="Times New Roman"/>
      <w:bCs/>
      <w:color w:val="000000"/>
      <w:sz w:val="21"/>
      <w:szCs w:val="21"/>
    </w:rPr>
  </w:style>
  <w:style w:type="paragraph" w:customStyle="1" w:styleId="121">
    <w:name w:val="样式 居中"/>
    <w:basedOn w:val="1"/>
    <w:autoRedefine/>
    <w:qFormat/>
    <w:uiPriority w:val="0"/>
    <w:pPr>
      <w:jc w:val="center"/>
    </w:pPr>
    <w:rPr>
      <w:rFonts w:cs="宋体"/>
      <w:b/>
      <w:sz w:val="21"/>
      <w:szCs w:val="20"/>
    </w:rPr>
  </w:style>
  <w:style w:type="paragraph" w:customStyle="1" w:styleId="122">
    <w:name w:val=" Char"/>
    <w:basedOn w:val="1"/>
    <w:autoRedefine/>
    <w:qFormat/>
    <w:uiPriority w:val="0"/>
    <w:pPr>
      <w:snapToGrid w:val="0"/>
      <w:spacing w:line="360" w:lineRule="auto"/>
      <w:ind w:firstLine="529" w:firstLineChars="200"/>
    </w:pPr>
    <w:rPr>
      <w:rFonts w:ascii="Calibri" w:hAnsi="Calibri"/>
    </w:rPr>
  </w:style>
  <w:style w:type="paragraph" w:customStyle="1" w:styleId="123">
    <w:name w:val="正文新"/>
    <w:basedOn w:val="10"/>
    <w:autoRedefine/>
    <w:qFormat/>
    <w:uiPriority w:val="0"/>
    <w:pPr>
      <w:adjustRightInd w:val="0"/>
      <w:snapToGrid w:val="0"/>
      <w:spacing w:line="360" w:lineRule="auto"/>
      <w:ind w:firstLine="880" w:firstLineChars="0"/>
    </w:pPr>
    <w:rPr>
      <w:sz w:val="24"/>
    </w:rPr>
  </w:style>
  <w:style w:type="paragraph" w:customStyle="1" w:styleId="124">
    <w:name w:val="表格标题"/>
    <w:basedOn w:val="1"/>
    <w:autoRedefine/>
    <w:qFormat/>
    <w:uiPriority w:val="0"/>
    <w:pPr>
      <w:spacing w:before="60" w:line="460" w:lineRule="exact"/>
      <w:jc w:val="center"/>
    </w:pPr>
    <w:rPr>
      <w:sz w:val="24"/>
    </w:rPr>
  </w:style>
  <w:style w:type="paragraph" w:customStyle="1" w:styleId="125">
    <w:name w:val="表"/>
    <w:autoRedefine/>
    <w:qFormat/>
    <w:uiPriority w:val="0"/>
    <w:pPr>
      <w:spacing w:line="440" w:lineRule="exact"/>
      <w:ind w:firstLine="200" w:firstLineChars="200"/>
      <w:jc w:val="both"/>
    </w:pPr>
    <w:rPr>
      <w:rFonts w:ascii="Times New Roman" w:hAnsi="Times New Roman" w:eastAsia="宋体" w:cs="Times New Roman"/>
      <w:sz w:val="24"/>
      <w:lang w:val="en-US" w:eastAsia="zh-CN" w:bidi="ar-SA"/>
    </w:rPr>
  </w:style>
  <w:style w:type="paragraph" w:customStyle="1" w:styleId="126">
    <w:name w:val="报告表正文"/>
    <w:basedOn w:val="1"/>
    <w:autoRedefine/>
    <w:qFormat/>
    <w:uiPriority w:val="0"/>
    <w:pPr>
      <w:adjustRightInd w:val="0"/>
      <w:spacing w:before="100" w:beforeAutospacing="1" w:after="100" w:afterAutospacing="1" w:line="312" w:lineRule="auto"/>
      <w:ind w:left="113" w:right="113" w:firstLine="482"/>
      <w:jc w:val="left"/>
      <w:textAlignment w:val="baseline"/>
    </w:pPr>
    <w:rPr>
      <w:kern w:val="0"/>
      <w:sz w:val="24"/>
    </w:rPr>
  </w:style>
  <w:style w:type="table" w:customStyle="1" w:styleId="127">
    <w:name w:val="报告书表格"/>
    <w:basedOn w:val="39"/>
    <w:autoRedefine/>
    <w:qFormat/>
    <w:uiPriority w:val="99"/>
    <w:pPr>
      <w:adjustRightInd w:val="0"/>
      <w:snapToGrid w:val="0"/>
      <w:jc w:val="center"/>
    </w:pPr>
    <w:rPr>
      <w:rFonts w:ascii="Times New Roman" w:hAnsi="Times New Roman" w:eastAsia="宋体"/>
      <w:szCs w:val="22"/>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jc w:val="center"/>
    </w:trPr>
    <w:tcPr>
      <w:shd w:val="clear" w:color="auto" w:fill="auto"/>
      <w:vAlign w:val="center"/>
    </w:tcPr>
    <w:tblStylePr w:type="firstRow">
      <w:pPr>
        <w:wordWrap/>
        <w:adjustRightInd w:val="0"/>
        <w:snapToGrid w:val="0"/>
        <w:spacing w:line="240" w:lineRule="auto"/>
        <w:ind w:firstLine="0" w:firstLineChars="0"/>
        <w:jc w:val="center"/>
        <w:outlineLvl w:val="9"/>
      </w:pPr>
      <w:rPr>
        <w:rFonts w:ascii="Arial" w:hAnsi="Arial" w:eastAsia="楷体_GB2312"/>
        <w:b w:val="0"/>
        <w:color w:val="000000"/>
        <w:sz w:val="21"/>
      </w:rPr>
      <w:tcPr>
        <w:shd w:val="clear" w:color="auto" w:fill="FFFFFF"/>
      </w:tcPr>
    </w:tblStylePr>
  </w:style>
  <w:style w:type="table" w:customStyle="1" w:styleId="128">
    <w:name w:val="报告书表格1"/>
    <w:basedOn w:val="39"/>
    <w:autoRedefine/>
    <w:qFormat/>
    <w:uiPriority w:val="99"/>
    <w:pPr>
      <w:adjustRightInd w:val="0"/>
      <w:snapToGrid w:val="0"/>
      <w:jc w:val="center"/>
    </w:pPr>
    <w:rPr>
      <w:rFonts w:ascii="Times New Roman" w:hAnsi="Times New Roman" w:eastAsia="宋体"/>
      <w:szCs w:val="22"/>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jc w:val="center"/>
    </w:trPr>
    <w:tcPr>
      <w:shd w:val="clear" w:color="auto" w:fill="auto"/>
      <w:vAlign w:val="center"/>
    </w:tcPr>
    <w:tblStylePr w:type="firstRow">
      <w:pPr>
        <w:wordWrap/>
        <w:adjustRightInd w:val="0"/>
        <w:snapToGrid w:val="0"/>
        <w:spacing w:line="240" w:lineRule="auto"/>
        <w:ind w:firstLine="0" w:firstLineChars="0"/>
        <w:jc w:val="center"/>
        <w:outlineLvl w:val="9"/>
      </w:pPr>
      <w:rPr>
        <w:rFonts w:ascii="Arial" w:hAnsi="Arial" w:eastAsia="楷体_GB2312"/>
        <w:b w:val="0"/>
        <w:color w:val="000000"/>
        <w:sz w:val="21"/>
      </w:rPr>
      <w:tcPr>
        <w:shd w:val="clear" w:color="auto" w:fill="FFFFFF"/>
      </w:tcPr>
    </w:tblStylePr>
  </w:style>
  <w:style w:type="table" w:customStyle="1" w:styleId="129">
    <w:name w:val="网格型10"/>
    <w:basedOn w:val="39"/>
    <w:autoRedefine/>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0">
    <w:name w:val="表格新"/>
    <w:basedOn w:val="1"/>
    <w:link w:val="131"/>
    <w:autoRedefine/>
    <w:qFormat/>
    <w:uiPriority w:val="0"/>
    <w:pPr>
      <w:jc w:val="center"/>
    </w:pPr>
    <w:rPr>
      <w:bCs/>
      <w:szCs w:val="21"/>
    </w:rPr>
  </w:style>
  <w:style w:type="character" w:customStyle="1" w:styleId="131">
    <w:name w:val="表格新 字符"/>
    <w:link w:val="130"/>
    <w:autoRedefine/>
    <w:qFormat/>
    <w:uiPriority w:val="0"/>
    <w:rPr>
      <w:bCs/>
      <w:kern w:val="2"/>
      <w:sz w:val="21"/>
      <w:szCs w:val="21"/>
    </w:rPr>
  </w:style>
  <w:style w:type="character" w:customStyle="1" w:styleId="132">
    <w:name w:val="@正文缩进 Char"/>
    <w:link w:val="133"/>
    <w:autoRedefine/>
    <w:qFormat/>
    <w:uiPriority w:val="0"/>
    <w:rPr>
      <w:sz w:val="24"/>
      <w:szCs w:val="24"/>
    </w:rPr>
  </w:style>
  <w:style w:type="paragraph" w:customStyle="1" w:styleId="133">
    <w:name w:val="@正文缩进"/>
    <w:basedOn w:val="1"/>
    <w:link w:val="132"/>
    <w:autoRedefine/>
    <w:qFormat/>
    <w:uiPriority w:val="0"/>
    <w:pPr>
      <w:pBdr>
        <w:top w:val="none" w:color="auto" w:sz="0" w:space="3"/>
        <w:left w:val="none" w:color="auto" w:sz="0" w:space="4"/>
        <w:bottom w:val="none" w:color="auto" w:sz="0" w:space="1"/>
        <w:right w:val="none" w:color="auto" w:sz="0" w:space="4"/>
      </w:pBdr>
      <w:spacing w:line="360" w:lineRule="auto"/>
      <w:ind w:firstLine="420" w:firstLineChars="200"/>
      <w:textAlignment w:val="baseline"/>
    </w:pPr>
    <w:rPr>
      <w:kern w:val="0"/>
      <w:sz w:val="24"/>
    </w:rPr>
  </w:style>
  <w:style w:type="paragraph" w:customStyle="1" w:styleId="134">
    <w:name w:val="@表格内容"/>
    <w:basedOn w:val="1"/>
    <w:autoRedefine/>
    <w:qFormat/>
    <w:uiPriority w:val="0"/>
    <w:pPr>
      <w:pBdr>
        <w:top w:val="none" w:color="auto" w:sz="0" w:space="1"/>
        <w:left w:val="none" w:color="auto" w:sz="0" w:space="4"/>
        <w:bottom w:val="none" w:color="auto" w:sz="0" w:space="1"/>
        <w:right w:val="none" w:color="auto" w:sz="0" w:space="4"/>
      </w:pBdr>
      <w:autoSpaceDN w:val="0"/>
      <w:jc w:val="center"/>
      <w:textAlignment w:val="center"/>
    </w:pPr>
    <w:rPr>
      <w:szCs w:val="21"/>
    </w:rPr>
  </w:style>
  <w:style w:type="paragraph" w:customStyle="1" w:styleId="135">
    <w:name w:val="@表头"/>
    <w:basedOn w:val="136"/>
    <w:next w:val="1"/>
    <w:autoRedefine/>
    <w:qFormat/>
    <w:uiPriority w:val="0"/>
    <w:pPr>
      <w:pBdr>
        <w:top w:val="none" w:color="auto" w:sz="0" w:space="4"/>
        <w:left w:val="none" w:color="auto" w:sz="0" w:space="4"/>
        <w:bottom w:val="none" w:color="auto" w:sz="0" w:space="1"/>
        <w:right w:val="none" w:color="auto" w:sz="0" w:space="4"/>
      </w:pBdr>
      <w:adjustRightInd w:val="0"/>
      <w:spacing w:before="1" w:beforeLines="1" w:after="1" w:afterLines="1" w:line="360" w:lineRule="auto"/>
      <w:jc w:val="center"/>
    </w:pPr>
    <w:rPr>
      <w:b/>
      <w:sz w:val="22"/>
      <w:szCs w:val="22"/>
    </w:rPr>
  </w:style>
  <w:style w:type="paragraph" w:customStyle="1" w:styleId="136">
    <w:name w:val="正文1"/>
    <w:basedOn w:val="1"/>
    <w:autoRedefine/>
    <w:qFormat/>
    <w:uiPriority w:val="0"/>
    <w:pPr>
      <w:spacing w:before="25" w:beforeLines="25" w:after="25" w:afterLines="25" w:line="360" w:lineRule="auto"/>
      <w:ind w:firstLine="200" w:firstLineChars="200"/>
    </w:pPr>
    <w:rPr>
      <w:sz w:val="24"/>
      <w:szCs w:val="24"/>
    </w:rPr>
  </w:style>
  <w:style w:type="paragraph" w:customStyle="1" w:styleId="137">
    <w:name w:val="表格内容"/>
    <w:basedOn w:val="1"/>
    <w:autoRedefine/>
    <w:qFormat/>
    <w:uiPriority w:val="0"/>
    <w:pPr>
      <w:spacing w:line="240" w:lineRule="auto"/>
      <w:jc w:val="center"/>
    </w:pPr>
    <w:rPr>
      <w:rFonts w:ascii="Times New Roman" w:hAnsi="Times New Roman" w:eastAsia="宋体"/>
      <w:sz w:val="21"/>
      <w:szCs w:val="21"/>
    </w:rPr>
  </w:style>
  <w:style w:type="character" w:customStyle="1" w:styleId="138">
    <w:name w:val="font51"/>
    <w:autoRedefine/>
    <w:qFormat/>
    <w:uiPriority w:val="0"/>
    <w:rPr>
      <w:rFonts w:hint="eastAsia" w:ascii="宋体" w:hAnsi="宋体" w:eastAsia="宋体" w:cs="宋体"/>
      <w:color w:val="000000"/>
      <w:sz w:val="20"/>
      <w:szCs w:val="20"/>
      <w:u w:val="none"/>
    </w:rPr>
  </w:style>
  <w:style w:type="character" w:customStyle="1" w:styleId="139">
    <w:name w:val="font31"/>
    <w:autoRedefine/>
    <w:qFormat/>
    <w:uiPriority w:val="0"/>
    <w:rPr>
      <w:rFonts w:hint="eastAsia" w:ascii="宋体" w:hAnsi="宋体" w:eastAsia="宋体" w:cs="宋体"/>
      <w:color w:val="000000"/>
      <w:sz w:val="21"/>
      <w:szCs w:val="21"/>
      <w:u w:val="none"/>
    </w:rPr>
  </w:style>
  <w:style w:type="character" w:customStyle="1" w:styleId="140">
    <w:name w:val="正文文本缩进 字符1"/>
    <w:autoRedefine/>
    <w:qFormat/>
    <w:uiPriority w:val="0"/>
    <w:rPr>
      <w:kern w:val="2"/>
      <w:sz w:val="21"/>
      <w:szCs w:val="24"/>
    </w:rPr>
  </w:style>
  <w:style w:type="paragraph" w:customStyle="1" w:styleId="141">
    <w:name w:val="表文字"/>
    <w:basedOn w:val="1"/>
    <w:autoRedefine/>
    <w:qFormat/>
    <w:uiPriority w:val="0"/>
    <w:pPr>
      <w:overflowPunct w:val="0"/>
      <w:autoSpaceDE w:val="0"/>
      <w:autoSpaceDN w:val="0"/>
      <w:adjustRightInd w:val="0"/>
      <w:spacing w:line="240" w:lineRule="atLeast"/>
      <w:jc w:val="center"/>
      <w:textAlignment w:val="baseline"/>
    </w:pPr>
    <w:rPr>
      <w:rFonts w:ascii="宋体" w:hAnsi="Times New Roman" w:eastAsia="宋体" w:cs="Times New Roman"/>
      <w:color w:val="000000"/>
      <w:kern w:val="0"/>
      <w:sz w:val="20"/>
      <w:szCs w:val="20"/>
    </w:rPr>
  </w:style>
  <w:style w:type="paragraph" w:customStyle="1" w:styleId="142">
    <w:name w:val="p0"/>
    <w:basedOn w:val="1"/>
    <w:autoRedefine/>
    <w:qFormat/>
    <w:uiPriority w:val="0"/>
    <w:pPr>
      <w:widowControl/>
    </w:pPr>
    <w:rPr>
      <w:rFonts w:ascii="Times New Roman" w:hAnsi="Times New Roman" w:eastAsia="宋体" w:cs="Times New Roman"/>
      <w:kern w:val="0"/>
      <w:szCs w:val="21"/>
    </w:rPr>
  </w:style>
  <w:style w:type="paragraph" w:customStyle="1" w:styleId="143">
    <w:name w:val="样式 正文11 + 首行缩进:  2 字符"/>
    <w:basedOn w:val="1"/>
    <w:autoRedefine/>
    <w:qFormat/>
    <w:uiPriority w:val="0"/>
    <w:pPr>
      <w:spacing w:line="500" w:lineRule="exact"/>
      <w:ind w:firstLine="560" w:firstLineChars="200"/>
    </w:pPr>
    <w:rPr>
      <w:rFonts w:ascii="宋体" w:hAnsi="宋体" w:eastAsia="宋体" w:cs="宋体"/>
      <w:color w:val="FF0000"/>
      <w:sz w:val="28"/>
      <w:szCs w:val="20"/>
    </w:rPr>
  </w:style>
  <w:style w:type="paragraph" w:customStyle="1" w:styleId="144">
    <w:name w:val="表头（仿宋 小四）"/>
    <w:basedOn w:val="1"/>
    <w:autoRedefine/>
    <w:qFormat/>
    <w:uiPriority w:val="0"/>
    <w:pPr>
      <w:keepNext w:val="0"/>
      <w:keepLines w:val="0"/>
      <w:widowControl w:val="0"/>
      <w:suppressLineNumbers w:val="0"/>
      <w:spacing w:before="0" w:beforeAutospacing="0" w:after="0" w:afterAutospacing="0" w:line="520" w:lineRule="exact"/>
      <w:ind w:left="0" w:right="0"/>
      <w:jc w:val="center"/>
    </w:pPr>
    <w:rPr>
      <w:rFonts w:hint="eastAsia" w:ascii="仿宋_GB2312" w:hAnsi="宋体" w:eastAsia="仿宋_GB2312" w:cs="Times New Roman"/>
      <w:color w:val="000000"/>
      <w:kern w:val="0"/>
      <w:sz w:val="24"/>
      <w:szCs w:val="20"/>
      <w:lang w:val="en-US" w:eastAsia="zh-CN" w:bidi="ar"/>
    </w:rPr>
  </w:style>
  <w:style w:type="paragraph" w:customStyle="1" w:styleId="145">
    <w:name w:val="正文（首行缩进） Char"/>
    <w:basedOn w:val="1"/>
    <w:autoRedefine/>
    <w:qFormat/>
    <w:uiPriority w:val="0"/>
    <w:pPr>
      <w:widowControl/>
      <w:overflowPunct w:val="0"/>
      <w:topLinePunct/>
      <w:autoSpaceDE w:val="0"/>
      <w:autoSpaceDN w:val="0"/>
      <w:adjustRightInd w:val="0"/>
      <w:snapToGrid w:val="0"/>
      <w:spacing w:line="360" w:lineRule="auto"/>
      <w:ind w:firstLine="480" w:firstLineChars="200"/>
      <w:textAlignment w:val="baseline"/>
    </w:pPr>
    <w:rPr>
      <w:kern w:val="0"/>
      <w:sz w:val="24"/>
      <w:szCs w:val="24"/>
    </w:rPr>
  </w:style>
  <w:style w:type="table" w:customStyle="1" w:styleId="146">
    <w:name w:val="Table Normal"/>
    <w:autoRedefine/>
    <w:unhideWhenUsed/>
    <w:qFormat/>
    <w:uiPriority w:val="0"/>
    <w:tblPr>
      <w:tblCellMar>
        <w:top w:w="0" w:type="dxa"/>
        <w:left w:w="0" w:type="dxa"/>
        <w:bottom w:w="0" w:type="dxa"/>
        <w:right w:w="0" w:type="dxa"/>
      </w:tblCellMar>
    </w:tblPr>
  </w:style>
  <w:style w:type="paragraph" w:customStyle="1" w:styleId="147">
    <w:name w:val="生态-表头"/>
    <w:basedOn w:val="1"/>
    <w:autoRedefine/>
    <w:qFormat/>
    <w:uiPriority w:val="0"/>
    <w:pPr>
      <w:jc w:val="center"/>
    </w:pPr>
    <w:rPr>
      <w:rFonts w:hint="eastAsia" w:ascii="Times New Roman" w:hAnsi="Times New Roman" w:cs="Arial"/>
      <w:b/>
      <w:color w:val="auto"/>
      <w:kern w:val="0"/>
      <w:szCs w:val="21"/>
    </w:rPr>
  </w:style>
  <w:style w:type="paragraph" w:customStyle="1" w:styleId="148">
    <w:name w:val="表内容"/>
    <w:basedOn w:val="1"/>
    <w:next w:val="1"/>
    <w:autoRedefine/>
    <w:qFormat/>
    <w:uiPriority w:val="0"/>
    <w:pPr>
      <w:jc w:val="center"/>
    </w:pPr>
    <w:rPr>
      <w:szCs w:val="21"/>
    </w:rPr>
  </w:style>
  <w:style w:type="paragraph" w:customStyle="1" w:styleId="149">
    <w:name w:val="覃最新"/>
    <w:basedOn w:val="1"/>
    <w:autoRedefine/>
    <w:qFormat/>
    <w:uiPriority w:val="0"/>
    <w:pPr>
      <w:widowControl/>
      <w:spacing w:line="500" w:lineRule="exact"/>
    </w:pPr>
    <w:rPr>
      <w:rFonts w:ascii="华文中宋" w:hAnsi="华文中宋" w:eastAsia="华文中宋"/>
      <w:snapToGrid w:val="0"/>
      <w:kern w:val="28"/>
    </w:rPr>
  </w:style>
  <w:style w:type="paragraph" w:customStyle="1" w:styleId="150">
    <w:name w:val="生态-标题2"/>
    <w:basedOn w:val="1"/>
    <w:autoRedefine/>
    <w:qFormat/>
    <w:uiPriority w:val="0"/>
    <w:pPr>
      <w:snapToGrid w:val="0"/>
      <w:spacing w:line="360" w:lineRule="auto"/>
      <w:ind w:firstLine="482" w:firstLineChars="200"/>
    </w:pPr>
    <w:rPr>
      <w:rFonts w:hint="eastAsia" w:ascii="Times New Roman" w:hAnsi="Times New Roman" w:eastAsia="宋体"/>
      <w:b/>
      <w:color w:val="auto"/>
      <w:sz w:val="24"/>
    </w:rPr>
  </w:style>
  <w:style w:type="paragraph" w:customStyle="1" w:styleId="151">
    <w:name w:val="表格内容1"/>
    <w:basedOn w:val="1"/>
    <w:autoRedefine/>
    <w:qFormat/>
    <w:uiPriority w:val="0"/>
    <w:pPr>
      <w:tabs>
        <w:tab w:val="left" w:pos="1535"/>
        <w:tab w:val="left" w:pos="3105"/>
        <w:tab w:val="left" w:pos="4676"/>
        <w:tab w:val="left" w:pos="6247"/>
        <w:tab w:val="left" w:pos="7740"/>
        <w:tab w:val="left" w:pos="9288"/>
      </w:tabs>
      <w:adjustRightInd w:val="0"/>
      <w:snapToGrid w:val="0"/>
      <w:spacing w:line="300" w:lineRule="atLeast"/>
      <w:jc w:val="center"/>
      <w:textAlignment w:val="baseline"/>
    </w:pPr>
    <w:rPr>
      <w:rFonts w:ascii="宋体" w:hAnsi="宋体"/>
      <w:szCs w:val="20"/>
    </w:rPr>
  </w:style>
  <w:style w:type="paragraph" w:customStyle="1" w:styleId="152">
    <w:name w:val="正文(首行缩进)"/>
    <w:basedOn w:val="1"/>
    <w:next w:val="1"/>
    <w:autoRedefine/>
    <w:qFormat/>
    <w:uiPriority w:val="0"/>
    <w:pPr>
      <w:adjustRightInd w:val="0"/>
      <w:snapToGrid w:val="0"/>
      <w:spacing w:line="300" w:lineRule="auto"/>
      <w:ind w:firstLine="200" w:firstLineChars="200"/>
    </w:pPr>
    <w:rPr>
      <w:snapToGrid w:val="0"/>
      <w:sz w:val="24"/>
      <w:szCs w:val="22"/>
    </w:rPr>
  </w:style>
  <w:style w:type="character" w:customStyle="1" w:styleId="153">
    <w:name w:val="font21"/>
    <w:basedOn w:val="41"/>
    <w:qFormat/>
    <w:uiPriority w:val="0"/>
    <w:rPr>
      <w:rFonts w:ascii="宋体" w:hAnsi="宋体" w:eastAsia="宋体" w:cs="宋体"/>
      <w:color w:val="303060"/>
      <w:sz w:val="12"/>
      <w:szCs w:val="12"/>
      <w:u w:val="none"/>
    </w:rPr>
  </w:style>
  <w:style w:type="character" w:customStyle="1" w:styleId="154">
    <w:name w:val="font41"/>
    <w:basedOn w:val="41"/>
    <w:qFormat/>
    <w:uiPriority w:val="0"/>
    <w:rPr>
      <w:rFonts w:ascii="宋体" w:hAnsi="宋体" w:eastAsia="宋体" w:cs="宋体"/>
      <w:color w:val="404040"/>
      <w:sz w:val="12"/>
      <w:szCs w:val="12"/>
      <w:u w:val="none"/>
    </w:rPr>
  </w:style>
  <w:style w:type="character" w:customStyle="1" w:styleId="155">
    <w:name w:val="font61"/>
    <w:basedOn w:val="41"/>
    <w:qFormat/>
    <w:uiPriority w:val="0"/>
    <w:rPr>
      <w:rFonts w:ascii="宋体" w:hAnsi="宋体" w:eastAsia="宋体" w:cs="宋体"/>
      <w:color w:val="000000"/>
      <w:sz w:val="12"/>
      <w:szCs w:val="12"/>
      <w:u w:val="none"/>
    </w:rPr>
  </w:style>
  <w:style w:type="character" w:customStyle="1" w:styleId="156">
    <w:name w:val="font11"/>
    <w:basedOn w:val="41"/>
    <w:qFormat/>
    <w:uiPriority w:val="0"/>
    <w:rPr>
      <w:rFonts w:ascii="宋体" w:hAnsi="宋体" w:eastAsia="宋体" w:cs="宋体"/>
      <w:color w:val="404040"/>
      <w:sz w:val="12"/>
      <w:szCs w:val="12"/>
      <w:u w:val="none"/>
    </w:rPr>
  </w:style>
  <w:style w:type="character" w:customStyle="1" w:styleId="157">
    <w:name w:val="font71"/>
    <w:basedOn w:val="41"/>
    <w:qFormat/>
    <w:uiPriority w:val="0"/>
    <w:rPr>
      <w:rFonts w:ascii="宋体" w:hAnsi="宋体" w:eastAsia="宋体" w:cs="宋体"/>
      <w:color w:val="406060"/>
      <w:sz w:val="12"/>
      <w:szCs w:val="12"/>
      <w:u w:val="none"/>
    </w:rPr>
  </w:style>
  <w:style w:type="character" w:customStyle="1" w:styleId="158">
    <w:name w:val="font81"/>
    <w:basedOn w:val="41"/>
    <w:qFormat/>
    <w:uiPriority w:val="0"/>
    <w:rPr>
      <w:rFonts w:ascii="宋体" w:hAnsi="宋体" w:eastAsia="宋体" w:cs="宋体"/>
      <w:color w:val="506060"/>
      <w:sz w:val="12"/>
      <w:szCs w:val="12"/>
      <w:u w:val="none"/>
    </w:rPr>
  </w:style>
  <w:style w:type="character" w:customStyle="1" w:styleId="159">
    <w:name w:val="font91"/>
    <w:basedOn w:val="41"/>
    <w:qFormat/>
    <w:uiPriority w:val="0"/>
    <w:rPr>
      <w:rFonts w:ascii="宋体" w:hAnsi="宋体" w:eastAsia="宋体" w:cs="宋体"/>
      <w:color w:val="405060"/>
      <w:sz w:val="12"/>
      <w:szCs w:val="12"/>
      <w:u w:val="none"/>
    </w:rPr>
  </w:style>
  <w:style w:type="character" w:customStyle="1" w:styleId="160">
    <w:name w:val="font101"/>
    <w:basedOn w:val="41"/>
    <w:qFormat/>
    <w:uiPriority w:val="0"/>
    <w:rPr>
      <w:rFonts w:ascii="宋体" w:hAnsi="宋体" w:eastAsia="宋体" w:cs="宋体"/>
      <w:color w:val="000000"/>
      <w:sz w:val="12"/>
      <w:szCs w:val="12"/>
      <w:u w:val="none"/>
    </w:rPr>
  </w:style>
  <w:style w:type="paragraph" w:customStyle="1" w:styleId="161">
    <w:name w:val="B表内字"/>
    <w:qFormat/>
    <w:uiPriority w:val="0"/>
    <w:pPr>
      <w:jc w:val="center"/>
    </w:pPr>
    <w:rPr>
      <w:rFonts w:ascii="Times New Roman" w:hAnsi="Times New Roman" w:eastAsia="宋体" w:cs="宋体"/>
      <w:sz w:val="21"/>
      <w:szCs w:val="24"/>
      <w:lang w:val="en-US" w:eastAsia="zh-CN" w:bidi="ar-SA"/>
    </w:rPr>
  </w:style>
  <w:style w:type="paragraph" w:customStyle="1" w:styleId="162">
    <w:name w:val="表格内文字"/>
    <w:basedOn w:val="1"/>
    <w:qFormat/>
    <w:uiPriority w:val="0"/>
    <w:pPr>
      <w:overflowPunct w:val="0"/>
      <w:adjustRightInd w:val="0"/>
      <w:snapToGrid w:val="0"/>
      <w:spacing w:line="240" w:lineRule="auto"/>
      <w:ind w:firstLine="0" w:firstLineChars="0"/>
      <w:jc w:val="center"/>
    </w:pPr>
    <w:rPr>
      <w:rFonts w:hint="default" w:ascii="Times New Roman" w:hAnsi="Times New Roman" w:cs="宋体"/>
      <w:color w:val="auto"/>
      <w:sz w:val="21"/>
      <w:szCs w:val="21"/>
    </w:rPr>
  </w:style>
  <w:style w:type="paragraph" w:customStyle="1" w:styleId="163">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164">
    <w:name w:val="表外"/>
    <w:basedOn w:val="1"/>
    <w:autoRedefine/>
    <w:qFormat/>
    <w:uiPriority w:val="0"/>
    <w:pPr>
      <w:ind w:firstLine="0" w:firstLineChars="0"/>
    </w:pPr>
    <w:rPr>
      <w:rFonts w:ascii="Times New Roman"/>
      <w:b/>
      <w:sz w:val="32"/>
    </w:rPr>
  </w:style>
  <w:style w:type="paragraph" w:customStyle="1" w:styleId="165">
    <w:name w:val="样式 正文缩进正文缩进2正文缩进 Char Char正文缩进 Char Char Char Char正文缩进 Char ..."/>
    <w:basedOn w:val="10"/>
    <w:qFormat/>
    <w:uiPriority w:val="0"/>
    <w:pPr>
      <w:ind w:firstLine="200"/>
    </w:pPr>
    <w:rPr>
      <w:rFonts w:cs="宋体"/>
    </w:rPr>
  </w:style>
  <w:style w:type="paragraph" w:customStyle="1" w:styleId="166">
    <w:name w:val="Other|1"/>
    <w:basedOn w:val="1"/>
    <w:qFormat/>
    <w:uiPriority w:val="0"/>
    <w:pPr>
      <w:jc w:val="center"/>
    </w:pPr>
    <w:rPr>
      <w:rFonts w:ascii="宋体" w:hAnsi="宋体" w:cs="宋体"/>
      <w:sz w:val="22"/>
      <w:szCs w:val="2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6" Type="http://schemas.openxmlformats.org/officeDocument/2006/relationships/fontTable" Target="fontTable.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35.png"/><Relationship Id="rId52" Type="http://schemas.openxmlformats.org/officeDocument/2006/relationships/image" Target="media/image34.jpeg"/><Relationship Id="rId51" Type="http://schemas.openxmlformats.org/officeDocument/2006/relationships/image" Target="media/image33.jpeg"/><Relationship Id="rId50" Type="http://schemas.openxmlformats.org/officeDocument/2006/relationships/image" Target="media/image32.jpeg"/><Relationship Id="rId5" Type="http://schemas.openxmlformats.org/officeDocument/2006/relationships/footer" Target="footer3.xml"/><Relationship Id="rId49" Type="http://schemas.openxmlformats.org/officeDocument/2006/relationships/image" Target="media/image31.jpeg"/><Relationship Id="rId48" Type="http://schemas.openxmlformats.org/officeDocument/2006/relationships/image" Target="media/image30.wmf"/><Relationship Id="rId47" Type="http://schemas.openxmlformats.org/officeDocument/2006/relationships/oleObject" Target="embeddings/oleObject10.bin"/><Relationship Id="rId46" Type="http://schemas.openxmlformats.org/officeDocument/2006/relationships/image" Target="media/image29.wmf"/><Relationship Id="rId45" Type="http://schemas.openxmlformats.org/officeDocument/2006/relationships/oleObject" Target="embeddings/oleObject9.bin"/><Relationship Id="rId44" Type="http://schemas.openxmlformats.org/officeDocument/2006/relationships/image" Target="media/image28.wmf"/><Relationship Id="rId43" Type="http://schemas.openxmlformats.org/officeDocument/2006/relationships/oleObject" Target="embeddings/oleObject8.bin"/><Relationship Id="rId42" Type="http://schemas.openxmlformats.org/officeDocument/2006/relationships/image" Target="media/image27.wmf"/><Relationship Id="rId41" Type="http://schemas.openxmlformats.org/officeDocument/2006/relationships/oleObject" Target="embeddings/oleObject7.bin"/><Relationship Id="rId40" Type="http://schemas.openxmlformats.org/officeDocument/2006/relationships/image" Target="media/image26.png"/><Relationship Id="rId4" Type="http://schemas.openxmlformats.org/officeDocument/2006/relationships/footer" Target="footer2.xml"/><Relationship Id="rId39" Type="http://schemas.openxmlformats.org/officeDocument/2006/relationships/image" Target="media/image25.wmf"/><Relationship Id="rId38" Type="http://schemas.openxmlformats.org/officeDocument/2006/relationships/oleObject" Target="embeddings/oleObject6.bin"/><Relationship Id="rId37" Type="http://schemas.openxmlformats.org/officeDocument/2006/relationships/image" Target="media/image24.wmf"/><Relationship Id="rId36" Type="http://schemas.openxmlformats.org/officeDocument/2006/relationships/oleObject" Target="embeddings/oleObject5.bin"/><Relationship Id="rId35" Type="http://schemas.openxmlformats.org/officeDocument/2006/relationships/image" Target="media/image23.wmf"/><Relationship Id="rId34" Type="http://schemas.openxmlformats.org/officeDocument/2006/relationships/oleObject" Target="embeddings/oleObject4.bin"/><Relationship Id="rId33" Type="http://schemas.openxmlformats.org/officeDocument/2006/relationships/image" Target="media/image22.wmf"/><Relationship Id="rId32" Type="http://schemas.openxmlformats.org/officeDocument/2006/relationships/oleObject" Target="embeddings/oleObject3.bin"/><Relationship Id="rId31" Type="http://schemas.openxmlformats.org/officeDocument/2006/relationships/image" Target="media/image21.wmf"/><Relationship Id="rId30" Type="http://schemas.openxmlformats.org/officeDocument/2006/relationships/oleObject" Target="embeddings/oleObject2.bin"/><Relationship Id="rId3" Type="http://schemas.openxmlformats.org/officeDocument/2006/relationships/footer" Target="footer1.xml"/><Relationship Id="rId29" Type="http://schemas.openxmlformats.org/officeDocument/2006/relationships/image" Target="media/image20.wmf"/><Relationship Id="rId28" Type="http://schemas.openxmlformats.org/officeDocument/2006/relationships/oleObject" Target="embeddings/oleObject1.bin"/><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Q2MDY0MTM2OTcxIiwKCSJHcm91cElkIiA6ICIyODQ5NTcwODIiLAoJIkltYWdlIiA6ICJpVkJPUncwS0dnb0FBQUFOU1VoRVVnQUFBdllBQUFGcENBWUFBQUQzT1d3ckFBQUFBWE5TUjBJQXJzNGM2UUFBSUFCSlJFRlVlSnpzM1hsY1ZGWC9CL0RQblJsV0VSSFJRRkVSZDU5RVFYMVNTeTAxUytveGwvVFJjamUzY2w4U1YxekRjdDkzVXpRekswb3owekxYeEY5aG9pZ0M0Z0tDQ29xQ3JETXdNK2YzUjh3OEREUEFnQ2d3ZnQ2dlY2K2NjODg1OTl4aFlMNzMzTE1B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"/>
    </extobj>
    <extobj name="ECB019B1-382A-4266-B25C-5B523AA43C14-2">
      <extobjdata type="ECB019B1-382A-4266-B25C-5B523AA43C14" data="ewoJIkZpbGVJZCIgOiAiNDQ1OTY1NDk0NjczIiwKCSJHcm91cElkIiA6ICIyODQ5NTcwODIiLAoJIkltYWdlIiA6ICJpVkJPUncwS0dnb0FBQUFOU1VoRVVnQUFCRVlBQUFEcENBWUFBQUFwdlRJOUFBQUFBWE5TUjBJQXJzNGM2UUFBSUFCSlJFRlVlSnpzM1hkNFZGWCtQL0QzdVRPVFJnSUpYWm9CQW9TUU1qTkJKYUkvVUFSc0xDcUNTaEZGQkNtV0JWWkZRVVZRRjFBVWtFVlFpdFNWS3IyNVFXRmRlaWFaaEVCQ0N4MGtsRUI2WnU3NS9jSE1mRk5tVWlCaEFubS9ub2ZINU41enovM2NNWFBtenVlZUFoQ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Tnp2OEI1eXFJcGY4TGFyc0FBQUFBU1VWT1JLNUNZSUk9IiwKCSJUaGVtZSIgOiAiIiwKCSJUeXBlIiA6ICJmbG93IiwKCSJVc2VySWQiIDogIjMyMTg5MTEwOCIsCgkiVmVyc2lvbiIgOiAiMTAiCn0K"/>
    </extobj>
    <extobj name="ECB019B1-382A-4266-B25C-5B523AA43C14-3">
      <extobjdata type="ECB019B1-382A-4266-B25C-5B523AA43C14" data="ewoJIkZpbGVJZCIgOiAiNDQwMTAzNzgxMDQxIiwKCSJHcm91cElkIiA6ICIyODQ5NTcwODIiLAoJIkltYWdlIiA6ICJpVkJPUncwS0dnb0FBQUFOU1VoRVVnQUFBMXNBQUFLc0NBWUFBQUFhM0tjUUFBQUFBWE5TUjBJQXJzNGM2UUFBSUFCSlJFRlVlSnpzM1hsNFUxWDZCL0R2dVVtYnRDd3RaYkV3T05ZQ0F4Um9jMU5Fa0VFRUZ4UWROeFRHSFFVRXhCRVVCQVVVTjhSbFFCaGx4TjBCVkVCL0NDNkk3RzdzelUxTEtTQUlSUXVVZlducGx1U2UzeCs1Q1YxU21rTFQwdnI5UEE4UDdiM25udnNtRkxodnpqbnZBW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ZSRWY4ZlBrYUhhTTBhTHU0QUFBQUFTVVZPUks1Q1lJST0iLAoJIlRoZW1lIiA6ICIiLAoJIlR5cGUiIDogImZsb3ciLAoJIlVzZXJJZCIgOiAiMzIxODkxMTA4IiwKCSJWZXJzaW9uIiA6ICIiCn0K"/>
    </extobj>
    <extobj name="ECB019B1-382A-4266-B25C-5B523AA43C14-4">
      <extobjdata type="ECB019B1-382A-4266-B25C-5B523AA43C14" data="ewoJIkZpbGVJZCIgOiAiNDQ1OTUyNzY3OTY4IiwKCSJHcm91cElkIiA6ICIyODQ5NTcwODIiLAoJIkltYWdlIiA6ICJpVkJPUncwS0dnb0FBQUFOU1VoRVVnQUFBMlVBQUFJakNBWUFBQUNEQUxPV0FBQUFBWE5TUjBJQXJzNGM2UUFBSUFCSlJFRlVlSnpzM1hsNEU5WDZCL0R2bVNSdGFDbVVIUlNsU3RtM0pnVkVrRlV1b2lpYnVGMFZRV1NUNVFvb2lNdEZCVlQ4b2FLSVVJV0t5aUlnSU1zRlpTL0lUdE1OeXRKU2lxQkNnVkpLUzdka3p1K1BKakZwMHBLV3RtSDVmcDdIcDhtWk0yZmVHWkRtelp4NUQwQ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QU0krWC80cVQxc0VnMlVQd0FBQUFCSlJVNUVya0pnZ2c9PSIsCgkiVGhlbWUiIDogIiIsCgkiVHlwZSIgOiAiZmxvdyIsCgkiVXNlcklkIiA6ICIzMjE4OTExMDgiLAoJIlZlcnNpb24iIDogIjE1Igp9Cg=="/>
    </extobj>
    <extobj name="ECB019B1-382A-4266-B25C-5B523AA43C14-5">
      <extobjdata type="ECB019B1-382A-4266-B25C-5B523AA43C14" data="ewoJIkZpbGVJZCIgOiAiNDQ1OTU0OTUwNzQ3IiwKCSJHcm91cElkIiA6ICIyODQ5NTcwODIiLAoJIkltYWdlIiA6ICJpVkJPUncwS0dnb0FBQUFOU1VoRVVnQUFCUEVBQUFMNUNBWUFBQURSM3JIUEFBQUFBWE5TUjBJQXJzNGM2UUFBSUFCSlJFRlVlSnpzM1hsOFZOWDkvL0gzblprczdJVE5DRUVqZTRBa0UwQVdSYXRnMFcrbHNsbEVCYTFXVWJRRk40cG9yVlpBckNBZ1NCR2xLSUtDQmFHQXlsSlVLQldsQ0FrSk81RkZ3cjRra0VDMm1UbS9QNXJNTDVOMXdqWUp2SjZQQncrOTU1NXo3K2RTZTVMN3VXZVJ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S0FwK1AvUC9lUXFVOHIwemdBQUFBQkpSVTVFcmtKZ2dnPT0iLAoJIlRoZW1lIiA6ICIiLAoJIlR5cGUiIDogImZsb3ciLAoJIlVzZXJJZCIgOiAiMzIxODkxMTA4IiwKCSJWZXJzaW9uIiA6ICI0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79</Pages>
  <Words>930</Words>
  <Characters>1037</Characters>
  <Lines>192</Lines>
  <Paragraphs>54</Paragraphs>
  <TotalTime>2</TotalTime>
  <ScaleCrop>false</ScaleCrop>
  <LinksUpToDate>false</LinksUpToDate>
  <CharactersWithSpaces>1045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L</cp:lastModifiedBy>
  <cp:lastPrinted>2025-08-01T04:56:00Z</cp:lastPrinted>
  <dcterms:modified xsi:type="dcterms:W3CDTF">2026-07-14T09:23:51Z</dcterms:modified>
  <dc:title>附件2</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37004E4904E542D98BA39652B1E9B56A_13</vt:lpwstr>
  </property>
  <property fmtid="{D5CDD505-2E9C-101B-9397-08002B2CF9AE}" pid="4" name="KSOTemplateDocerSaveRecord">
    <vt:lpwstr>eyJoZGlkIjoiMWNmYmJiMWY3NmViYTdjNmViN2M1MzBiMmQ0NjI0NTYiLCJ1c2VySWQiOiIzMjE4OTExMDgifQ==</vt:lpwstr>
  </property>
</Properties>
</file>