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0C6A9">
      <w:pPr>
        <w:keepNext w:val="0"/>
        <w:keepLines w:val="0"/>
        <w:pageBreakBefore w:val="0"/>
        <w:widowControl w:val="0"/>
        <w:tabs>
          <w:tab w:val="left" w:pos="4982"/>
        </w:tabs>
        <w:kinsoku/>
        <w:wordWrap/>
        <w:overflowPunct/>
        <w:topLinePunct w:val="0"/>
        <w:autoSpaceDE/>
        <w:autoSpaceDN/>
        <w:bidi w:val="0"/>
        <w:adjustRightInd/>
        <w:snapToGrid/>
        <w:spacing w:line="800" w:lineRule="exact"/>
        <w:textAlignment w:val="auto"/>
        <w:rPr>
          <w:rFonts w:hint="default" w:ascii="仿宋_GB2312" w:eastAsia="仿宋_GB2312"/>
          <w:snapToGrid w:val="0"/>
          <w:kern w:val="0"/>
          <w:sz w:val="32"/>
          <w:szCs w:val="32"/>
          <w:lang w:val="en-US" w:eastAsia="zh-CN"/>
        </w:rPr>
      </w:pPr>
      <w:r>
        <w:rPr>
          <w:rFonts w:hint="eastAsia" w:ascii="仿宋_GB2312" w:eastAsia="仿宋_GB2312"/>
          <w:snapToGrid w:val="0"/>
          <w:kern w:val="0"/>
          <w:sz w:val="32"/>
          <w:szCs w:val="32"/>
          <w:lang w:val="en-US" w:eastAsia="zh-CN"/>
        </w:rPr>
        <w:tab/>
      </w:r>
    </w:p>
    <w:p w14:paraId="28A958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napToGrid w:val="0"/>
          <w:kern w:val="0"/>
          <w:sz w:val="32"/>
          <w:szCs w:val="32"/>
        </w:rPr>
      </w:pPr>
      <w:r>
        <w:rPr>
          <w:rFonts w:hint="eastAsia" w:ascii="仿宋_GB2312" w:eastAsia="仿宋_GB2312"/>
          <w:snapToGrid w:val="0"/>
          <w:kern w:val="0"/>
          <w:sz w:val="32"/>
          <w:szCs w:val="32"/>
        </w:rPr>
        <w:t xml:space="preserve">                              </w:t>
      </w:r>
      <w:r>
        <w:rPr>
          <w:rFonts w:hint="default" w:ascii="Times New Roman" w:hAnsi="Times New Roman" w:eastAsia="仿宋_GB2312" w:cs="Times New Roman"/>
          <w:snapToGrid w:val="0"/>
          <w:kern w:val="0"/>
          <w:sz w:val="32"/>
          <w:szCs w:val="32"/>
        </w:rPr>
        <w:t xml:space="preserve">  师市环审〔202</w:t>
      </w:r>
      <w:r>
        <w:rPr>
          <w:rFonts w:hint="eastAsia" w:eastAsia="仿宋_GB2312" w:cs="Times New Roman"/>
          <w:snapToGrid w:val="0"/>
          <w:kern w:val="0"/>
          <w:sz w:val="32"/>
          <w:szCs w:val="32"/>
          <w:lang w:val="en-US" w:eastAsia="zh-CN"/>
        </w:rPr>
        <w:t>6</w:t>
      </w:r>
      <w:r>
        <w:rPr>
          <w:rFonts w:hint="default" w:ascii="Times New Roman" w:hAnsi="Times New Roman" w:eastAsia="仿宋_GB2312" w:cs="Times New Roman"/>
          <w:snapToGrid w:val="0"/>
          <w:kern w:val="0"/>
          <w:sz w:val="32"/>
          <w:szCs w:val="32"/>
        </w:rPr>
        <w:t>〕</w:t>
      </w:r>
      <w:r>
        <w:rPr>
          <w:rFonts w:hint="eastAsia" w:eastAsia="仿宋_GB2312" w:cs="Times New Roman"/>
          <w:snapToGrid w:val="0"/>
          <w:kern w:val="0"/>
          <w:sz w:val="32"/>
          <w:szCs w:val="32"/>
          <w:lang w:val="en-US" w:eastAsia="zh-CN"/>
        </w:rPr>
        <w:t>27</w:t>
      </w:r>
      <w:r>
        <w:rPr>
          <w:rFonts w:hint="default" w:ascii="Times New Roman" w:hAnsi="Times New Roman" w:eastAsia="仿宋_GB2312" w:cs="Times New Roman"/>
          <w:snapToGrid w:val="0"/>
          <w:kern w:val="0"/>
          <w:sz w:val="32"/>
          <w:szCs w:val="32"/>
        </w:rPr>
        <w:t>号</w:t>
      </w:r>
    </w:p>
    <w:p w14:paraId="798FD61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宋体" w:eastAsia="方正小标宋简体"/>
          <w:bCs/>
          <w:snapToGrid w:val="0"/>
          <w:kern w:val="0"/>
          <w:sz w:val="44"/>
          <w:szCs w:val="44"/>
        </w:rPr>
      </w:pPr>
    </w:p>
    <w:p w14:paraId="041D63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b w:val="0"/>
          <w:bCs/>
          <w:sz w:val="42"/>
          <w:szCs w:val="42"/>
          <w:lang w:val="zh-CN" w:bidi="ar"/>
        </w:rPr>
      </w:pPr>
      <w:r>
        <w:rPr>
          <w:rFonts w:hint="eastAsia" w:ascii="方正小标宋简体" w:hAnsi="宋体" w:eastAsia="方正小标宋简体"/>
          <w:bCs/>
          <w:snapToGrid w:val="0"/>
          <w:kern w:val="0"/>
          <w:sz w:val="44"/>
          <w:szCs w:val="44"/>
        </w:rPr>
        <w:t>关于</w:t>
      </w:r>
      <w:r>
        <w:rPr>
          <w:rFonts w:hint="eastAsia" w:ascii="Times New Roman" w:hAnsi="Times New Roman" w:eastAsia="方正小标宋简体"/>
          <w:b w:val="0"/>
          <w:bCs/>
          <w:sz w:val="42"/>
          <w:szCs w:val="42"/>
          <w:lang w:val="zh-CN" w:bidi="ar"/>
        </w:rPr>
        <w:t>新疆生产建设兵团奎屯中医院改建移动式</w:t>
      </w:r>
    </w:p>
    <w:p w14:paraId="5A68F1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b w:val="0"/>
          <w:bCs/>
          <w:sz w:val="42"/>
          <w:szCs w:val="42"/>
          <w:lang w:val="zh-CN" w:bidi="ar"/>
        </w:rPr>
      </w:pPr>
      <w:r>
        <w:rPr>
          <w:rFonts w:hint="eastAsia" w:ascii="Times New Roman" w:hAnsi="Times New Roman" w:eastAsia="方正小标宋简体"/>
          <w:b w:val="0"/>
          <w:bCs/>
          <w:sz w:val="42"/>
          <w:szCs w:val="42"/>
          <w:lang w:val="zh-CN" w:bidi="ar"/>
        </w:rPr>
        <w:t>C形臂X射线装置工作场所建设项目</w:t>
      </w:r>
    </w:p>
    <w:p w14:paraId="69BC86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宋体" w:eastAsia="方正小标宋简体"/>
          <w:bCs/>
          <w:snapToGrid w:val="0"/>
          <w:kern w:val="0"/>
          <w:sz w:val="44"/>
          <w:szCs w:val="44"/>
        </w:rPr>
      </w:pPr>
      <w:r>
        <w:rPr>
          <w:rFonts w:hint="eastAsia" w:ascii="方正小标宋简体" w:hAnsi="宋体" w:eastAsia="方正小标宋简体"/>
          <w:bCs/>
          <w:snapToGrid w:val="0"/>
          <w:kern w:val="0"/>
          <w:sz w:val="44"/>
          <w:szCs w:val="44"/>
          <w:lang w:val="zh-CN"/>
        </w:rPr>
        <w:t>环境影响报告</w:t>
      </w:r>
      <w:r>
        <w:rPr>
          <w:rFonts w:hint="eastAsia" w:ascii="方正小标宋简体" w:hAnsi="宋体" w:eastAsia="方正小标宋简体"/>
          <w:bCs/>
          <w:snapToGrid w:val="0"/>
          <w:kern w:val="0"/>
          <w:sz w:val="44"/>
          <w:szCs w:val="44"/>
        </w:rPr>
        <w:t>表</w:t>
      </w:r>
      <w:r>
        <w:rPr>
          <w:rFonts w:hint="eastAsia" w:ascii="方正小标宋简体" w:hAnsi="宋体" w:eastAsia="方正小标宋简体"/>
          <w:bCs/>
          <w:snapToGrid w:val="0"/>
          <w:kern w:val="0"/>
          <w:sz w:val="44"/>
          <w:szCs w:val="44"/>
          <w:lang w:val="en-US" w:eastAsia="zh-CN"/>
        </w:rPr>
        <w:t>的</w:t>
      </w:r>
      <w:r>
        <w:rPr>
          <w:rFonts w:hint="eastAsia" w:ascii="方正小标宋简体" w:hAnsi="宋体" w:eastAsia="方正小标宋简体"/>
          <w:bCs/>
          <w:snapToGrid w:val="0"/>
          <w:kern w:val="0"/>
          <w:sz w:val="44"/>
          <w:szCs w:val="44"/>
        </w:rPr>
        <w:t>批复</w:t>
      </w:r>
    </w:p>
    <w:p w14:paraId="2682C46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Cs/>
          <w:snapToGrid w:val="0"/>
          <w:kern w:val="0"/>
          <w:sz w:val="32"/>
          <w:szCs w:val="32"/>
        </w:rPr>
      </w:pPr>
    </w:p>
    <w:p w14:paraId="78FA592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rPr>
        <w:t>新疆生产建设兵团奎屯中医院</w:t>
      </w:r>
      <w:r>
        <w:rPr>
          <w:rFonts w:hint="default" w:ascii="Times New Roman" w:hAnsi="Times New Roman" w:eastAsia="仿宋_GB2312" w:cs="Times New Roman"/>
          <w:sz w:val="32"/>
          <w:szCs w:val="32"/>
        </w:rPr>
        <w:t>：</w:t>
      </w:r>
    </w:p>
    <w:p w14:paraId="662674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你</w:t>
      </w:r>
      <w:r>
        <w:rPr>
          <w:rFonts w:hint="eastAsia" w:eastAsia="仿宋_GB2312" w:cs="Times New Roman"/>
          <w:sz w:val="32"/>
          <w:szCs w:val="32"/>
          <w:lang w:val="en-US" w:eastAsia="zh-CN"/>
        </w:rPr>
        <w:t>单位</w:t>
      </w:r>
      <w:r>
        <w:rPr>
          <w:rFonts w:hint="default" w:ascii="Times New Roman" w:hAnsi="Times New Roman" w:eastAsia="仿宋_GB2312" w:cs="Times New Roman"/>
          <w:sz w:val="32"/>
          <w:szCs w:val="32"/>
        </w:rPr>
        <w:t>《关于审批&lt;</w:t>
      </w:r>
      <w:r>
        <w:rPr>
          <w:rFonts w:hint="default" w:ascii="Times New Roman" w:hAnsi="Times New Roman" w:eastAsia="仿宋_GB2312" w:cs="Times New Roman"/>
          <w:sz w:val="32"/>
          <w:szCs w:val="32"/>
          <w:lang w:val="zh-CN"/>
        </w:rPr>
        <w:t>新疆生产建设兵团奎屯中医院改建移动式C形臂X射线装置工作场所建设项目</w:t>
      </w:r>
      <w:r>
        <w:rPr>
          <w:rFonts w:hint="default" w:ascii="Times New Roman" w:hAnsi="Times New Roman" w:eastAsia="仿宋_GB2312" w:cs="Times New Roman"/>
          <w:sz w:val="32"/>
          <w:szCs w:val="32"/>
        </w:rPr>
        <w:t>&gt;的请示》收悉。经研究，批复如下：</w:t>
      </w:r>
    </w:p>
    <w:p w14:paraId="21A813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一、该项目</w:t>
      </w:r>
      <w:r>
        <w:rPr>
          <w:rFonts w:hint="default" w:ascii="Times New Roman" w:hAnsi="Times New Roman" w:eastAsia="仿宋_GB2312" w:cs="Times New Roman"/>
          <w:sz w:val="32"/>
          <w:szCs w:val="32"/>
          <w:lang w:val="en-US" w:eastAsia="zh-CN"/>
        </w:rPr>
        <w:t>位于新疆奎屯市伊犁路1号，项目区中心地理位置坐标为</w:t>
      </w:r>
      <w:bookmarkStart w:id="0" w:name="_Hlk180516248"/>
      <w:r>
        <w:rPr>
          <w:rFonts w:hint="default" w:ascii="Times New Roman" w:hAnsi="Times New Roman" w:eastAsia="仿宋_GB2312" w:cs="Times New Roman"/>
          <w:sz w:val="32"/>
          <w:szCs w:val="32"/>
          <w:lang w:val="en-US" w:eastAsia="zh-CN"/>
        </w:rPr>
        <w:t>东经84°55'43.437"，北纬44°26'05.635"。</w:t>
      </w:r>
      <w:bookmarkEnd w:id="0"/>
      <w:r>
        <w:rPr>
          <w:rFonts w:hint="default" w:ascii="Times New Roman" w:hAnsi="Times New Roman" w:eastAsia="仿宋_GB2312" w:cs="Times New Roman"/>
          <w:sz w:val="32"/>
          <w:szCs w:val="32"/>
          <w:lang w:val="en-US" w:eastAsia="zh-CN"/>
        </w:rPr>
        <w:t>项目为改建项目，拟对总院区住院楼11层的5号手术室进行辐射防护屏蔽升级改造成为一间Ⅱ类射线装置机房，并购置一台Ⅱ类射线装置移动式C形臂X射线装置用于更新原手术室C形臂X射线装置。项目总投资178万元，其中环保投资23.5万元，占总投资的13.2%。</w:t>
      </w:r>
    </w:p>
    <w:p w14:paraId="61BE4A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bCs/>
          <w:sz w:val="32"/>
          <w:szCs w:val="32"/>
        </w:rPr>
        <w:t>项目实施后会对环境造成一定不利影响，必须严格落实各项污染防治和生态环境保护措施，采取严格的环境风险防范措施、环境管理制度、环境监控和应急措施。综合考虑，我局原则同意该项目环境影响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中所列建设项目的性质、规模、地点、工艺和环境保护对策措施。</w:t>
      </w:r>
    </w:p>
    <w:p w14:paraId="7DCF6D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三、</w:t>
      </w:r>
      <w:r>
        <w:rPr>
          <w:rFonts w:hint="default" w:ascii="Times New Roman" w:hAnsi="Times New Roman" w:eastAsia="仿宋_GB2312" w:cs="Times New Roman"/>
          <w:bCs/>
          <w:sz w:val="32"/>
          <w:szCs w:val="32"/>
        </w:rPr>
        <w:t>项目建设和运营中应重点做好的工作：</w:t>
      </w:r>
    </w:p>
    <w:p w14:paraId="62854A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（一）</w:t>
      </w:r>
      <w:r>
        <w:rPr>
          <w:rFonts w:hint="default" w:ascii="Times New Roman" w:hAnsi="Times New Roman" w:eastAsia="仿宋_GB2312" w:cs="Times New Roman"/>
          <w:sz w:val="32"/>
          <w:szCs w:val="32"/>
          <w:lang w:eastAsia="zh-CN"/>
        </w:rPr>
        <w:t>严格落实电磁环境保护措施。</w:t>
      </w:r>
      <w:r>
        <w:rPr>
          <w:rFonts w:hint="default" w:ascii="Times New Roman" w:hAnsi="Times New Roman" w:eastAsia="仿宋_GB2312" w:cs="Times New Roman"/>
          <w:sz w:val="32"/>
          <w:szCs w:val="32"/>
          <w:lang w:val="en-US" w:eastAsia="zh-CN"/>
        </w:rPr>
        <w:t>加强对射线装置及使用场所的安全与防护管理。射线装置及使用场所应当具有防止误操作、防止工作人员和公众受到意外照射的安全措施，设置明确的放射性标志，入口处应当按照国家有关安全和防护标准的要求，设置安全和防护设施以及必要的防护安全联锁、工作指示灯。</w:t>
      </w:r>
    </w:p>
    <w:p w14:paraId="1206B1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rPr>
        <w:t>（</w:t>
      </w:r>
      <w:r>
        <w:rPr>
          <w:rFonts w:hint="eastAsia" w:eastAsia="仿宋_GB2312" w:cs="Times New Roman"/>
          <w:b w:val="0"/>
          <w:bCs/>
          <w:sz w:val="32"/>
          <w:szCs w:val="32"/>
          <w:lang w:val="en-US" w:eastAsia="zh-CN"/>
        </w:rPr>
        <w:t>二</w:t>
      </w:r>
      <w:r>
        <w:rPr>
          <w:rFonts w:hint="default" w:ascii="Times New Roman" w:hAnsi="Times New Roman" w:eastAsia="仿宋_GB2312" w:cs="Times New Roman"/>
          <w:b w:val="0"/>
          <w:bCs/>
          <w:sz w:val="32"/>
          <w:szCs w:val="32"/>
        </w:rPr>
        <w:t>）严格落实大气污染防治措施。</w:t>
      </w:r>
      <w:r>
        <w:rPr>
          <w:rFonts w:hint="default" w:ascii="Times New Roman" w:hAnsi="Times New Roman" w:eastAsia="仿宋_GB2312" w:cs="Times New Roman"/>
          <w:b w:val="0"/>
          <w:bCs/>
          <w:sz w:val="32"/>
          <w:szCs w:val="32"/>
          <w:lang w:val="en-US" w:eastAsia="zh-CN"/>
        </w:rPr>
        <w:t>项目废气经自然分解和稀释，电离产生的有害气体能有效排出机房，</w:t>
      </w:r>
      <w:r>
        <w:rPr>
          <w:rFonts w:hint="eastAsia" w:eastAsia="仿宋_GB2312" w:cs="Times New Roman"/>
          <w:b w:val="0"/>
          <w:bCs/>
          <w:sz w:val="32"/>
          <w:szCs w:val="32"/>
          <w:lang w:val="en-US" w:eastAsia="zh-CN"/>
        </w:rPr>
        <w:t>执行</w:t>
      </w:r>
      <w:r>
        <w:rPr>
          <w:rFonts w:hint="default" w:ascii="Times New Roman" w:hAnsi="Times New Roman" w:eastAsia="仿宋_GB2312" w:cs="Times New Roman"/>
          <w:b w:val="0"/>
          <w:bCs/>
          <w:sz w:val="32"/>
          <w:szCs w:val="32"/>
          <w:lang w:val="en-US" w:eastAsia="zh-CN"/>
        </w:rPr>
        <w:t>《环境空气质量标准》（GB3095-2026）的二级标准的要求。</w:t>
      </w:r>
    </w:p>
    <w:p w14:paraId="3A9950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三</w:t>
      </w:r>
      <w:r>
        <w:rPr>
          <w:rFonts w:hint="default" w:ascii="Times New Roman" w:hAnsi="Times New Roman" w:eastAsia="仿宋_GB2312" w:cs="Times New Roman"/>
          <w:sz w:val="32"/>
          <w:szCs w:val="32"/>
        </w:rPr>
        <w:t>）严格落实水污染防治措施。</w:t>
      </w:r>
      <w:r>
        <w:rPr>
          <w:rFonts w:hint="default" w:ascii="Times New Roman" w:hAnsi="Times New Roman" w:eastAsia="仿宋_GB2312" w:cs="Times New Roman"/>
          <w:sz w:val="32"/>
          <w:szCs w:val="32"/>
          <w:lang w:val="en-US" w:eastAsia="zh-CN"/>
        </w:rPr>
        <w:t>清洗器械产生的医疗废水依托现有污水处理站处理达到《医疗机构水污染物排放标准》（GB18466-2005）表2中预处理标准后，通过市政污水管网进入市政污水处理厂处理。医护人员产生的生活污水依托现有的污水处理设施处置</w:t>
      </w:r>
      <w:r>
        <w:rPr>
          <w:rFonts w:hint="eastAsia" w:ascii="Times New Roman" w:hAnsi="Times New Roman" w:eastAsia="仿宋_GB2312" w:cs="Times New Roman"/>
          <w:sz w:val="32"/>
          <w:szCs w:val="32"/>
          <w:lang w:val="en-US" w:eastAsia="zh-CN"/>
        </w:rPr>
        <w:t>后通过市政管网排出</w:t>
      </w:r>
      <w:r>
        <w:rPr>
          <w:rFonts w:hint="eastAsia" w:eastAsia="仿宋_GB2312" w:cs="Times New Roman"/>
          <w:sz w:val="32"/>
          <w:szCs w:val="32"/>
          <w:lang w:val="en-US" w:eastAsia="zh-CN"/>
        </w:rPr>
        <w:t>。</w:t>
      </w:r>
    </w:p>
    <w:p w14:paraId="4636A1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（四）严格落实固体废物分类处置和综合利用措施。医疗废物分类收集</w:t>
      </w:r>
      <w:r>
        <w:rPr>
          <w:rFonts w:hint="eastAsia" w:eastAsia="仿宋_GB2312" w:cs="Times New Roman"/>
          <w:sz w:val="32"/>
          <w:szCs w:val="32"/>
          <w:lang w:val="en-US" w:eastAsia="zh-CN"/>
        </w:rPr>
        <w:t>后</w:t>
      </w:r>
      <w:r>
        <w:rPr>
          <w:rFonts w:hint="default" w:ascii="Times New Roman" w:hAnsi="Times New Roman" w:eastAsia="仿宋_GB2312" w:cs="Times New Roman"/>
          <w:sz w:val="32"/>
          <w:szCs w:val="32"/>
        </w:rPr>
        <w:t>暂存于医疗废物暂存间，委托有资质单位定期处置。生活垃圾收集后</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交由当地环卫部门清运</w:t>
      </w:r>
      <w:r>
        <w:rPr>
          <w:rFonts w:hint="eastAsia" w:eastAsia="仿宋_GB2312" w:cs="Times New Roman"/>
          <w:sz w:val="32"/>
          <w:szCs w:val="32"/>
          <w:lang w:val="en-US" w:eastAsia="zh-CN"/>
        </w:rPr>
        <w:t>处置</w:t>
      </w:r>
      <w:r>
        <w:rPr>
          <w:rFonts w:hint="default" w:ascii="Times New Roman" w:hAnsi="Times New Roman" w:eastAsia="仿宋_GB2312" w:cs="Times New Roman"/>
          <w:sz w:val="32"/>
          <w:szCs w:val="32"/>
        </w:rPr>
        <w:t>。</w:t>
      </w:r>
    </w:p>
    <w:p w14:paraId="123112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五</w:t>
      </w:r>
      <w:r>
        <w:rPr>
          <w:rFonts w:hint="default" w:ascii="Times New Roman" w:hAnsi="Times New Roman" w:eastAsia="仿宋_GB2312" w:cs="Times New Roman"/>
          <w:bCs/>
          <w:sz w:val="32"/>
          <w:szCs w:val="32"/>
        </w:rPr>
        <w:t>）强化各项环境风险防范措施，有效防范环境风险。定期开展环境风险应急培训和演练，落实各项应急环境管理措施以及各项风险防范措施，确保风险事故得到有效控制。</w:t>
      </w:r>
    </w:p>
    <w:p w14:paraId="64C635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w:t>
      </w:r>
      <w:r>
        <w:rPr>
          <w:rFonts w:hint="eastAsia" w:eastAsia="仿宋_GB2312" w:cs="Times New Roman"/>
          <w:bCs/>
          <w:sz w:val="32"/>
          <w:szCs w:val="32"/>
          <w:lang w:val="en-US" w:eastAsia="zh-CN"/>
        </w:rPr>
        <w:t>六</w:t>
      </w:r>
      <w:r>
        <w:rPr>
          <w:rFonts w:hint="default" w:ascii="Times New Roman" w:hAnsi="Times New Roman" w:eastAsia="仿宋_GB2312" w:cs="Times New Roman"/>
          <w:bCs/>
          <w:sz w:val="32"/>
          <w:szCs w:val="32"/>
          <w:lang w:eastAsia="zh-CN"/>
        </w:rPr>
        <w:t>）加强施工期环境保护，落实防沙治沙措施，防止施工废水、扬尘、噪声污染。</w:t>
      </w:r>
    </w:p>
    <w:p w14:paraId="07F42C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eastAsia="zh-CN"/>
        </w:rPr>
        <w:t>（</w:t>
      </w:r>
      <w:r>
        <w:rPr>
          <w:rFonts w:hint="eastAsia" w:eastAsia="仿宋_GB2312" w:cs="Times New Roman"/>
          <w:bCs/>
          <w:sz w:val="32"/>
          <w:szCs w:val="32"/>
          <w:lang w:val="en-US" w:eastAsia="zh-CN"/>
        </w:rPr>
        <w:t>七</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在工程运营过程中，应建立畅通的公众参与平台，加强宣传与沟通工作，及时解决公众提出的合理环境诉求。定期发布企业环境信息，并主动接受社会监督。</w:t>
      </w:r>
    </w:p>
    <w:p w14:paraId="1FCD42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四、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72B821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五、环境影响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经批准后，该项目的性质、规模、地点、生产工艺和环境保护措施发生重大变动，且可能导致环境影响显著变化</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特别是不利环境影响加重</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的，应当重新报批该项目环境影响评价报告。</w:t>
      </w:r>
    </w:p>
    <w:p w14:paraId="6AE7B4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FF0000"/>
          <w:sz w:val="32"/>
          <w:szCs w:val="32"/>
          <w:highlight w:val="none"/>
        </w:rPr>
      </w:pPr>
      <w:r>
        <w:rPr>
          <w:rFonts w:hint="default" w:ascii="Times New Roman" w:hAnsi="Times New Roman" w:eastAsia="仿宋_GB2312" w:cs="Times New Roman"/>
          <w:bCs/>
          <w:sz w:val="32"/>
          <w:szCs w:val="32"/>
        </w:rPr>
        <w:t>六、在启动</w:t>
      </w:r>
      <w:r>
        <w:rPr>
          <w:rFonts w:hint="eastAsia" w:eastAsia="仿宋_GB2312" w:cs="Times New Roman"/>
          <w:bCs/>
          <w:sz w:val="32"/>
          <w:szCs w:val="32"/>
          <w:lang w:val="en-US" w:eastAsia="zh-CN"/>
        </w:rPr>
        <w:t>辐射</w:t>
      </w:r>
      <w:r>
        <w:rPr>
          <w:rFonts w:hint="default" w:ascii="Times New Roman" w:hAnsi="Times New Roman" w:eastAsia="仿宋_GB2312" w:cs="Times New Roman"/>
          <w:bCs/>
          <w:sz w:val="32"/>
          <w:szCs w:val="32"/>
        </w:rPr>
        <w:t>设施或者在实际</w:t>
      </w:r>
      <w:r>
        <w:rPr>
          <w:rFonts w:hint="eastAsia" w:eastAsia="仿宋_GB2312" w:cs="Times New Roman"/>
          <w:bCs/>
          <w:sz w:val="32"/>
          <w:szCs w:val="32"/>
          <w:lang w:val="en-US" w:eastAsia="zh-CN"/>
        </w:rPr>
        <w:t>运行设备</w:t>
      </w:r>
      <w:bookmarkStart w:id="1" w:name="_GoBack"/>
      <w:bookmarkEnd w:id="1"/>
      <w:r>
        <w:rPr>
          <w:rFonts w:hint="default" w:ascii="Times New Roman" w:hAnsi="Times New Roman" w:eastAsia="仿宋_GB2312" w:cs="Times New Roman"/>
          <w:bCs/>
          <w:sz w:val="32"/>
          <w:szCs w:val="32"/>
        </w:rPr>
        <w:t>之前，按照经批准的环境影响评价文件认真梳理并确认各项环境保护措施落实</w:t>
      </w:r>
      <w:r>
        <w:rPr>
          <w:rFonts w:hint="default" w:ascii="Times New Roman" w:hAnsi="Times New Roman" w:eastAsia="仿宋_GB2312" w:cs="Times New Roman"/>
          <w:bCs/>
          <w:color w:val="auto"/>
          <w:sz w:val="32"/>
          <w:szCs w:val="32"/>
        </w:rPr>
        <w:t>后，</w:t>
      </w:r>
      <w:r>
        <w:rPr>
          <w:rFonts w:hint="default" w:ascii="Times New Roman" w:hAnsi="Times New Roman" w:eastAsia="仿宋_GB2312" w:cs="Times New Roman"/>
          <w:bCs/>
          <w:color w:val="auto"/>
          <w:sz w:val="32"/>
          <w:szCs w:val="32"/>
          <w:highlight w:val="none"/>
        </w:rPr>
        <w:t>依法</w:t>
      </w:r>
      <w:r>
        <w:rPr>
          <w:rFonts w:hint="eastAsia" w:eastAsia="仿宋_GB2312" w:cs="Times New Roman"/>
          <w:bCs/>
          <w:color w:val="auto"/>
          <w:sz w:val="32"/>
          <w:szCs w:val="32"/>
          <w:highlight w:val="none"/>
          <w:lang w:val="en-US" w:eastAsia="zh-CN"/>
        </w:rPr>
        <w:t>重新申领辐射安全许可证</w:t>
      </w:r>
      <w:r>
        <w:rPr>
          <w:rFonts w:hint="default" w:ascii="Times New Roman" w:hAnsi="Times New Roman" w:eastAsia="仿宋_GB2312" w:cs="Times New Roman"/>
          <w:bCs/>
          <w:color w:val="auto"/>
          <w:sz w:val="32"/>
          <w:szCs w:val="32"/>
          <w:highlight w:val="none"/>
        </w:rPr>
        <w:t>。</w:t>
      </w:r>
    </w:p>
    <w:p w14:paraId="2AAE67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七、</w:t>
      </w:r>
      <w:r>
        <w:rPr>
          <w:rFonts w:hint="default" w:ascii="Times New Roman" w:hAnsi="Times New Roman" w:eastAsia="仿宋_GB2312" w:cs="Times New Roman"/>
          <w:bCs/>
          <w:sz w:val="32"/>
          <w:szCs w:val="32"/>
          <w:lang w:val="en-US" w:eastAsia="zh-CN"/>
        </w:rPr>
        <w:t>天北</w:t>
      </w:r>
      <w:r>
        <w:rPr>
          <w:rFonts w:hint="default" w:ascii="Times New Roman" w:hAnsi="Times New Roman" w:eastAsia="仿宋_GB2312" w:cs="Times New Roman"/>
          <w:bCs/>
          <w:sz w:val="32"/>
          <w:szCs w:val="32"/>
        </w:rPr>
        <w:t>经济技术开发区应急管理和环境保护局要切实承担事中事后监管主要责任，履行属地监管职责，按照《关于进一步完善建设项目环境保护“三同时”及竣工环境保护自主验收监管工作机制的意见》（环执法〔2021〕70号）要求，加强对该项目环境保护“三同时”及自主验收监管。</w:t>
      </w:r>
    </w:p>
    <w:p w14:paraId="08C635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八、我局委托师市生态环境保护综合行政执法支队负责该项目的事中事后监管，生态环境监测站按职责开展相关监管工作，我局负责对“三同时”及自主验收监管工作的监督指导。你单位应在接到本批复后20个工作日内，将批准后的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送师市生态环境保护综合行政执法支队、生态环境监测站、</w:t>
      </w:r>
      <w:r>
        <w:rPr>
          <w:rFonts w:hint="eastAsia" w:eastAsia="仿宋_GB2312" w:cs="Times New Roman"/>
          <w:bCs/>
          <w:sz w:val="32"/>
          <w:szCs w:val="32"/>
          <w:lang w:val="en-US" w:eastAsia="zh-CN"/>
        </w:rPr>
        <w:t>天北</w:t>
      </w:r>
      <w:r>
        <w:rPr>
          <w:rFonts w:hint="default" w:ascii="Times New Roman" w:hAnsi="Times New Roman" w:eastAsia="仿宋_GB2312" w:cs="Times New Roman"/>
          <w:bCs/>
          <w:sz w:val="32"/>
          <w:szCs w:val="32"/>
        </w:rPr>
        <w:t>经济技术开发区应急管理和环境保护局，并按规定接受各级生态环境主管部门的监督检查。</w:t>
      </w:r>
    </w:p>
    <w:p w14:paraId="28DC5263">
      <w:pPr>
        <w:keepNext w:val="0"/>
        <w:keepLines w:val="0"/>
        <w:pageBreakBefore w:val="0"/>
        <w:widowControl w:val="0"/>
        <w:kinsoku/>
        <w:wordWrap/>
        <w:overflowPunct/>
        <w:topLinePunct w:val="0"/>
        <w:autoSpaceDE/>
        <w:autoSpaceDN/>
        <w:bidi w:val="0"/>
        <w:adjustRightInd/>
        <w:snapToGrid/>
        <w:spacing w:line="740" w:lineRule="exact"/>
        <w:textAlignment w:val="auto"/>
        <w:rPr>
          <w:rFonts w:hint="default" w:ascii="Times New Roman" w:hAnsi="Times New Roman" w:eastAsia="仿宋_GB2312" w:cs="Times New Roman"/>
          <w:bCs/>
          <w:sz w:val="32"/>
          <w:szCs w:val="32"/>
        </w:rPr>
      </w:pPr>
    </w:p>
    <w:p w14:paraId="081ACF6B">
      <w:pPr>
        <w:pStyle w:val="3"/>
        <w:keepNext w:val="0"/>
        <w:keepLines w:val="0"/>
        <w:pageBreakBefore w:val="0"/>
        <w:widowControl w:val="0"/>
        <w:kinsoku/>
        <w:wordWrap/>
        <w:overflowPunct/>
        <w:topLinePunct w:val="0"/>
        <w:autoSpaceDE/>
        <w:autoSpaceDN/>
        <w:bidi w:val="0"/>
        <w:adjustRightInd/>
        <w:snapToGrid/>
        <w:spacing w:line="740" w:lineRule="exact"/>
        <w:textAlignment w:val="auto"/>
        <w:rPr>
          <w:rFonts w:hint="default"/>
        </w:rPr>
      </w:pPr>
    </w:p>
    <w:p w14:paraId="1931BD59">
      <w:pPr>
        <w:spacing w:line="440" w:lineRule="exact"/>
        <w:ind w:firstLine="4800" w:firstLineChars="15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第七师胡杨河市生态环境局</w:t>
      </w:r>
    </w:p>
    <w:p w14:paraId="109E50DD">
      <w:pPr>
        <w:spacing w:line="440" w:lineRule="exact"/>
        <w:ind w:firstLine="5440" w:firstLineChars="1700"/>
        <w:rPr>
          <w:rFonts w:hint="eastAsia"/>
        </w:rPr>
      </w:pPr>
      <w:r>
        <w:rPr>
          <w:rFonts w:hint="default" w:ascii="Times New Roman" w:hAnsi="Times New Roman" w:eastAsia="仿宋_GB2312" w:cs="Times New Roman"/>
          <w:bCs/>
          <w:sz w:val="32"/>
          <w:szCs w:val="32"/>
        </w:rPr>
        <w:t>202</w:t>
      </w:r>
      <w:r>
        <w:rPr>
          <w:rFonts w:hint="eastAsia" w:eastAsia="仿宋_GB2312" w:cs="Times New Roman"/>
          <w:bCs/>
          <w:sz w:val="32"/>
          <w:szCs w:val="32"/>
          <w:lang w:val="en-US" w:eastAsia="zh-CN"/>
        </w:rPr>
        <w:t>6</w:t>
      </w:r>
      <w:r>
        <w:rPr>
          <w:rFonts w:hint="default" w:ascii="Times New Roman" w:hAnsi="Times New Roman" w:eastAsia="仿宋_GB2312" w:cs="Times New Roman"/>
          <w:bCs/>
          <w:sz w:val="32"/>
          <w:szCs w:val="32"/>
        </w:rPr>
        <w:t>年</w:t>
      </w:r>
      <w:r>
        <w:rPr>
          <w:rFonts w:hint="eastAsia" w:eastAsia="仿宋_GB2312" w:cs="Times New Roman"/>
          <w:bCs/>
          <w:sz w:val="32"/>
          <w:szCs w:val="32"/>
          <w:lang w:val="en-US" w:eastAsia="zh-CN"/>
        </w:rPr>
        <w:t>6</w:t>
      </w:r>
      <w:r>
        <w:rPr>
          <w:rFonts w:hint="default" w:ascii="Times New Roman" w:hAnsi="Times New Roman" w:eastAsia="仿宋_GB2312" w:cs="Times New Roman"/>
          <w:bCs/>
          <w:sz w:val="32"/>
          <w:szCs w:val="32"/>
        </w:rPr>
        <w:t>月</w:t>
      </w:r>
      <w:r>
        <w:rPr>
          <w:rFonts w:hint="eastAsia" w:eastAsia="仿宋_GB2312" w:cs="Times New Roman"/>
          <w:bCs/>
          <w:sz w:val="32"/>
          <w:szCs w:val="32"/>
          <w:lang w:val="en-US" w:eastAsia="zh-CN"/>
        </w:rPr>
        <w:t>17</w:t>
      </w:r>
      <w:r>
        <w:rPr>
          <w:rFonts w:hint="default" w:ascii="Times New Roman" w:hAnsi="Times New Roman" w:eastAsia="仿宋_GB2312" w:cs="Times New Roman"/>
          <w:bCs/>
          <w:sz w:val="32"/>
          <w:szCs w:val="32"/>
        </w:rPr>
        <w:t>日</w:t>
      </w:r>
    </w:p>
    <w:p w14:paraId="43838DB5">
      <w:pPr>
        <w:keepNext w:val="0"/>
        <w:keepLines w:val="0"/>
        <w:pageBreakBefore w:val="0"/>
        <w:widowControl w:val="0"/>
        <w:kinsoku/>
        <w:wordWrap/>
        <w:overflowPunct/>
        <w:topLinePunct w:val="0"/>
        <w:autoSpaceDE/>
        <w:autoSpaceDN/>
        <w:bidi w:val="0"/>
        <w:adjustRightInd/>
        <w:snapToGrid/>
        <w:spacing w:line="440" w:lineRule="exact"/>
        <w:ind w:right="210" w:rightChars="100"/>
        <w:textAlignment w:val="auto"/>
        <w:rPr>
          <w:rFonts w:hint="default" w:ascii="Times New Roman" w:hAnsi="Times New Roman" w:eastAsia="仿宋_GB2312" w:cs="Times New Roman"/>
          <w:sz w:val="28"/>
          <w:szCs w:val="28"/>
        </w:rPr>
      </w:pPr>
    </w:p>
    <w:p w14:paraId="418980D1">
      <w:pPr>
        <w:keepNext w:val="0"/>
        <w:keepLines w:val="0"/>
        <w:pageBreakBefore w:val="0"/>
        <w:widowControl w:val="0"/>
        <w:kinsoku/>
        <w:wordWrap/>
        <w:overflowPunct/>
        <w:topLinePunct w:val="0"/>
        <w:autoSpaceDE/>
        <w:autoSpaceDN/>
        <w:bidi w:val="0"/>
        <w:adjustRightInd/>
        <w:snapToGrid/>
        <w:spacing w:line="440" w:lineRule="exact"/>
        <w:ind w:right="210" w:rightChars="100"/>
        <w:textAlignment w:val="auto"/>
        <w:rPr>
          <w:rFonts w:hint="default" w:ascii="Times New Roman" w:hAnsi="Times New Roman" w:eastAsia="仿宋_GB2312" w:cs="Times New Roman"/>
          <w:sz w:val="28"/>
          <w:szCs w:val="28"/>
        </w:rPr>
      </w:pPr>
    </w:p>
    <w:p w14:paraId="4F61AFC8">
      <w:pPr>
        <w:pStyle w:val="3"/>
        <w:rPr>
          <w:rFonts w:hint="default" w:ascii="Times New Roman" w:hAnsi="Times New Roman" w:eastAsia="仿宋_GB2312" w:cs="Times New Roman"/>
          <w:sz w:val="28"/>
          <w:szCs w:val="28"/>
        </w:rPr>
      </w:pPr>
    </w:p>
    <w:p w14:paraId="020BBCE1">
      <w:pPr>
        <w:pStyle w:val="3"/>
        <w:rPr>
          <w:rFonts w:hint="default" w:ascii="Times New Roman" w:hAnsi="Times New Roman" w:eastAsia="仿宋_GB2312" w:cs="Times New Roman"/>
          <w:sz w:val="28"/>
          <w:szCs w:val="28"/>
        </w:rPr>
      </w:pPr>
    </w:p>
    <w:p w14:paraId="5BCACCC6">
      <w:pPr>
        <w:pStyle w:val="3"/>
        <w:rPr>
          <w:rFonts w:hint="default" w:ascii="Times New Roman" w:hAnsi="Times New Roman" w:eastAsia="仿宋_GB2312" w:cs="Times New Roman"/>
          <w:sz w:val="28"/>
          <w:szCs w:val="28"/>
        </w:rPr>
      </w:pPr>
    </w:p>
    <w:p w14:paraId="5A584573">
      <w:pPr>
        <w:pStyle w:val="3"/>
        <w:rPr>
          <w:rFonts w:hint="default" w:ascii="Times New Roman" w:hAnsi="Times New Roman" w:eastAsia="仿宋_GB2312" w:cs="Times New Roman"/>
          <w:sz w:val="28"/>
          <w:szCs w:val="28"/>
        </w:rPr>
      </w:pPr>
    </w:p>
    <w:p w14:paraId="514ADFE5">
      <w:pPr>
        <w:pStyle w:val="3"/>
        <w:rPr>
          <w:rFonts w:hint="default" w:ascii="Times New Roman" w:hAnsi="Times New Roman" w:eastAsia="仿宋_GB2312" w:cs="Times New Roman"/>
          <w:sz w:val="28"/>
          <w:szCs w:val="28"/>
        </w:rPr>
      </w:pPr>
    </w:p>
    <w:p w14:paraId="36518375">
      <w:pPr>
        <w:pStyle w:val="3"/>
        <w:rPr>
          <w:rFonts w:hint="default" w:ascii="Times New Roman" w:hAnsi="Times New Roman" w:eastAsia="仿宋_GB2312" w:cs="Times New Roman"/>
          <w:sz w:val="28"/>
          <w:szCs w:val="28"/>
        </w:rPr>
      </w:pPr>
    </w:p>
    <w:p w14:paraId="0973852C">
      <w:pPr>
        <w:pStyle w:val="3"/>
        <w:rPr>
          <w:rFonts w:hint="default" w:ascii="Times New Roman" w:hAnsi="Times New Roman" w:eastAsia="仿宋_GB2312" w:cs="Times New Roman"/>
          <w:sz w:val="28"/>
          <w:szCs w:val="28"/>
        </w:rPr>
      </w:pPr>
    </w:p>
    <w:p w14:paraId="205F0280">
      <w:pPr>
        <w:pStyle w:val="3"/>
        <w:rPr>
          <w:rFonts w:hint="default" w:ascii="Times New Roman" w:hAnsi="Times New Roman" w:eastAsia="仿宋_GB2312" w:cs="Times New Roman"/>
          <w:sz w:val="28"/>
          <w:szCs w:val="28"/>
        </w:rPr>
      </w:pPr>
    </w:p>
    <w:p w14:paraId="5F8C6695">
      <w:pPr>
        <w:pStyle w:val="3"/>
        <w:rPr>
          <w:rFonts w:hint="default" w:ascii="Times New Roman" w:hAnsi="Times New Roman" w:eastAsia="仿宋_GB2312" w:cs="Times New Roman"/>
          <w:sz w:val="28"/>
          <w:szCs w:val="28"/>
        </w:rPr>
      </w:pPr>
    </w:p>
    <w:p w14:paraId="46A19A44">
      <w:pPr>
        <w:keepNext w:val="0"/>
        <w:keepLines w:val="0"/>
        <w:pageBreakBefore w:val="0"/>
        <w:widowControl w:val="0"/>
        <w:kinsoku/>
        <w:wordWrap/>
        <w:overflowPunct/>
        <w:topLinePunct w:val="0"/>
        <w:autoSpaceDE/>
        <w:autoSpaceDN/>
        <w:bidi w:val="0"/>
        <w:adjustRightInd/>
        <w:snapToGrid/>
        <w:spacing w:line="440" w:lineRule="exact"/>
        <w:ind w:right="210" w:rightChars="100"/>
        <w:textAlignment w:val="auto"/>
        <w:rPr>
          <w:rFonts w:hint="eastAsia" w:ascii="仿宋_GB2312" w:hAnsi="仿宋_GB2312" w:eastAsia="仿宋_GB2312" w:cs="仿宋_GB2312"/>
          <w:sz w:val="28"/>
          <w:szCs w:val="28"/>
          <w:lang w:eastAsia="zh-CN"/>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2540</wp:posOffset>
                </wp:positionV>
                <wp:extent cx="5901055" cy="0"/>
                <wp:effectExtent l="0" t="9525" r="4445" b="9525"/>
                <wp:wrapNone/>
                <wp:docPr id="1" name="直接连接符 5"/>
                <wp:cNvGraphicFramePr/>
                <a:graphic xmlns:a="http://schemas.openxmlformats.org/drawingml/2006/main">
                  <a:graphicData uri="http://schemas.microsoft.com/office/word/2010/wordprocessingShape">
                    <wps:wsp>
                      <wps:cNvCnPr/>
                      <wps:spPr>
                        <a:xfrm>
                          <a:off x="0" y="0"/>
                          <a:ext cx="5901055"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5" o:spid="_x0000_s1026" o:spt="32" type="#_x0000_t32" style="position:absolute;left:0pt;margin-left:-11.2pt;margin-top:0.2pt;height:0pt;width:464.65pt;z-index:251660288;mso-width-relative:page;mso-height-relative:page;" filled="f" stroked="t" coordsize="21600,21600" o:gfxdata="UEsDBAoAAAAAAIdO4kAAAAAAAAAAAAAAAAAEAAAAZHJzL1BLAwQUAAAACACHTuJAcwRcddEAAAAF&#10;AQAADwAAAGRycy9kb3ducmV2LnhtbE2OQUvEMBSE74L/ITzBi+wmW6R0a9M9CJ48WFd/QNo822Lz&#10;Upp0G/+9b096GRhmmPmqU3KTuOASRk8aDnsFAqnzdqRew+fHy64AEaIhayZPqOEHA5zq25vKlNZv&#10;9I6Xc+wFj1AojYYhxrmUMnQDOhP2fkbi7MsvzkS2Sy/tYjYed5PMlMqlMyPxw2BmfB6w+z6vTkN6&#10;yymmpkjtRutrKB6aZFyj9f3dQT2BiJjiXxmu+IwONTO1fiUbxKRhl2WPXNXAyvFR5UcQ7dXKupL/&#10;6etfUEsDBBQAAAAIAIdO4kBxVkpI+QEAAPEDAAAOAAAAZHJzL2Uyb0RvYy54bWytU72OEzEQ7pF4&#10;B8s92eSkIG6VzRUJR4MgEvAAE9u7a8l/8jjZ5CV4ASQ6qCjpeRuOx2DszeXgaFKwhXfsmflmvs/j&#10;xc3BGrZXEbV3DZ9NppwpJ7zUrmv4h/e3z15whgmcBOOdavhRIb9ZPn2yGEKtrnzvjVSREYjDeggN&#10;71MKdVWh6JUFnPigHDlbHy0k2saukhEGQremuppOn1eDjzJELxQina5HJz8hxksAfdtqodZe7Kxy&#10;aUSNykAiStjrgHxZum1bJdLbtkWVmGk4MU1lpSJkb/NaLRdQdxFCr8WpBbikhUecLGhHRc9Qa0jA&#10;dlH/A2W1iB59mybC22okUhQhFrPpI23e9RBU4UJSYziLjv8PVrzZbyLTkiaBMweWLvzu0/efH7/8&#10;+vGZ1rtvX9k8izQErCl25TbxtMOwiZnxoY02/4kLOxRhj2dh1SExQYfzayI3n3Mm7n3VQ2KImF4p&#10;b1k2Go4pgu76tPLO0fX5OCvCwv41JipNifcJuapxbKDer6dzulEBNI8tzQGZNhAndF1JRm+0vNXG&#10;5BSM3XZlIttDnonyZYYE/FdYrrIG7Me44hqnJfqdk5QAda9AvnSSpWMg3Rw9F567sUpyZhS9rmyV&#10;yATaXBJJTRhHvWS5R4GztfXyWHQv5zQJpdvT1OZR+3Nfsh9e6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wRcddEAAAAFAQAADwAAAAAAAAABACAAAAAiAAAAZHJzL2Rvd25yZXYueG1sUEsBAhQA&#10;FAAAAAgAh07iQHFWSkj5AQAA8QMAAA4AAAAAAAAAAQAgAAAAIAEAAGRycy9lMm9Eb2MueG1sUEsF&#10;BgAAAAAGAAYAWQEAAIsFAAAAAA==&#10;">
                <v:fill on="f" focussize="0,0"/>
                <v:stroke weight="1.5pt" color="#000000" joinstyle="round"/>
                <v:imagedata o:title=""/>
                <o:lock v:ext="edit" aspectratio="f"/>
              </v:shape>
            </w:pict>
          </mc:Fallback>
        </mc:AlternateContent>
      </w:r>
      <w:r>
        <w:rPr>
          <w:rFonts w:hint="default" w:ascii="Times New Roman" w:hAnsi="Times New Roman" w:eastAsia="仿宋_GB2312" w:cs="Times New Roman"/>
          <w:sz w:val="28"/>
          <w:szCs w:val="28"/>
        </w:rPr>
        <w:t>抄送</w:t>
      </w:r>
      <w:r>
        <w:rPr>
          <w:rFonts w:hint="eastAsia" w:ascii="仿宋_GB2312" w:hAnsi="仿宋_GB2312" w:eastAsia="仿宋_GB2312" w:cs="仿宋_GB2312"/>
          <w:sz w:val="28"/>
          <w:szCs w:val="28"/>
        </w:rPr>
        <w:t>：师市生态环境保护综合行政执法支队、生态环境监测站、</w:t>
      </w:r>
      <w:r>
        <w:rPr>
          <w:rFonts w:hint="eastAsia" w:ascii="仿宋_GB2312" w:hAnsi="仿宋_GB2312" w:eastAsia="仿宋_GB2312" w:cs="仿宋_GB2312"/>
          <w:sz w:val="28"/>
          <w:szCs w:val="28"/>
          <w:lang w:val="en-US" w:eastAsia="zh-CN"/>
        </w:rPr>
        <w:t>天北</w:t>
      </w:r>
      <w:r>
        <w:rPr>
          <w:rFonts w:hint="eastAsia" w:ascii="仿宋_GB2312" w:hAnsi="仿宋_GB2312" w:eastAsia="仿宋_GB2312" w:cs="仿宋_GB2312"/>
          <w:sz w:val="28"/>
          <w:szCs w:val="28"/>
        </w:rPr>
        <w:t>经济技术开发区应急管理和环境保护局</w:t>
      </w:r>
      <w:r>
        <w:rPr>
          <w:rFonts w:hint="eastAsia" w:ascii="仿宋_GB2312" w:hAnsi="仿宋_GB2312" w:eastAsia="仿宋_GB2312" w:cs="仿宋_GB2312"/>
          <w:sz w:val="28"/>
          <w:szCs w:val="28"/>
          <w:lang w:eastAsia="zh-CN"/>
        </w:rPr>
        <w:t>。</w:t>
      </w:r>
    </w:p>
    <w:p w14:paraId="0ADEB69F">
      <w:pPr>
        <w:spacing w:line="600" w:lineRule="exact"/>
        <w:ind w:right="210" w:rightChars="100"/>
        <w:rPr>
          <w:rFonts w:hint="eastAsia" w:ascii="仿宋_GB2312" w:hAnsi="仿宋_GB2312" w:eastAsia="仿宋_GB2312" w:cs="仿宋_GB2312"/>
          <w:lang w:val="en-US" w:eastAsia="zh-CN"/>
        </w:rPr>
      </w:pPr>
      <w:r>
        <w:rPr>
          <w:rFonts w:hint="eastAsia" w:ascii="仿宋_GB2312" w:hAnsi="仿宋_GB2312" w:eastAsia="仿宋_GB2312" w:cs="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371475</wp:posOffset>
                </wp:positionV>
                <wp:extent cx="5930265" cy="1270"/>
                <wp:effectExtent l="0" t="9525" r="13335" b="17780"/>
                <wp:wrapNone/>
                <wp:docPr id="3" name="直接连接符 4"/>
                <wp:cNvGraphicFramePr/>
                <a:graphic xmlns:a="http://schemas.openxmlformats.org/drawingml/2006/main">
                  <a:graphicData uri="http://schemas.microsoft.com/office/word/2010/wordprocessingShape">
                    <wps:wsp>
                      <wps:cNvCnPr/>
                      <wps:spPr>
                        <a:xfrm flipV="1">
                          <a:off x="0" y="0"/>
                          <a:ext cx="5930265" cy="127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4" o:spid="_x0000_s1026" o:spt="32" type="#_x0000_t32" style="position:absolute;left:0pt;flip:y;margin-left:-12pt;margin-top:29.25pt;height:0.1pt;width:466.95pt;z-index:251662336;mso-width-relative:page;mso-height-relative:page;" filled="f" stroked="t" coordsize="21600,21600" o:gfxdata="UEsDBAoAAAAAAIdO4kAAAAAAAAAAAAAAAAAEAAAAZHJzL1BLAwQUAAAACACHTuJAqhDXPtgAAAAJ&#10;AQAADwAAAGRycy9kb3ducmV2LnhtbE2PO28CMRCE+0j5D9ZGSgc2b+5yPgoQRSSKQFKkNOfN3Sn2&#10;+rDN89djqqScndHsN8XiYg07oQ+tIwmDvgCGVDndUi3h63PdmwMLUZFWxhFKuGKARfn8VKhcuzNt&#10;8bSLNUslFHIloYmxyzkPVYNWhb7rkJL347xVMUlfc+3VOZVbw4dCTLlVLaUPjepw2WD1uztaCSIc&#10;tpuNmx2+p6N382Hb1Xrlb1K+vgzEG7CIl/gXhgd+QocyMe3dkXRgRkJvOE5booTJfAIsBTKRZcD2&#10;j8MMeFnw/wvKO1BLAwQUAAAACACHTuJA37/xQgcCAAD+AwAADgAAAGRycy9lMm9Eb2MueG1srVNL&#10;jhMxEN0jcQfLe9KdDBmYVjqzSBg2CEbis3f86bbkn1xOOrkEF0BiByuW7LkNwzEou0OAYZMFvWiV&#10;7arn916VF9d7a8hORtDetXQ6qSmRjnuhXdfSt29uHj2lBBJzghnvZEsPEuj18uGDxRAaOfO9N0JG&#10;giAOmiG0tE8pNFUFvJeWwcQH6fBQ+WhZwmXsKhHZgOjWVLO6vqwGH0WInksA3F2Ph/SIGM8B9Epp&#10;Lteeb610aUSN0rCEkqDXAeiysFVK8vRKKZCJmJai0lT+eAnGm/yvlgvWdJGFXvMjBXYOhXuaLNMO&#10;Lz1BrVliZBv1P1BW8+jBqzTh3lajkOIIqpjW97x53bMgixa0GsLJdPh/sPzl7jYSLVp6QYljFht+&#10;9+Hr9/effnz7iP+7L5/J42zSEKDB3JW7jccVhNuYFe9VtEQZHd7hNBUPUBXZF4sPJ4vlPhGOm/Or&#10;i3p2OaeE49l09qR0oBpRMlqIkJ5Lb0kOWgopMt31aeWdw176ON7Adi8gIQ8s/FWQi40jA6Je1XNs&#10;L2c4nAqHAkMbUCC4rtADb7S40cbkEojdZmUi2bE8IOXLchH4r7R8y5pBP+aVo3F0ot86gQWs6SUT&#10;z5wg6RDQRIdvh2Y2VgpKjMSnlqOSmZg252QiCeOQS/Z+dDtHGy8OpQllH8eisD2OcJ67P9el+vez&#10;Xf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hDXPtgAAAAJAQAADwAAAAAAAAABACAAAAAiAAAA&#10;ZHJzL2Rvd25yZXYueG1sUEsBAhQAFAAAAAgAh07iQN+/8UIHAgAA/gMAAA4AAAAAAAAAAQAgAAAA&#10;JwEAAGRycy9lMm9Eb2MueG1sUEsFBgAAAAAGAAYAWQEAAKAFAAAAAA==&#10;">
                <v:fill on="f" focussize="0,0"/>
                <v:stroke weight="1.5pt" color="#000000" joinstyle="round"/>
                <v:imagedata o:title=""/>
                <o:lock v:ext="edit" aspectratio="f"/>
              </v:shape>
            </w:pict>
          </mc:Fallback>
        </mc:AlternateContent>
      </w:r>
      <w:r>
        <w:rPr>
          <w:rFonts w:hint="eastAsia" w:ascii="仿宋_GB2312" w:hAnsi="仿宋_GB2312" w:eastAsia="仿宋_GB2312" w:cs="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-142875</wp:posOffset>
                </wp:positionH>
                <wp:positionV relativeFrom="paragraph">
                  <wp:posOffset>0</wp:posOffset>
                </wp:positionV>
                <wp:extent cx="5882640" cy="0"/>
                <wp:effectExtent l="0" t="0" r="0" b="0"/>
                <wp:wrapNone/>
                <wp:docPr id="2" name="直接连接符 3"/>
                <wp:cNvGraphicFramePr/>
                <a:graphic xmlns:a="http://schemas.openxmlformats.org/drawingml/2006/main">
                  <a:graphicData uri="http://schemas.microsoft.com/office/word/2010/wordprocessingShape">
                    <wps:wsp>
                      <wps:cNvCnPr/>
                      <wps:spPr>
                        <a:xfrm>
                          <a:off x="0" y="0"/>
                          <a:ext cx="5882640"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直接连接符 3" o:spid="_x0000_s1026" o:spt="32" type="#_x0000_t32" style="position:absolute;left:0pt;margin-left:-11.25pt;margin-top:0pt;height:0pt;width:463.2pt;z-index:251661312;mso-width-relative:page;mso-height-relative:page;" filled="f" stroked="t" coordsize="21600,21600" o:gfxdata="UEsDBAoAAAAAAIdO4kAAAAAAAAAAAAAAAAAEAAAAZHJzL1BLAwQUAAAACACHTuJAOC7RzdQAAAAF&#10;AQAADwAAAGRycy9kb3ducmV2LnhtbE2PwW7CMBBE75X6D9Yi9VKBnVRUTYiDqko99FhA6tXE2yQQ&#10;r6PYIZSv73KC42hGM2+K9dl14oRDaD1pSBYKBFLlbUu1ht32c/4GIkRD1nSeUMMfBliXjw+Fya2f&#10;6BtPm1gLLqGQGw1NjH0uZagadCYsfI/E3q8fnIksh1rawUxc7jqZKvUqnWmJFxrT40eD1XEzOg0Y&#10;xmWi3jNX774u0/NPejlM/Vbrp1miViAinuMtDFd8RoeSmfZ+JBtEp2GepkuOauBHbGfqJQOxv0pZ&#10;FvKevvwHUEsDBBQAAAAIAIdO4kDtBQzC+gEAAPADAAAOAAAAZHJzL2Uyb0RvYy54bWytU0uOEzEQ&#10;3SNxB8t70kkgo9BKZxYJwwZBJOAAjj/dlvyTy0knl+ACSOxgxZI9t5nhGJTdmQwMmyzohbvsqnpV&#10;77m8uD5YQ/YygvauoZPRmBLpuBfatQ39+OHm2ZwSSMwJZryTDT1KoNfLp08Wfajl1HfeCBkJgjio&#10;+9DQLqVQVxXwTloGIx+kQ6fy0bKE29hWIrIe0a2ppuPxVdX7KEL0XALg6Xpw0hNivATQK6W5XHu+&#10;s9KlATVKwxJSgk4HoMvSrVKSp3dKgUzENBSZprJiEbS3ea2WC1a3kYVO81ML7JIWHnGyTDsseoZa&#10;s8TILup/oKzm0YNXacS9rQYiRRFkMRk/0uZ9x4IsXFBqCGfR4f/B8rf7TSRaNHRKiWMWL/zu84/b&#10;T19//fyC6933b+R5FqkPUGPsym3iaQdhEzPjg4o2/5ELORRhj2dh5SERjoez+Xx69QI15/e+6iEx&#10;REivpbckGw2FFJluu7TyzuH1+TgpwrL9G0hYGhPvE3JV40jf0Jez6QzBGY6jwjFA0wakBK4tueCN&#10;FjfamJwBsd2uTCR7lkeifJkg4v4VlousGXRDXHENwxL9zglMYHUnmXjlBEnHgLI5fC00N2OloMRI&#10;fFzZKpGJaXNJJDZhHPaS1R70zdbWi2ORvZzjIJRuT0ObJ+3Pfcl+eKj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gu0c3UAAAABQEAAA8AAAAAAAAAAQAgAAAAIgAAAGRycy9kb3ducmV2LnhtbFBL&#10;AQIUABQAAAAIAIdO4kDtBQzC+gEAAPADAAAOAAAAAAAAAAEAIAAAACMBAABkcnMvZTJvRG9jLnht&#10;bFBLBQYAAAAABgAGAFkBAACPBQAAAAA=&#10;">
                <v:fill on="f" focussize="0,0"/>
                <v:stroke color="#000000" joinstyle="round"/>
                <v:imagedata o:title=""/>
                <o:lock v:ext="edit" aspectratio="f"/>
              </v:shape>
            </w:pict>
          </mc:Fallback>
        </mc:AlternateContent>
      </w:r>
      <w:r>
        <w:rPr>
          <w:rFonts w:hint="eastAsia" w:ascii="仿宋_GB2312" w:hAnsi="仿宋_GB2312" w:eastAsia="仿宋_GB2312" w:cs="仿宋_GB2312"/>
          <w:sz w:val="28"/>
          <w:szCs w:val="28"/>
        </w:rPr>
        <w:t xml:space="preserve">兵团第七师胡杨河市生态环境局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17</w:t>
      </w:r>
      <w:r>
        <w:rPr>
          <w:rFonts w:hint="eastAsia" w:ascii="仿宋_GB2312" w:hAnsi="仿宋_GB2312" w:eastAsia="仿宋_GB2312" w:cs="仿宋_GB2312"/>
          <w:sz w:val="28"/>
          <w:szCs w:val="28"/>
        </w:rPr>
        <w:t>日印</w:t>
      </w:r>
      <w:r>
        <w:rPr>
          <w:rFonts w:hint="eastAsia" w:ascii="仿宋_GB2312" w:hAnsi="仿宋_GB2312" w:eastAsia="仿宋_GB2312" w:cs="仿宋_GB2312"/>
          <w:sz w:val="28"/>
          <w:szCs w:val="28"/>
          <w:lang w:val="en-US" w:eastAsia="zh-CN"/>
        </w:rPr>
        <w:t>发</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55C5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-114300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07639">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pt;height:144pt;width:144pt;mso-position-horizontal:outside;mso-position-horizontal-relative:margin;mso-wrap-style:none;z-index:251659264;mso-width-relative:page;mso-height-relative:page;" filled="f" stroked="f" coordsize="21600,21600" o:gfxdata="UEsDBAoAAAAAAIdO4kAAAAAAAAAAAAAAAAAEAAAAZHJzL1BLAwQUAAAACACHTuJAXaJ/59QAAAAI&#10;AQAADwAAAGRycy9kb3ducmV2LnhtbE2PwU7DMBBE70j8g7VI3Fo7BUEU4lSiIhyRaHrg6MZLEojX&#10;ke2m4e/ZnuD2VjOanSm3ixvFjCEOnjRkawUCqfV2oE7DoalXOYiYDFkzekINPxhhW11flaaw/kzv&#10;OO9TJziEYmE09ClNhZSx7dGZuPYTEmufPjiT+AydtMGcOdyNcqPUg3RmIP7Qmwl3Pbbf+5PTsKub&#10;JswYw/iBr/Xd19vzPb4sWt/eZOoJRMIl/ZnhUp+rQ8Wdjv5ENopRAw9JGlZZzsDyJr/AkeFRKZBV&#10;Kf8PqH4B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aJ/59QAAAAI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51007639">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jZTQ2MWYyYTY5MDNmZDNlOGVlYzE1OWZlNTE2NTUifQ=="/>
  </w:docVars>
  <w:rsids>
    <w:rsidRoot w:val="19A61553"/>
    <w:rsid w:val="0026130D"/>
    <w:rsid w:val="00301E8D"/>
    <w:rsid w:val="006F367F"/>
    <w:rsid w:val="00732078"/>
    <w:rsid w:val="00742AA9"/>
    <w:rsid w:val="01B110AA"/>
    <w:rsid w:val="01FD42EF"/>
    <w:rsid w:val="025F2F6C"/>
    <w:rsid w:val="03E07A24"/>
    <w:rsid w:val="0402172C"/>
    <w:rsid w:val="049D5915"/>
    <w:rsid w:val="06103791"/>
    <w:rsid w:val="064F49ED"/>
    <w:rsid w:val="07707311"/>
    <w:rsid w:val="07EF0236"/>
    <w:rsid w:val="095B26AD"/>
    <w:rsid w:val="0A0D21E1"/>
    <w:rsid w:val="0A6D7B38"/>
    <w:rsid w:val="0A717628"/>
    <w:rsid w:val="0BD55735"/>
    <w:rsid w:val="0CD67C16"/>
    <w:rsid w:val="0DEC6201"/>
    <w:rsid w:val="0E146C48"/>
    <w:rsid w:val="0E927B6D"/>
    <w:rsid w:val="0E9959C9"/>
    <w:rsid w:val="0F3A0A84"/>
    <w:rsid w:val="0F8E2A2A"/>
    <w:rsid w:val="0F9811B3"/>
    <w:rsid w:val="10415B91"/>
    <w:rsid w:val="111927C8"/>
    <w:rsid w:val="13222B5F"/>
    <w:rsid w:val="1367781A"/>
    <w:rsid w:val="13B33653"/>
    <w:rsid w:val="15E46F00"/>
    <w:rsid w:val="17621560"/>
    <w:rsid w:val="186A24B8"/>
    <w:rsid w:val="19A61553"/>
    <w:rsid w:val="19DB4ABE"/>
    <w:rsid w:val="1ABC044C"/>
    <w:rsid w:val="1B0342CC"/>
    <w:rsid w:val="1C444C69"/>
    <w:rsid w:val="1CB3762C"/>
    <w:rsid w:val="1D4B3D09"/>
    <w:rsid w:val="1E19738C"/>
    <w:rsid w:val="1E1F706C"/>
    <w:rsid w:val="1E222CBC"/>
    <w:rsid w:val="1F0C482E"/>
    <w:rsid w:val="1F6410B2"/>
    <w:rsid w:val="1F792DAF"/>
    <w:rsid w:val="1FDB0D9E"/>
    <w:rsid w:val="20735A50"/>
    <w:rsid w:val="2177331E"/>
    <w:rsid w:val="21A1039B"/>
    <w:rsid w:val="22600256"/>
    <w:rsid w:val="2288155B"/>
    <w:rsid w:val="2322550C"/>
    <w:rsid w:val="24C7636B"/>
    <w:rsid w:val="24F3437F"/>
    <w:rsid w:val="26D94133"/>
    <w:rsid w:val="274A3283"/>
    <w:rsid w:val="27E6038A"/>
    <w:rsid w:val="29374906"/>
    <w:rsid w:val="293E30BA"/>
    <w:rsid w:val="29ED02E2"/>
    <w:rsid w:val="2A0C4820"/>
    <w:rsid w:val="2ABB0720"/>
    <w:rsid w:val="2BE9171D"/>
    <w:rsid w:val="2DB71358"/>
    <w:rsid w:val="2E4D5985"/>
    <w:rsid w:val="2E6647A7"/>
    <w:rsid w:val="2E976DAE"/>
    <w:rsid w:val="2FC85447"/>
    <w:rsid w:val="2FE778C1"/>
    <w:rsid w:val="30766E97"/>
    <w:rsid w:val="319A0963"/>
    <w:rsid w:val="31DB1B10"/>
    <w:rsid w:val="31DE6AA2"/>
    <w:rsid w:val="325A00D3"/>
    <w:rsid w:val="32EA1B39"/>
    <w:rsid w:val="334B0167"/>
    <w:rsid w:val="3390201E"/>
    <w:rsid w:val="33FC16C7"/>
    <w:rsid w:val="3446239F"/>
    <w:rsid w:val="34552334"/>
    <w:rsid w:val="345D63A4"/>
    <w:rsid w:val="34DB0164"/>
    <w:rsid w:val="34DB0F65"/>
    <w:rsid w:val="35222615"/>
    <w:rsid w:val="35335B87"/>
    <w:rsid w:val="362F528B"/>
    <w:rsid w:val="36366780"/>
    <w:rsid w:val="37C91FA2"/>
    <w:rsid w:val="380D6520"/>
    <w:rsid w:val="389B146D"/>
    <w:rsid w:val="390336C5"/>
    <w:rsid w:val="39586DFD"/>
    <w:rsid w:val="3B2F60F7"/>
    <w:rsid w:val="3B901665"/>
    <w:rsid w:val="3E3F2FBE"/>
    <w:rsid w:val="3E4203B8"/>
    <w:rsid w:val="3E5263F1"/>
    <w:rsid w:val="3E8F41EC"/>
    <w:rsid w:val="3ED656D0"/>
    <w:rsid w:val="406B063D"/>
    <w:rsid w:val="41E12475"/>
    <w:rsid w:val="41F36599"/>
    <w:rsid w:val="425C5EED"/>
    <w:rsid w:val="42DD244B"/>
    <w:rsid w:val="4475215D"/>
    <w:rsid w:val="44AC37CB"/>
    <w:rsid w:val="465316EE"/>
    <w:rsid w:val="46C2653A"/>
    <w:rsid w:val="46CD5F17"/>
    <w:rsid w:val="46F76C15"/>
    <w:rsid w:val="47446A78"/>
    <w:rsid w:val="47623535"/>
    <w:rsid w:val="483B2A48"/>
    <w:rsid w:val="4B4732F2"/>
    <w:rsid w:val="4B9E0BAE"/>
    <w:rsid w:val="4BE111CF"/>
    <w:rsid w:val="4C0B697F"/>
    <w:rsid w:val="4D0E24D9"/>
    <w:rsid w:val="4D3248D1"/>
    <w:rsid w:val="4DF46F02"/>
    <w:rsid w:val="4E073314"/>
    <w:rsid w:val="4E1C7BCA"/>
    <w:rsid w:val="4E1E04FA"/>
    <w:rsid w:val="4E23273D"/>
    <w:rsid w:val="4E2A19FE"/>
    <w:rsid w:val="4E8B592A"/>
    <w:rsid w:val="4EC05A55"/>
    <w:rsid w:val="512A18AC"/>
    <w:rsid w:val="5144471C"/>
    <w:rsid w:val="51CA44D0"/>
    <w:rsid w:val="52016A0C"/>
    <w:rsid w:val="521E31BF"/>
    <w:rsid w:val="52EF6909"/>
    <w:rsid w:val="53732803"/>
    <w:rsid w:val="5445681C"/>
    <w:rsid w:val="54E21B59"/>
    <w:rsid w:val="55F63B99"/>
    <w:rsid w:val="56781A69"/>
    <w:rsid w:val="574D00A2"/>
    <w:rsid w:val="576461D9"/>
    <w:rsid w:val="58D34BF9"/>
    <w:rsid w:val="593C3F2A"/>
    <w:rsid w:val="598D4786"/>
    <w:rsid w:val="59AE7AF9"/>
    <w:rsid w:val="59BB12F3"/>
    <w:rsid w:val="5A0B54BA"/>
    <w:rsid w:val="5A132EDD"/>
    <w:rsid w:val="5A2854B0"/>
    <w:rsid w:val="5AD563E4"/>
    <w:rsid w:val="5ADB6D32"/>
    <w:rsid w:val="5B987ABA"/>
    <w:rsid w:val="5BBE331C"/>
    <w:rsid w:val="5CE26B6F"/>
    <w:rsid w:val="5E116A2B"/>
    <w:rsid w:val="5EE50BC0"/>
    <w:rsid w:val="5FCF6BF0"/>
    <w:rsid w:val="609D79A4"/>
    <w:rsid w:val="60BB7E2A"/>
    <w:rsid w:val="60EA6962"/>
    <w:rsid w:val="6109328C"/>
    <w:rsid w:val="612B239E"/>
    <w:rsid w:val="623C143F"/>
    <w:rsid w:val="62A019CE"/>
    <w:rsid w:val="62E3579C"/>
    <w:rsid w:val="639037F0"/>
    <w:rsid w:val="644952F5"/>
    <w:rsid w:val="6703077D"/>
    <w:rsid w:val="6764121C"/>
    <w:rsid w:val="679C6136"/>
    <w:rsid w:val="68152516"/>
    <w:rsid w:val="698B1E19"/>
    <w:rsid w:val="69931944"/>
    <w:rsid w:val="6CC3509F"/>
    <w:rsid w:val="6F2512C7"/>
    <w:rsid w:val="6F4158DC"/>
    <w:rsid w:val="708446DD"/>
    <w:rsid w:val="7375588F"/>
    <w:rsid w:val="73E5637C"/>
    <w:rsid w:val="75006CB2"/>
    <w:rsid w:val="7516167C"/>
    <w:rsid w:val="75446240"/>
    <w:rsid w:val="757A1C0A"/>
    <w:rsid w:val="75F30136"/>
    <w:rsid w:val="76017E90"/>
    <w:rsid w:val="79A951B4"/>
    <w:rsid w:val="79AC0800"/>
    <w:rsid w:val="7A231075"/>
    <w:rsid w:val="7A761170"/>
    <w:rsid w:val="7BE007E5"/>
    <w:rsid w:val="7F4A4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w:basedOn w:val="3"/>
    <w:uiPriority w:val="0"/>
    <w:pPr>
      <w:widowControl/>
      <w:spacing w:line="560" w:lineRule="exact"/>
      <w:ind w:firstLine="420" w:firstLineChars="100"/>
    </w:pPr>
    <w:rPr>
      <w:rFonts w:ascii="Times New Roman" w:hAnsi="Times New Roman"/>
      <w:kern w:val="2"/>
      <w:sz w:val="21"/>
    </w:rPr>
  </w:style>
  <w:style w:type="paragraph" w:styleId="3">
    <w:name w:val="Body Text"/>
    <w:basedOn w:val="1"/>
    <w:qFormat/>
    <w:uiPriority w:val="0"/>
    <w:rPr>
      <w:rFonts w:eastAsia="华文中宋"/>
      <w:b/>
      <w:bCs/>
      <w:w w:val="90"/>
      <w:sz w:val="44"/>
    </w:rPr>
  </w:style>
  <w:style w:type="paragraph" w:styleId="4">
    <w:name w:val="index 5"/>
    <w:basedOn w:val="1"/>
    <w:next w:val="1"/>
    <w:qFormat/>
    <w:uiPriority w:val="0"/>
    <w:pPr>
      <w:ind w:left="800" w:leftChars="800"/>
    </w:pPr>
  </w:style>
  <w:style w:type="paragraph" w:styleId="5">
    <w:name w:val="Body Text Indent"/>
    <w:basedOn w:val="1"/>
    <w:qFormat/>
    <w:uiPriority w:val="0"/>
    <w:pPr>
      <w:widowControl/>
      <w:spacing w:after="120" w:line="560" w:lineRule="exact"/>
      <w:ind w:left="420" w:leftChars="200" w:firstLine="200" w:firstLineChars="200"/>
    </w:pPr>
    <w:rPr>
      <w:rFonts w:ascii="Times New Roman" w:hAnsi="Times New Roman" w:eastAsia="宋体"/>
      <w:sz w:val="21"/>
      <w:szCs w:val="24"/>
    </w:rPr>
  </w:style>
  <w:style w:type="paragraph" w:styleId="6">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index heading"/>
    <w:basedOn w:val="1"/>
    <w:next w:val="8"/>
    <w:qFormat/>
    <w:uiPriority w:val="0"/>
    <w:pPr>
      <w:widowControl/>
      <w:jc w:val="left"/>
    </w:pPr>
    <w:rPr>
      <w:rFonts w:ascii="Arial" w:hAnsi="Arial" w:cs="Arial"/>
      <w:b/>
      <w:bCs/>
      <w:kern w:val="0"/>
      <w:sz w:val="24"/>
    </w:rPr>
  </w:style>
  <w:style w:type="paragraph" w:styleId="8">
    <w:name w:val="index 1"/>
    <w:basedOn w:val="1"/>
    <w:next w:val="1"/>
    <w:qFormat/>
    <w:uiPriority w:val="0"/>
    <w:pPr>
      <w:spacing w:line="360" w:lineRule="auto"/>
      <w:jc w:val="center"/>
    </w:pPr>
  </w:style>
  <w:style w:type="paragraph" w:styleId="9">
    <w:name w:val="List"/>
    <w:basedOn w:val="1"/>
    <w:qFormat/>
    <w:uiPriority w:val="0"/>
    <w:pPr>
      <w:ind w:left="200" w:hanging="200" w:hangingChars="200"/>
    </w:pPr>
  </w:style>
  <w:style w:type="paragraph" w:styleId="10">
    <w:name w:val="footnote text"/>
    <w:basedOn w:val="1"/>
    <w:next w:val="4"/>
    <w:unhideWhenUsed/>
    <w:qFormat/>
    <w:uiPriority w:val="99"/>
    <w:pPr>
      <w:snapToGrid w:val="0"/>
      <w:jc w:val="left"/>
    </w:pPr>
    <w:rPr>
      <w:rFonts w:ascii="Calibri" w:hAnsi="Calibri" w:eastAsia="仿宋" w:cs="Times New Roman"/>
      <w:sz w:val="18"/>
      <w:szCs w:val="18"/>
    </w:rPr>
  </w:style>
  <w:style w:type="paragraph" w:styleId="11">
    <w:name w:val="Body Text 2"/>
    <w:basedOn w:val="1"/>
    <w:unhideWhenUsed/>
    <w:qFormat/>
    <w:uiPriority w:val="99"/>
    <w:pPr>
      <w:spacing w:after="120" w:line="480" w:lineRule="auto"/>
    </w:pPr>
  </w:style>
  <w:style w:type="paragraph" w:styleId="12">
    <w:name w:val="Body Text First Indent 2"/>
    <w:basedOn w:val="5"/>
    <w:unhideWhenUsed/>
    <w:qFormat/>
    <w:uiPriority w:val="99"/>
    <w:pPr>
      <w:widowControl w:val="0"/>
      <w:spacing w:beforeLines="50" w:afterLines="50"/>
      <w:ind w:firstLine="420" w:firstLineChars="200"/>
      <w:jc w:val="both"/>
    </w:pPr>
  </w:style>
  <w:style w:type="paragraph" w:customStyle="1" w:styleId="15">
    <w:name w:val="Default"/>
    <w:basedOn w:val="16"/>
    <w:next w:val="1"/>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6">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17">
    <w:name w:val="纯文本1"/>
    <w:basedOn w:val="1"/>
    <w:qFormat/>
    <w:uiPriority w:val="0"/>
    <w:pPr>
      <w:adjustRightInd w:val="0"/>
      <w:textAlignment w:val="baseline"/>
    </w:pPr>
    <w:rPr>
      <w:rFonts w:ascii="宋体" w:hAnsi="Courier New"/>
      <w:szCs w:val="20"/>
    </w:rPr>
  </w:style>
  <w:style w:type="paragraph" w:customStyle="1" w:styleId="18">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19">
    <w:name w:val="样式 首行缩进:  2 字符1"/>
    <w:basedOn w:val="1"/>
    <w:qFormat/>
    <w:uiPriority w:val="0"/>
    <w:pPr>
      <w:adjustRightInd w:val="0"/>
      <w:snapToGrid w:val="0"/>
      <w:spacing w:line="360" w:lineRule="auto"/>
      <w:ind w:firstLine="480" w:firstLineChars="200"/>
    </w:pPr>
    <w:rPr>
      <w:rFonts w:ascii="Times New Roman" w:hAnsi="Times New Roman" w:eastAsia="宋体" w:cs="宋体"/>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1666</Words>
  <Characters>1738</Characters>
  <Lines>0</Lines>
  <Paragraphs>0</Paragraphs>
  <TotalTime>38</TotalTime>
  <ScaleCrop>false</ScaleCrop>
  <LinksUpToDate>false</LinksUpToDate>
  <CharactersWithSpaces>1784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2024-08-23T02:46:00Z</dcterms:created>
  <dc:creator>Administrator</dc:creator>
  <cp:lastModifiedBy>Floating dream </cp:lastModifiedBy>
  <cp:lastPrinted>2026-06-12T02:09:00Z</cp:lastPrinted>
  <dcterms:modified xsi:type="dcterms:W3CDTF">2026-06-17T08:34:35Z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B8171F6E2028404691B439BC0FF64754_13</vt:lpwstr>
  </property>
  <property fmtid="{D5CDD505-2E9C-101B-9397-08002B2CF9AE}" pid="4" name="KSOTemplateDocerSaveRecord">
    <vt:lpwstr>eyJoZGlkIjoiODBjNzYxYmIzOWJkMDlmNzJmZjdjMmNkNDkzMGYxZDkiLCJ1c2VySWQiOiIzNjMzMTU4MzUifQ==</vt:lpwstr>
  </property>
</Properties>
</file>