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25</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109A6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eastAsia="zh-CN"/>
        </w:rPr>
        <w:t>胡杨河世创科兴农业服务有限公司年产10000吨水溶肥项目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胡杨河世创科兴农业服务有限公司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胡杨河世创科兴农业服务有限公司年产10000吨水溶肥项目</w:t>
      </w:r>
      <w:r>
        <w:rPr>
          <w:rFonts w:hint="default" w:ascii="Times New Roman" w:hAnsi="Times New Roman" w:eastAsia="仿宋_GB2312" w:cs="Times New Roman"/>
          <w:sz w:val="32"/>
          <w:szCs w:val="32"/>
        </w:rPr>
        <w:t>&gt;的请示》收悉。经研究，批复如下：</w:t>
      </w:r>
    </w:p>
    <w:p w14:paraId="080CE2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w:t>
      </w:r>
      <w:r>
        <w:rPr>
          <w:rFonts w:hint="eastAsia" w:eastAsia="仿宋_GB2312" w:cs="Times New Roman"/>
          <w:sz w:val="32"/>
          <w:szCs w:val="32"/>
          <w:lang w:val="en-US" w:eastAsia="zh-CN"/>
        </w:rPr>
        <w:t>南园区</w:t>
      </w:r>
      <w:r>
        <w:rPr>
          <w:rFonts w:hint="default" w:ascii="Times New Roman" w:hAnsi="Times New Roman" w:eastAsia="仿宋_GB2312" w:cs="Times New Roman"/>
          <w:sz w:val="32"/>
          <w:szCs w:val="32"/>
          <w:lang w:val="en-US" w:eastAsia="zh-CN"/>
        </w:rPr>
        <w:t>，项目区中心地理位置坐标为</w:t>
      </w:r>
      <w:bookmarkStart w:id="0" w:name="_Hlk180516248"/>
      <w:r>
        <w:rPr>
          <w:rFonts w:hint="default" w:ascii="Times New Roman" w:hAnsi="Times New Roman" w:eastAsia="仿宋_GB2312" w:cs="Times New Roman"/>
          <w:sz w:val="32"/>
          <w:szCs w:val="32"/>
          <w:lang w:val="en-US" w:eastAsia="zh-CN"/>
        </w:rPr>
        <w:t>东经84°53'10.498"，北纬44°48'3.167"。</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新建1条粉剂肥料生产线</w:t>
      </w:r>
      <w:r>
        <w:rPr>
          <w:rFonts w:hint="default" w:ascii="Times New Roman" w:hAnsi="Times New Roman" w:eastAsia="仿宋_GB2312" w:cs="Times New Roman"/>
          <w:sz w:val="32"/>
          <w:szCs w:val="32"/>
          <w:lang w:val="en-US" w:eastAsia="zh-CN"/>
        </w:rPr>
        <w:t>，1条液体状肥料生产线</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并配套建设其他附属设施。本项目总投资3000万元，环保投资为241万元，环保投资占总投资的8.03%。</w:t>
      </w:r>
    </w:p>
    <w:p w14:paraId="61BE4A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58AF17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粉剂肥料物料除杂、投加混配、包装过程及液体肥料物料除杂、投加混配产生的粉尘，粉剂肥料生产过程中产生的粉尘采用密闭集气罩+布袋除尘器处理后由15m</w:t>
      </w:r>
      <w:r>
        <w:rPr>
          <w:rFonts w:hint="eastAsia" w:eastAsia="仿宋_GB2312" w:cs="Times New Roman"/>
          <w:b w:val="0"/>
          <w:bCs/>
          <w:sz w:val="32"/>
          <w:szCs w:val="32"/>
          <w:lang w:val="en-US" w:eastAsia="zh-CN"/>
        </w:rPr>
        <w:t>高的</w:t>
      </w:r>
      <w:r>
        <w:rPr>
          <w:rFonts w:hint="default" w:ascii="Times New Roman" w:hAnsi="Times New Roman" w:eastAsia="仿宋_GB2312" w:cs="Times New Roman"/>
          <w:b w:val="0"/>
          <w:bCs/>
          <w:sz w:val="32"/>
          <w:szCs w:val="32"/>
          <w:lang w:val="en-US" w:eastAsia="zh-CN"/>
        </w:rPr>
        <w:t>排气筒（DA001）排放，液体肥料生产过程中产生的粉尘采用密闭集气罩+布袋除尘器处理后由15m</w:t>
      </w:r>
      <w:r>
        <w:rPr>
          <w:rFonts w:hint="eastAsia" w:eastAsia="仿宋_GB2312" w:cs="Times New Roman"/>
          <w:b w:val="0"/>
          <w:bCs/>
          <w:sz w:val="32"/>
          <w:szCs w:val="32"/>
          <w:lang w:val="en-US" w:eastAsia="zh-CN"/>
        </w:rPr>
        <w:t>高的</w:t>
      </w:r>
      <w:r>
        <w:rPr>
          <w:rFonts w:hint="default" w:ascii="Times New Roman" w:hAnsi="Times New Roman" w:eastAsia="仿宋_GB2312" w:cs="Times New Roman"/>
          <w:b w:val="0"/>
          <w:bCs/>
          <w:sz w:val="32"/>
          <w:szCs w:val="32"/>
          <w:lang w:val="en-US" w:eastAsia="zh-CN"/>
        </w:rPr>
        <w:t>排气筒（DA002）排放</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颗粒物</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《大气污染物综合排放标准》（GB16297-1996）表2中大气污染物排放标准限值。</w:t>
      </w:r>
    </w:p>
    <w:p w14:paraId="4113BD63">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项目生产线均设置于封闭式生产车间内，采用密闭管道输送；设备采用全自动密闭设备，</w:t>
      </w:r>
      <w:r>
        <w:rPr>
          <w:rFonts w:hint="eastAsia" w:eastAsia="仿宋_GB2312" w:cs="Times New Roman"/>
          <w:bCs/>
          <w:color w:val="auto"/>
          <w:kern w:val="2"/>
          <w:sz w:val="32"/>
          <w:szCs w:val="32"/>
          <w:lang w:val="en-US" w:eastAsia="zh-CN" w:bidi="ar-SA"/>
        </w:rPr>
        <w:t>通过</w:t>
      </w:r>
      <w:r>
        <w:rPr>
          <w:rFonts w:hint="eastAsia" w:ascii="Times New Roman" w:hAnsi="Times New Roman" w:eastAsia="仿宋_GB2312" w:cs="Times New Roman"/>
          <w:bCs/>
          <w:color w:val="auto"/>
          <w:kern w:val="2"/>
          <w:sz w:val="32"/>
          <w:szCs w:val="32"/>
          <w:lang w:val="en-US" w:eastAsia="zh-CN" w:bidi="ar-SA"/>
        </w:rPr>
        <w:t>加强生产设备设施管理、提高生产废气收集效率、喷洒除臭剂等措施减少无组织废气排放，厂界颗粒物排放浓度</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《大气污染物综合排放标准》（GB16297-1996）表2无组织排放监控浓度限值要求，臭气浓度</w:t>
      </w:r>
      <w:r>
        <w:rPr>
          <w:rFonts w:hint="eastAsia" w:eastAsia="仿宋_GB2312" w:cs="Times New Roman"/>
          <w:bCs/>
          <w:color w:val="auto"/>
          <w:kern w:val="2"/>
          <w:sz w:val="32"/>
          <w:szCs w:val="32"/>
          <w:lang w:val="en-US" w:eastAsia="zh-CN" w:bidi="ar-SA"/>
        </w:rPr>
        <w:t>执行</w:t>
      </w:r>
      <w:r>
        <w:rPr>
          <w:rFonts w:hint="eastAsia" w:ascii="Times New Roman" w:hAnsi="Times New Roman" w:eastAsia="仿宋_GB2312" w:cs="Times New Roman"/>
          <w:bCs/>
          <w:color w:val="auto"/>
          <w:kern w:val="2"/>
          <w:sz w:val="32"/>
          <w:szCs w:val="32"/>
          <w:lang w:val="en-US" w:eastAsia="zh-CN" w:bidi="ar-SA"/>
        </w:rPr>
        <w:t>恶臭污染物排放标准》（GB14554-93）表1恶臭污染物厂界标准值。</w:t>
      </w:r>
    </w:p>
    <w:p w14:paraId="3A9950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项目设备清洗废水全部作为液体肥生产用水回用，无工艺废水外排；生活污水排入园区下水管网，最终进入南园区污水处理厂处理。生活污水排放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《污水综合排放标准》（GB8978-1996）中三级标准要求。</w:t>
      </w:r>
    </w:p>
    <w:p w14:paraId="1AC094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废润滑油和废润滑油桶收集后在危废贮存点暂存，定期交由有危险废物处理资质的单位处置。一般固体废物中原料除杂产生少量的秸秆、石子等杂物，拉运至固废填埋场填埋；布袋除尘器收集的粉尘作为原料返回生产装置；布袋除尘器更换下废布袋和收集废包装暂存于一般固废存储区，外售废品回收站。</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val="en-US" w:eastAsia="zh-CN"/>
        </w:rPr>
        <w:t>定期清运至南园区生活垃圾填埋场处理。</w:t>
      </w:r>
    </w:p>
    <w:p w14:paraId="1CE731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对危废贮存点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。对其他区域生产车间和库房</w:t>
      </w:r>
      <w:r>
        <w:rPr>
          <w:rFonts w:hint="default" w:ascii="Times New Roman" w:hAnsi="Times New Roman" w:eastAsia="仿宋_GB2312" w:cs="Times New Roman"/>
          <w:bCs/>
          <w:sz w:val="32"/>
          <w:szCs w:val="32"/>
          <w:lang w:eastAsia="zh-CN"/>
        </w:rPr>
        <w:t>进行</w:t>
      </w:r>
      <w:r>
        <w:rPr>
          <w:rFonts w:hint="eastAsia"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依规办理排污登记</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10</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5"/>
        <w:rPr>
          <w:rFonts w:hint="default" w:ascii="Times New Roman" w:hAnsi="Times New Roman" w:eastAsia="仿宋_GB2312" w:cs="Times New Roman"/>
          <w:sz w:val="28"/>
          <w:szCs w:val="28"/>
        </w:rPr>
      </w:pPr>
    </w:p>
    <w:p w14:paraId="020BBCE1">
      <w:pPr>
        <w:pStyle w:val="5"/>
        <w:rPr>
          <w:rFonts w:hint="default" w:ascii="Times New Roman" w:hAnsi="Times New Roman" w:eastAsia="仿宋_GB2312" w:cs="Times New Roman"/>
          <w:sz w:val="28"/>
          <w:szCs w:val="28"/>
        </w:rPr>
      </w:pPr>
    </w:p>
    <w:p w14:paraId="5BCACCC6">
      <w:pPr>
        <w:pStyle w:val="5"/>
        <w:rPr>
          <w:rFonts w:hint="default" w:ascii="Times New Roman" w:hAnsi="Times New Roman" w:eastAsia="仿宋_GB2312" w:cs="Times New Roman"/>
          <w:sz w:val="28"/>
          <w:szCs w:val="28"/>
        </w:rPr>
      </w:pPr>
    </w:p>
    <w:p w14:paraId="5A584573">
      <w:pPr>
        <w:pStyle w:val="5"/>
        <w:rPr>
          <w:rFonts w:hint="default" w:ascii="Times New Roman" w:hAnsi="Times New Roman" w:eastAsia="仿宋_GB2312" w:cs="Times New Roman"/>
          <w:sz w:val="28"/>
          <w:szCs w:val="28"/>
        </w:rPr>
      </w:pPr>
    </w:p>
    <w:p w14:paraId="514ADFE5">
      <w:pPr>
        <w:pStyle w:val="5"/>
        <w:rPr>
          <w:rFonts w:hint="default" w:ascii="Times New Roman" w:hAnsi="Times New Roman" w:eastAsia="仿宋_GB2312" w:cs="Times New Roman"/>
          <w:sz w:val="28"/>
          <w:szCs w:val="28"/>
        </w:rPr>
      </w:pPr>
    </w:p>
    <w:p w14:paraId="36518375">
      <w:pPr>
        <w:pStyle w:val="5"/>
        <w:rPr>
          <w:rFonts w:hint="default" w:ascii="Times New Roman" w:hAnsi="Times New Roman" w:eastAsia="仿宋_GB2312" w:cs="Times New Roman"/>
          <w:sz w:val="28"/>
          <w:szCs w:val="28"/>
        </w:rPr>
      </w:pPr>
    </w:p>
    <w:p w14:paraId="0973852C">
      <w:pPr>
        <w:pStyle w:val="5"/>
        <w:rPr>
          <w:rFonts w:hint="default" w:ascii="Times New Roman" w:hAnsi="Times New Roman" w:eastAsia="仿宋_GB2312" w:cs="Times New Roman"/>
          <w:sz w:val="28"/>
          <w:szCs w:val="28"/>
        </w:rPr>
      </w:pPr>
    </w:p>
    <w:p w14:paraId="205F0280">
      <w:pPr>
        <w:pStyle w:val="5"/>
        <w:rPr>
          <w:rFonts w:hint="default" w:ascii="Times New Roman" w:hAnsi="Times New Roman" w:eastAsia="仿宋_GB2312" w:cs="Times New Roman"/>
          <w:sz w:val="28"/>
          <w:szCs w:val="28"/>
        </w:rPr>
      </w:pPr>
    </w:p>
    <w:p w14:paraId="5F8C6695">
      <w:pPr>
        <w:pStyle w:val="5"/>
        <w:rPr>
          <w:rFonts w:hint="default" w:ascii="Times New Roman" w:hAnsi="Times New Roman" w:eastAsia="仿宋_GB2312" w:cs="Times New Roman"/>
          <w:sz w:val="28"/>
          <w:szCs w:val="28"/>
        </w:rPr>
      </w:pPr>
    </w:p>
    <w:p w14:paraId="2AA3ECCF">
      <w:pPr>
        <w:pStyle w:val="5"/>
        <w:rPr>
          <w:rFonts w:hint="default" w:ascii="Times New Roman" w:hAnsi="Times New Roman" w:eastAsia="仿宋_GB2312" w:cs="Times New Roman"/>
          <w:sz w:val="28"/>
          <w:szCs w:val="28"/>
        </w:rPr>
      </w:pPr>
    </w:p>
    <w:p w14:paraId="028F9CF3">
      <w:pPr>
        <w:pStyle w:val="5"/>
        <w:rPr>
          <w:rFonts w:hint="default" w:ascii="Times New Roman" w:hAnsi="Times New Roman" w:eastAsia="仿宋_GB2312" w:cs="Times New Roman"/>
          <w:sz w:val="28"/>
          <w:szCs w:val="28"/>
        </w:rPr>
      </w:pPr>
    </w:p>
    <w:p w14:paraId="477112F9">
      <w:pPr>
        <w:pStyle w:val="5"/>
        <w:rPr>
          <w:rFonts w:hint="default" w:ascii="Times New Roman" w:hAnsi="Times New Roman" w:eastAsia="仿宋_GB2312" w:cs="Times New Roman"/>
          <w:sz w:val="28"/>
          <w:szCs w:val="28"/>
        </w:rPr>
      </w:pPr>
    </w:p>
    <w:p w14:paraId="7ED950FE">
      <w:pPr>
        <w:pStyle w:val="5"/>
        <w:rPr>
          <w:rFonts w:hint="default" w:ascii="Times New Roman" w:hAnsi="Times New Roman" w:eastAsia="仿宋_GB2312" w:cs="Times New Roman"/>
          <w:sz w:val="28"/>
          <w:szCs w:val="28"/>
        </w:rPr>
      </w:pPr>
    </w:p>
    <w:p w14:paraId="099CF720">
      <w:pPr>
        <w:pStyle w:val="5"/>
        <w:rPr>
          <w:rFonts w:hint="default" w:ascii="Times New Roman" w:hAnsi="Times New Roman" w:eastAsia="仿宋_GB2312" w:cs="Times New Roman"/>
          <w:sz w:val="28"/>
          <w:szCs w:val="28"/>
        </w:rPr>
      </w:pPr>
    </w:p>
    <w:p w14:paraId="74BCF56A">
      <w:pPr>
        <w:pStyle w:val="5"/>
        <w:rPr>
          <w:rFonts w:hint="default" w:ascii="Times New Roman" w:hAnsi="Times New Roman" w:eastAsia="仿宋_GB2312" w:cs="Times New Roman"/>
          <w:sz w:val="28"/>
          <w:szCs w:val="28"/>
        </w:rPr>
      </w:pPr>
    </w:p>
    <w:p w14:paraId="5647B297">
      <w:pPr>
        <w:pStyle w:val="5"/>
        <w:rPr>
          <w:rFonts w:hint="default" w:ascii="Times New Roman" w:hAnsi="Times New Roman" w:eastAsia="仿宋_GB2312" w:cs="Times New Roman"/>
          <w:sz w:val="28"/>
          <w:szCs w:val="28"/>
        </w:rPr>
      </w:pPr>
    </w:p>
    <w:p w14:paraId="1A2FFA26">
      <w:pPr>
        <w:pStyle w:val="5"/>
        <w:rPr>
          <w:rFonts w:hint="default" w:ascii="Times New Roman" w:hAnsi="Times New Roman" w:eastAsia="仿宋_GB2312" w:cs="Times New Roman"/>
          <w:sz w:val="28"/>
          <w:szCs w:val="28"/>
        </w:rPr>
      </w:pPr>
    </w:p>
    <w:p w14:paraId="1D5FC516">
      <w:pPr>
        <w:pStyle w:val="5"/>
        <w:rPr>
          <w:rFonts w:hint="default" w:ascii="Times New Roman" w:hAnsi="Times New Roman" w:eastAsia="仿宋_GB2312" w:cs="Times New Roman"/>
          <w:sz w:val="28"/>
          <w:szCs w:val="28"/>
        </w:rPr>
      </w:pPr>
    </w:p>
    <w:p w14:paraId="2E0FE7EB">
      <w:pPr>
        <w:pStyle w:val="5"/>
        <w:rPr>
          <w:rFonts w:hint="default" w:ascii="Times New Roman" w:hAnsi="Times New Roman" w:eastAsia="仿宋_GB2312" w:cs="Times New Roman"/>
          <w:sz w:val="28"/>
          <w:szCs w:val="28"/>
        </w:rPr>
      </w:pPr>
    </w:p>
    <w:p w14:paraId="56EE0F86">
      <w:pPr>
        <w:pStyle w:val="5"/>
        <w:rPr>
          <w:rFonts w:hint="default" w:ascii="Times New Roman" w:hAnsi="Times New Roman" w:eastAsia="仿宋_GB2312" w:cs="Times New Roman"/>
          <w:sz w:val="28"/>
          <w:szCs w:val="28"/>
        </w:rPr>
      </w:pPr>
    </w:p>
    <w:p w14:paraId="4CCD0BB2">
      <w:pPr>
        <w:pStyle w:val="5"/>
        <w:rPr>
          <w:rFonts w:hint="default" w:ascii="Times New Roman" w:hAnsi="Times New Roman" w:eastAsia="仿宋_GB2312" w:cs="Times New Roman"/>
          <w:sz w:val="28"/>
          <w:szCs w:val="28"/>
        </w:rPr>
      </w:pPr>
    </w:p>
    <w:p w14:paraId="1450699F">
      <w:pPr>
        <w:pStyle w:val="5"/>
        <w:rPr>
          <w:rFonts w:hint="default" w:ascii="Times New Roman" w:hAnsi="Times New Roman" w:eastAsia="仿宋_GB2312" w:cs="Times New Roman"/>
          <w:sz w:val="28"/>
          <w:szCs w:val="28"/>
        </w:rPr>
      </w:pPr>
    </w:p>
    <w:p w14:paraId="1D92C6CD">
      <w:pPr>
        <w:pStyle w:val="5"/>
        <w:rPr>
          <w:rFonts w:hint="default" w:ascii="Times New Roman" w:hAnsi="Times New Roman" w:eastAsia="仿宋_GB2312" w:cs="Times New Roman"/>
          <w:sz w:val="28"/>
          <w:szCs w:val="28"/>
        </w:rPr>
      </w:pPr>
    </w:p>
    <w:p w14:paraId="1193E2E0">
      <w:pPr>
        <w:pStyle w:val="5"/>
        <w:rPr>
          <w:rFonts w:hint="default" w:ascii="Times New Roman" w:hAnsi="Times New Roman" w:eastAsia="仿宋_GB2312" w:cs="Times New Roman"/>
          <w:sz w:val="28"/>
          <w:szCs w:val="28"/>
        </w:rPr>
      </w:pPr>
    </w:p>
    <w:p w14:paraId="198A7C1B">
      <w:pPr>
        <w:pStyle w:val="5"/>
        <w:rPr>
          <w:rFonts w:hint="default" w:ascii="Times New Roman" w:hAnsi="Times New Roman" w:eastAsia="仿宋_GB2312" w:cs="Times New Roman"/>
          <w:sz w:val="28"/>
          <w:szCs w:val="28"/>
        </w:rPr>
      </w:pPr>
    </w:p>
    <w:p w14:paraId="4A8423B6">
      <w:pPr>
        <w:pStyle w:val="5"/>
        <w:rPr>
          <w:rFonts w:hint="default" w:ascii="Times New Roman" w:hAnsi="Times New Roman" w:eastAsia="仿宋_GB2312" w:cs="Times New Roman"/>
          <w:sz w:val="28"/>
          <w:szCs w:val="28"/>
        </w:rPr>
      </w:pPr>
    </w:p>
    <w:p w14:paraId="20FBCB74">
      <w:pPr>
        <w:pStyle w:val="5"/>
        <w:rPr>
          <w:rFonts w:hint="default" w:ascii="Times New Roman" w:hAnsi="Times New Roman" w:eastAsia="仿宋_GB2312" w:cs="Times New Roman"/>
          <w:sz w:val="28"/>
          <w:szCs w:val="28"/>
        </w:rPr>
      </w:pPr>
      <w:bookmarkStart w:id="1" w:name="_GoBack"/>
      <w:bookmarkEnd w:id="1"/>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42AA9"/>
    <w:rsid w:val="01B110AA"/>
    <w:rsid w:val="025F2F6C"/>
    <w:rsid w:val="03E07A24"/>
    <w:rsid w:val="0402172C"/>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3222B5F"/>
    <w:rsid w:val="1367781A"/>
    <w:rsid w:val="13B33653"/>
    <w:rsid w:val="15E46F00"/>
    <w:rsid w:val="186A24B8"/>
    <w:rsid w:val="19A61553"/>
    <w:rsid w:val="19DB4ABE"/>
    <w:rsid w:val="1ABC044C"/>
    <w:rsid w:val="1B0342CC"/>
    <w:rsid w:val="1C444C69"/>
    <w:rsid w:val="1CB3762C"/>
    <w:rsid w:val="1D4B3D09"/>
    <w:rsid w:val="1E1F706C"/>
    <w:rsid w:val="1E222CBC"/>
    <w:rsid w:val="1F0C482E"/>
    <w:rsid w:val="1F6410B2"/>
    <w:rsid w:val="1F792DAF"/>
    <w:rsid w:val="1FDB0D9E"/>
    <w:rsid w:val="20735A50"/>
    <w:rsid w:val="2177331E"/>
    <w:rsid w:val="21A1039B"/>
    <w:rsid w:val="2322550C"/>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C91FA2"/>
    <w:rsid w:val="380D6520"/>
    <w:rsid w:val="389B146D"/>
    <w:rsid w:val="390336C5"/>
    <w:rsid w:val="39586DFD"/>
    <w:rsid w:val="3B2F60F7"/>
    <w:rsid w:val="3B901665"/>
    <w:rsid w:val="3E3F2FBE"/>
    <w:rsid w:val="3E4203B8"/>
    <w:rsid w:val="3E5263F1"/>
    <w:rsid w:val="3E8F41EC"/>
    <w:rsid w:val="3ED656D0"/>
    <w:rsid w:val="406B063D"/>
    <w:rsid w:val="41E12475"/>
    <w:rsid w:val="41F36599"/>
    <w:rsid w:val="425C5EED"/>
    <w:rsid w:val="42DD244B"/>
    <w:rsid w:val="4475215D"/>
    <w:rsid w:val="44AC37CB"/>
    <w:rsid w:val="465316EE"/>
    <w:rsid w:val="46C2653A"/>
    <w:rsid w:val="46CD5F17"/>
    <w:rsid w:val="46F76C15"/>
    <w:rsid w:val="47446A78"/>
    <w:rsid w:val="47623535"/>
    <w:rsid w:val="4B4732F2"/>
    <w:rsid w:val="4B9E0BAE"/>
    <w:rsid w:val="4BE111CF"/>
    <w:rsid w:val="4C0B697F"/>
    <w:rsid w:val="4D3248D1"/>
    <w:rsid w:val="4DF46F02"/>
    <w:rsid w:val="4E073314"/>
    <w:rsid w:val="4E1C7BCA"/>
    <w:rsid w:val="4E23273D"/>
    <w:rsid w:val="4E2A19FE"/>
    <w:rsid w:val="4E8B592A"/>
    <w:rsid w:val="4EC05A55"/>
    <w:rsid w:val="5144471C"/>
    <w:rsid w:val="51CA44D0"/>
    <w:rsid w:val="52016A0C"/>
    <w:rsid w:val="521E31BF"/>
    <w:rsid w:val="52EF6909"/>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0EA6962"/>
    <w:rsid w:val="6109328C"/>
    <w:rsid w:val="612B239E"/>
    <w:rsid w:val="623C143F"/>
    <w:rsid w:val="62A019CE"/>
    <w:rsid w:val="62E3579C"/>
    <w:rsid w:val="639037F0"/>
    <w:rsid w:val="644952F5"/>
    <w:rsid w:val="6703077D"/>
    <w:rsid w:val="679C6136"/>
    <w:rsid w:val="68152516"/>
    <w:rsid w:val="698B1E19"/>
    <w:rsid w:val="69931944"/>
    <w:rsid w:val="6CC3509F"/>
    <w:rsid w:val="6F2512C7"/>
    <w:rsid w:val="6F4158DC"/>
    <w:rsid w:val="708446DD"/>
    <w:rsid w:val="7375588F"/>
    <w:rsid w:val="73E5637C"/>
    <w:rsid w:val="75006CB2"/>
    <w:rsid w:val="7516167C"/>
    <w:rsid w:val="75446240"/>
    <w:rsid w:val="757A1C0A"/>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beforeLines="50" w:afterLines="50"/>
      <w:ind w:firstLine="420" w:firstLineChars="200"/>
      <w:jc w:val="both"/>
    </w:pPr>
  </w:style>
  <w:style w:type="paragraph" w:styleId="3">
    <w:name w:val="Body Text Indent"/>
    <w:basedOn w:val="1"/>
    <w:qFormat/>
    <w:uiPriority w:val="0"/>
    <w:pPr>
      <w:widowControl/>
      <w:spacing w:after="120" w:line="560" w:lineRule="exact"/>
      <w:ind w:left="420" w:leftChars="200" w:firstLine="200" w:firstLineChars="200"/>
    </w:pPr>
    <w:rPr>
      <w:rFonts w:ascii="Times New Roman" w:hAnsi="Times New Roman" w:eastAsia="宋体"/>
      <w:sz w:val="21"/>
      <w:szCs w:val="24"/>
    </w:rPr>
  </w:style>
  <w:style w:type="paragraph" w:styleId="4">
    <w:name w:val="index 5"/>
    <w:basedOn w:val="1"/>
    <w:next w:val="1"/>
    <w:qFormat/>
    <w:uiPriority w:val="0"/>
    <w:pPr>
      <w:ind w:left="800" w:leftChars="800"/>
    </w:pPr>
  </w:style>
  <w:style w:type="paragraph" w:styleId="5">
    <w:name w:val="Body Text"/>
    <w:basedOn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6">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2461</Words>
  <Characters>2638</Characters>
  <Lines>0</Lines>
  <Paragraphs>0</Paragraphs>
  <TotalTime>1</TotalTime>
  <ScaleCrop>false</ScaleCrop>
  <LinksUpToDate>false</LinksUpToDate>
  <CharactersWithSpaces>2688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2026-06-01T08:06:00Z</cp:lastPrinted>
  <dcterms:modified xsi:type="dcterms:W3CDTF">2026-06-08T05:05:52Z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650573438E9A40919ECA42C5EE30FAB9_13</vt:lpwstr>
  </property>
  <property fmtid="{D5CDD505-2E9C-101B-9397-08002B2CF9AE}" pid="4" name="KSOTemplateDocerSaveRecord">
    <vt:lpwstr>eyJoZGlkIjoiOTM4ZGE5MjAwOTRjNzE3YmI3NzllODlkMzQzMmYzMzgiLCJ1c2VySWQiOiIzNjMzMTU4MzUifQ==</vt:lpwstr>
  </property>
</Properties>
</file>