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9C95F">
      <w:pPr>
        <w:spacing w:before="305" w:line="185" w:lineRule="auto"/>
        <w:ind w:left="216"/>
        <w:rPr>
          <w:rFonts w:ascii="微软雅黑" w:hAnsi="微软雅黑" w:eastAsia="微软雅黑" w:cs="微软雅黑"/>
          <w:spacing w:val="9"/>
          <w:sz w:val="71"/>
          <w:szCs w:val="71"/>
        </w:rPr>
      </w:pPr>
    </w:p>
    <w:p w14:paraId="296BF727">
      <w:pPr>
        <w:bidi w:val="0"/>
      </w:pPr>
    </w:p>
    <w:p w14:paraId="5584D563">
      <w:pPr>
        <w:bidi w:val="0"/>
      </w:pPr>
    </w:p>
    <w:p w14:paraId="3E9EC04C">
      <w:pPr>
        <w:keepNext w:val="0"/>
        <w:keepLines w:val="0"/>
        <w:pageBreakBefore w:val="0"/>
        <w:widowControl/>
        <w:kinsoku w:val="0"/>
        <w:wordWrap/>
        <w:overflowPunct/>
        <w:topLinePunct w:val="0"/>
        <w:autoSpaceDE w:val="0"/>
        <w:autoSpaceDN w:val="0"/>
        <w:bidi w:val="0"/>
        <w:adjustRightInd w:val="0"/>
        <w:snapToGrid w:val="0"/>
        <w:spacing w:line="185" w:lineRule="auto"/>
        <w:ind w:left="0" w:leftChars="0" w:right="0" w:rightChars="0" w:firstLine="0" w:firstLineChars="0"/>
        <w:jc w:val="center"/>
        <w:textAlignment w:val="baseline"/>
        <w:rPr>
          <w:rFonts w:ascii="微软雅黑" w:hAnsi="微软雅黑" w:eastAsia="微软雅黑" w:cs="微软雅黑"/>
          <w:sz w:val="71"/>
          <w:szCs w:val="71"/>
        </w:rPr>
      </w:pPr>
      <w:r>
        <w:rPr>
          <w:rFonts w:ascii="微软雅黑" w:hAnsi="微软雅黑" w:eastAsia="微软雅黑" w:cs="微软雅黑"/>
          <w:spacing w:val="9"/>
          <w:sz w:val="71"/>
          <w:szCs w:val="71"/>
        </w:rPr>
        <w:t>建设项目环境影响报告表</w:t>
      </w:r>
    </w:p>
    <w:p w14:paraId="446E2A7D">
      <w:pPr>
        <w:keepNext w:val="0"/>
        <w:keepLines w:val="0"/>
        <w:pageBreakBefore w:val="0"/>
        <w:widowControl/>
        <w:kinsoku w:val="0"/>
        <w:wordWrap/>
        <w:overflowPunct/>
        <w:topLinePunct w:val="0"/>
        <w:autoSpaceDE w:val="0"/>
        <w:autoSpaceDN w:val="0"/>
        <w:bidi w:val="0"/>
        <w:adjustRightInd w:val="0"/>
        <w:snapToGrid w:val="0"/>
        <w:spacing w:line="227" w:lineRule="auto"/>
        <w:ind w:left="0" w:leftChars="0" w:right="0" w:rightChars="0" w:firstLine="0" w:firstLineChars="0"/>
        <w:jc w:val="center"/>
        <w:textAlignment w:val="baseline"/>
        <w:rPr>
          <w:rFonts w:ascii="楷体" w:hAnsi="楷体" w:eastAsia="楷体" w:cs="楷体"/>
          <w:sz w:val="47"/>
          <w:szCs w:val="47"/>
        </w:rPr>
      </w:pPr>
    </w:p>
    <w:p w14:paraId="3FA274FE">
      <w:pPr>
        <w:keepNext w:val="0"/>
        <w:keepLines w:val="0"/>
        <w:pageBreakBefore w:val="0"/>
        <w:widowControl/>
        <w:kinsoku w:val="0"/>
        <w:wordWrap/>
        <w:overflowPunct/>
        <w:topLinePunct w:val="0"/>
        <w:autoSpaceDE w:val="0"/>
        <w:autoSpaceDN w:val="0"/>
        <w:bidi w:val="0"/>
        <w:adjustRightInd w:val="0"/>
        <w:snapToGrid w:val="0"/>
        <w:spacing w:line="227" w:lineRule="auto"/>
        <w:ind w:left="0" w:leftChars="0" w:right="0" w:rightChars="0" w:firstLine="0" w:firstLineChars="0"/>
        <w:jc w:val="center"/>
        <w:textAlignment w:val="baseline"/>
        <w:rPr>
          <w:rFonts w:ascii="楷体" w:hAnsi="楷体" w:eastAsia="楷体" w:cs="楷体"/>
          <w:sz w:val="47"/>
          <w:szCs w:val="47"/>
        </w:rPr>
      </w:pPr>
      <w:r>
        <w:rPr>
          <w:rFonts w:ascii="楷体" w:hAnsi="楷体" w:eastAsia="楷体" w:cs="楷体"/>
          <w:sz w:val="47"/>
          <w:szCs w:val="47"/>
        </w:rPr>
        <w:t>（污染影响类）</w:t>
      </w:r>
    </w:p>
    <w:p w14:paraId="52A89906">
      <w:pPr>
        <w:keepNext w:val="0"/>
        <w:keepLines w:val="0"/>
        <w:pageBreakBefore w:val="0"/>
        <w:widowControl/>
        <w:kinsoku w:val="0"/>
        <w:wordWrap/>
        <w:overflowPunct/>
        <w:topLinePunct w:val="0"/>
        <w:autoSpaceDE w:val="0"/>
        <w:autoSpaceDN w:val="0"/>
        <w:bidi w:val="0"/>
        <w:adjustRightInd w:val="0"/>
        <w:snapToGrid w:val="0"/>
        <w:spacing w:line="244" w:lineRule="auto"/>
        <w:ind w:left="0" w:leftChars="0" w:right="0" w:rightChars="0" w:firstLine="0" w:firstLineChars="0"/>
        <w:jc w:val="center"/>
        <w:textAlignment w:val="baseline"/>
      </w:pPr>
    </w:p>
    <w:p w14:paraId="1456C30D">
      <w:pPr>
        <w:keepNext w:val="0"/>
        <w:keepLines w:val="0"/>
        <w:pageBreakBefore w:val="0"/>
        <w:widowControl/>
        <w:kinsoku w:val="0"/>
        <w:wordWrap/>
        <w:overflowPunct/>
        <w:topLinePunct w:val="0"/>
        <w:autoSpaceDE w:val="0"/>
        <w:autoSpaceDN w:val="0"/>
        <w:bidi w:val="0"/>
        <w:adjustRightInd w:val="0"/>
        <w:snapToGrid w:val="0"/>
        <w:spacing w:line="244" w:lineRule="auto"/>
        <w:ind w:left="0" w:leftChars="0" w:right="0" w:rightChars="0" w:firstLine="0" w:firstLineChars="0"/>
        <w:jc w:val="center"/>
        <w:textAlignment w:val="baseline"/>
      </w:pPr>
    </w:p>
    <w:p w14:paraId="440D2881">
      <w:pPr>
        <w:keepNext w:val="0"/>
        <w:keepLines w:val="0"/>
        <w:pageBreakBefore w:val="0"/>
        <w:widowControl/>
        <w:kinsoku w:val="0"/>
        <w:wordWrap/>
        <w:overflowPunct/>
        <w:topLinePunct w:val="0"/>
        <w:autoSpaceDE w:val="0"/>
        <w:autoSpaceDN w:val="0"/>
        <w:bidi w:val="0"/>
        <w:adjustRightInd w:val="0"/>
        <w:snapToGrid w:val="0"/>
        <w:spacing w:line="244" w:lineRule="auto"/>
        <w:ind w:left="0" w:leftChars="0" w:right="0" w:rightChars="0" w:firstLine="0" w:firstLineChars="0"/>
        <w:jc w:val="center"/>
        <w:textAlignment w:val="baseline"/>
      </w:pPr>
    </w:p>
    <w:p w14:paraId="24FAA5D9">
      <w:pPr>
        <w:keepNext w:val="0"/>
        <w:keepLines w:val="0"/>
        <w:pageBreakBefore w:val="0"/>
        <w:widowControl/>
        <w:kinsoku w:val="0"/>
        <w:wordWrap/>
        <w:overflowPunct/>
        <w:topLinePunct w:val="0"/>
        <w:autoSpaceDE w:val="0"/>
        <w:autoSpaceDN w:val="0"/>
        <w:bidi w:val="0"/>
        <w:adjustRightInd w:val="0"/>
        <w:snapToGrid w:val="0"/>
        <w:spacing w:line="244" w:lineRule="auto"/>
        <w:ind w:left="0" w:leftChars="0" w:right="0" w:rightChars="0" w:firstLine="0" w:firstLineChars="0"/>
        <w:jc w:val="center"/>
        <w:textAlignment w:val="baseline"/>
      </w:pPr>
    </w:p>
    <w:p w14:paraId="5EF5B2B7">
      <w:pPr>
        <w:keepNext w:val="0"/>
        <w:keepLines w:val="0"/>
        <w:pageBreakBefore w:val="0"/>
        <w:widowControl/>
        <w:kinsoku w:val="0"/>
        <w:wordWrap/>
        <w:overflowPunct/>
        <w:topLinePunct w:val="0"/>
        <w:autoSpaceDE w:val="0"/>
        <w:autoSpaceDN w:val="0"/>
        <w:bidi w:val="0"/>
        <w:adjustRightInd w:val="0"/>
        <w:snapToGrid w:val="0"/>
        <w:spacing w:line="244" w:lineRule="auto"/>
        <w:ind w:left="0" w:leftChars="0" w:right="0" w:rightChars="0" w:firstLine="0" w:firstLineChars="0"/>
        <w:jc w:val="center"/>
        <w:textAlignment w:val="baseline"/>
      </w:pPr>
    </w:p>
    <w:p w14:paraId="573346D9">
      <w:pPr>
        <w:keepNext w:val="0"/>
        <w:keepLines w:val="0"/>
        <w:pageBreakBefore w:val="0"/>
        <w:widowControl/>
        <w:kinsoku w:val="0"/>
        <w:wordWrap/>
        <w:overflowPunct/>
        <w:topLinePunct w:val="0"/>
        <w:autoSpaceDE w:val="0"/>
        <w:autoSpaceDN w:val="0"/>
        <w:bidi w:val="0"/>
        <w:adjustRightInd w:val="0"/>
        <w:snapToGrid w:val="0"/>
        <w:spacing w:line="244" w:lineRule="auto"/>
        <w:ind w:left="0" w:leftChars="0" w:right="0" w:rightChars="0" w:firstLine="0" w:firstLineChars="0"/>
        <w:jc w:val="center"/>
        <w:textAlignment w:val="baseline"/>
      </w:pPr>
    </w:p>
    <w:p w14:paraId="1413183F">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jc w:val="center"/>
        <w:textAlignment w:val="baseline"/>
      </w:pPr>
    </w:p>
    <w:p w14:paraId="4AAAE506">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jc w:val="center"/>
        <w:textAlignment w:val="baseline"/>
      </w:pPr>
    </w:p>
    <w:p w14:paraId="68C4F2E1">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4A2B9E10">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1E7E8D5E">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49366816">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76C22E9B">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0CB609AA">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0273FD13">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4E252FBD">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283D0BEE">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31DFBFFF">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firstLine="0" w:firstLineChars="0"/>
        <w:textAlignment w:val="baseline"/>
      </w:pPr>
    </w:p>
    <w:p w14:paraId="4BE1F88D">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250" w:right="0" w:rightChars="0" w:hanging="1500" w:hangingChars="500"/>
        <w:jc w:val="left"/>
        <w:textAlignment w:val="baseline"/>
        <w:rPr>
          <w:rFonts w:hint="default" w:ascii="Times New Roman" w:hAnsi="Times New Roman" w:eastAsia="宋体" w:cs="Times New Roman"/>
          <w:spacing w:val="0"/>
          <w:sz w:val="30"/>
          <w:szCs w:val="30"/>
          <w:u w:val="single"/>
          <w:lang w:val="en-US" w:eastAsia="zh-CN"/>
        </w:rPr>
      </w:pPr>
      <w:r>
        <w:rPr>
          <w:rFonts w:ascii="Times New Roman" w:hAnsi="Times New Roman" w:eastAsia="宋体" w:cs="Times New Roman"/>
          <w:spacing w:val="0"/>
          <w:sz w:val="30"/>
          <w:szCs w:val="30"/>
        </w:rPr>
        <w:t>项目名称：</w:t>
      </w:r>
      <w:r>
        <w:rPr>
          <w:rFonts w:hint="eastAsia" w:ascii="Times New Roman" w:hAnsi="Times New Roman" w:eastAsia="宋体" w:cs="Times New Roman"/>
          <w:spacing w:val="0"/>
          <w:sz w:val="30"/>
          <w:szCs w:val="30"/>
          <w:u w:val="single"/>
        </w:rPr>
        <w:t>新疆久塔锦晨生物科技股份有限公司盐酸储罐扩容项目</w:t>
      </w:r>
      <w:r>
        <w:rPr>
          <w:rFonts w:hint="eastAsia" w:cs="Times New Roman"/>
          <w:spacing w:val="0"/>
          <w:sz w:val="30"/>
          <w:szCs w:val="30"/>
          <w:u w:val="single"/>
          <w:lang w:val="en-US" w:eastAsia="zh-CN"/>
        </w:rPr>
        <w:t xml:space="preserve">                                   </w:t>
      </w:r>
    </w:p>
    <w:p w14:paraId="7BC63B8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hint="default" w:ascii="Times New Roman" w:hAnsi="Times New Roman" w:eastAsia="宋体" w:cs="Times New Roman"/>
          <w:spacing w:val="0"/>
          <w:sz w:val="30"/>
          <w:szCs w:val="30"/>
          <w:u w:val="single" w:color="auto"/>
          <w:lang w:val="en-US" w:eastAsia="zh-CN"/>
        </w:rPr>
      </w:pPr>
      <w:r>
        <w:rPr>
          <w:rFonts w:ascii="Times New Roman" w:hAnsi="Times New Roman" w:eastAsia="宋体" w:cs="Times New Roman"/>
          <w:spacing w:val="0"/>
          <w:sz w:val="30"/>
          <w:szCs w:val="30"/>
        </w:rPr>
        <w:t>建设单位：</w:t>
      </w:r>
      <w:r>
        <w:rPr>
          <w:rFonts w:hint="eastAsia" w:ascii="Times New Roman" w:hAnsi="Times New Roman" w:eastAsia="宋体" w:cs="Times New Roman"/>
          <w:spacing w:val="0"/>
          <w:sz w:val="30"/>
          <w:szCs w:val="30"/>
          <w:u w:val="single"/>
          <w:lang w:val="en-US" w:eastAsia="zh-CN"/>
        </w:rPr>
        <w:t>乌鲁木齐恒达蓝天环保科技有限公司</w:t>
      </w:r>
      <w:r>
        <w:rPr>
          <w:rFonts w:hint="eastAsia" w:cs="Times New Roman"/>
          <w:spacing w:val="0"/>
          <w:sz w:val="30"/>
          <w:szCs w:val="30"/>
          <w:u w:val="single"/>
          <w:lang w:val="en-US" w:eastAsia="zh-CN"/>
        </w:rPr>
        <w:t xml:space="preserve">         </w:t>
      </w:r>
    </w:p>
    <w:p w14:paraId="392512F7">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Times New Roman" w:hAnsi="Times New Roman" w:eastAsia="宋体" w:cs="Times New Roman"/>
          <w:spacing w:val="0"/>
          <w:sz w:val="30"/>
          <w:szCs w:val="30"/>
        </w:rPr>
      </w:pPr>
      <w:r>
        <w:rPr>
          <w:rFonts w:ascii="Times New Roman" w:hAnsi="Times New Roman" w:eastAsia="宋体" w:cs="Times New Roman"/>
          <w:spacing w:val="0"/>
          <w:sz w:val="30"/>
          <w:szCs w:val="30"/>
        </w:rPr>
        <w:t>编制日期</w:t>
      </w:r>
      <w:r>
        <w:rPr>
          <w:rFonts w:hint="eastAsia" w:cs="Times New Roman"/>
          <w:spacing w:val="0"/>
          <w:sz w:val="30"/>
          <w:szCs w:val="30"/>
          <w:lang w:eastAsia="zh-CN"/>
        </w:rPr>
        <w:t>：</w:t>
      </w:r>
      <w:r>
        <w:rPr>
          <w:rFonts w:ascii="Times New Roman" w:hAnsi="Times New Roman" w:eastAsia="宋体" w:cs="Times New Roman"/>
          <w:spacing w:val="0"/>
          <w:sz w:val="30"/>
          <w:szCs w:val="30"/>
          <w:u w:val="single" w:color="auto"/>
        </w:rPr>
        <w:t xml:space="preserve">       202</w:t>
      </w:r>
      <w:r>
        <w:rPr>
          <w:rFonts w:hint="eastAsia" w:ascii="Times New Roman" w:hAnsi="Times New Roman" w:eastAsia="宋体" w:cs="Times New Roman"/>
          <w:spacing w:val="0"/>
          <w:sz w:val="30"/>
          <w:szCs w:val="30"/>
          <w:u w:val="single" w:color="auto"/>
          <w:lang w:val="en-US" w:eastAsia="zh-CN"/>
        </w:rPr>
        <w:t>6</w:t>
      </w:r>
      <w:r>
        <w:rPr>
          <w:rFonts w:ascii="Times New Roman" w:hAnsi="Times New Roman" w:eastAsia="宋体" w:cs="Times New Roman"/>
          <w:spacing w:val="0"/>
          <w:sz w:val="30"/>
          <w:szCs w:val="30"/>
          <w:u w:val="single" w:color="auto"/>
        </w:rPr>
        <w:t>年</w:t>
      </w:r>
      <w:r>
        <w:rPr>
          <w:rFonts w:hint="eastAsia" w:cs="Times New Roman"/>
          <w:spacing w:val="0"/>
          <w:sz w:val="30"/>
          <w:szCs w:val="30"/>
          <w:u w:val="single" w:color="auto"/>
          <w:lang w:val="en-US" w:eastAsia="zh-CN"/>
        </w:rPr>
        <w:t>6</w:t>
      </w:r>
      <w:r>
        <w:rPr>
          <w:rFonts w:ascii="Times New Roman" w:hAnsi="Times New Roman" w:eastAsia="宋体" w:cs="Times New Roman"/>
          <w:spacing w:val="0"/>
          <w:sz w:val="30"/>
          <w:szCs w:val="30"/>
          <w:u w:val="single" w:color="auto"/>
        </w:rPr>
        <w:t xml:space="preserve">月           </w:t>
      </w:r>
      <w:r>
        <w:rPr>
          <w:rFonts w:hint="eastAsia" w:cs="Times New Roman"/>
          <w:spacing w:val="0"/>
          <w:sz w:val="30"/>
          <w:szCs w:val="30"/>
          <w:u w:val="single" w:color="auto"/>
          <w:lang w:val="en-US" w:eastAsia="zh-CN"/>
        </w:rPr>
        <w:t xml:space="preserve">             </w:t>
      </w:r>
      <w:r>
        <w:rPr>
          <w:rFonts w:ascii="Times New Roman" w:hAnsi="Times New Roman" w:eastAsia="宋体" w:cs="Times New Roman"/>
          <w:spacing w:val="0"/>
          <w:sz w:val="30"/>
          <w:szCs w:val="30"/>
          <w:u w:val="single" w:color="auto"/>
        </w:rPr>
        <w:t xml:space="preserve"> </w:t>
      </w:r>
    </w:p>
    <w:p w14:paraId="11896E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pPr>
    </w:p>
    <w:p w14:paraId="787C4A1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pacing w:val="5"/>
          <w:sz w:val="35"/>
          <w:szCs w:val="35"/>
        </w:rPr>
      </w:pPr>
    </w:p>
    <w:p w14:paraId="12526EB7">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pacing w:val="5"/>
          <w:sz w:val="35"/>
          <w:szCs w:val="35"/>
        </w:rPr>
      </w:pPr>
      <w:r>
        <w:rPr>
          <w:rFonts w:ascii="楷体" w:hAnsi="楷体" w:eastAsia="楷体" w:cs="楷体"/>
          <w:spacing w:val="5"/>
          <w:sz w:val="35"/>
          <w:szCs w:val="35"/>
        </w:rPr>
        <w:t>中华人民共和国生态环境部制</w:t>
      </w:r>
    </w:p>
    <w:p w14:paraId="2825DDB7">
      <w:pPr>
        <w:pStyle w:val="2"/>
        <w:bidi w:val="0"/>
        <w:rPr>
          <w:rFonts w:hint="default"/>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3845BB">
      <w:pPr>
        <w:pStyle w:val="2"/>
        <w:bidi w:val="0"/>
        <w:rPr>
          <w:rFonts w:hint="default"/>
        </w:rPr>
      </w:pPr>
      <w:bookmarkStart w:id="5" w:name="_GoBack"/>
      <w:bookmarkEnd w:id="5"/>
      <w:r>
        <w:rPr>
          <w:rFonts w:hint="default"/>
        </w:rPr>
        <w:t>一、建设项目基本情况</w:t>
      </w:r>
    </w:p>
    <w:tbl>
      <w:tblPr>
        <w:tblStyle w:val="11"/>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33"/>
        <w:gridCol w:w="3109"/>
        <w:gridCol w:w="1385"/>
        <w:gridCol w:w="2685"/>
      </w:tblGrid>
      <w:tr w14:paraId="5FDF4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22A0DD4A">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建设项目名称</w:t>
            </w:r>
          </w:p>
        </w:tc>
        <w:tc>
          <w:tcPr>
            <w:tcW w:w="4318" w:type="pct"/>
            <w:gridSpan w:val="3"/>
            <w:noWrap w:val="0"/>
            <w:vAlign w:val="center"/>
          </w:tcPr>
          <w:p w14:paraId="6DD49912">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rPr>
            </w:pPr>
            <w:r>
              <w:rPr>
                <w:rFonts w:hint="default" w:ascii="Times New Roman" w:hAnsi="Times New Roman" w:eastAsia="华文中宋" w:cs="Times New Roman"/>
                <w:color w:val="auto"/>
                <w:highlight w:val="none"/>
                <w:lang w:val="en-US"/>
              </w:rPr>
              <w:t>新疆久塔锦晨生物科技股份有限公司盐酸储罐扩容项目</w:t>
            </w:r>
          </w:p>
        </w:tc>
      </w:tr>
      <w:tr w14:paraId="219E6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4D1FCF7B">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项目代码</w:t>
            </w:r>
          </w:p>
        </w:tc>
        <w:tc>
          <w:tcPr>
            <w:tcW w:w="4318" w:type="pct"/>
            <w:gridSpan w:val="3"/>
            <w:noWrap w:val="0"/>
            <w:vAlign w:val="center"/>
          </w:tcPr>
          <w:p w14:paraId="3B77D34D">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cs="Times New Roman"/>
                <w:color w:val="auto"/>
                <w:highlight w:val="none"/>
                <w:lang w:val="en-US" w:eastAsia="zh-CN"/>
              </w:rPr>
              <w:t>2604-660791-04-01-420053</w:t>
            </w:r>
          </w:p>
        </w:tc>
      </w:tr>
      <w:tr w14:paraId="2E66E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5996833D">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建设单位联系人</w:t>
            </w:r>
          </w:p>
        </w:tc>
        <w:tc>
          <w:tcPr>
            <w:tcW w:w="1870" w:type="pct"/>
            <w:noWrap w:val="0"/>
            <w:vAlign w:val="center"/>
          </w:tcPr>
          <w:p w14:paraId="00F8F8E9">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ascii="Times New Roman" w:hAnsi="Times New Roman" w:eastAsia="华文中宋" w:cs="Times New Roman"/>
                <w:color w:val="auto"/>
                <w:highlight w:val="none"/>
                <w:lang w:val="en-US" w:eastAsia="zh-CN"/>
              </w:rPr>
              <w:t>王长胜</w:t>
            </w:r>
          </w:p>
        </w:tc>
        <w:tc>
          <w:tcPr>
            <w:tcW w:w="833" w:type="pct"/>
            <w:noWrap w:val="0"/>
            <w:vAlign w:val="center"/>
          </w:tcPr>
          <w:p w14:paraId="202F885F">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联系方式</w:t>
            </w:r>
          </w:p>
        </w:tc>
        <w:tc>
          <w:tcPr>
            <w:tcW w:w="1615" w:type="pct"/>
            <w:noWrap w:val="0"/>
            <w:vAlign w:val="center"/>
          </w:tcPr>
          <w:p w14:paraId="0E88550E">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cs="Times New Roman"/>
                <w:color w:val="auto"/>
                <w:highlight w:val="none"/>
                <w:lang w:val="en-US" w:eastAsia="zh-CN"/>
              </w:rPr>
              <w:t>13766088109</w:t>
            </w:r>
          </w:p>
        </w:tc>
      </w:tr>
      <w:tr w14:paraId="48026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6430B145">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建设地点</w:t>
            </w:r>
          </w:p>
        </w:tc>
        <w:tc>
          <w:tcPr>
            <w:tcW w:w="4318" w:type="pct"/>
            <w:gridSpan w:val="3"/>
            <w:noWrap w:val="0"/>
            <w:vAlign w:val="center"/>
          </w:tcPr>
          <w:p w14:paraId="257ABDDE">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default" w:ascii="Times New Roman" w:hAnsi="Times New Roman" w:eastAsia="华文中宋" w:cs="Times New Roman"/>
                <w:color w:val="auto"/>
                <w:highlight w:val="none"/>
                <w:lang w:val="en-US" w:eastAsia="zh-CN"/>
              </w:rPr>
              <w:t>新疆生产建设兵团第七师胡杨河市胡杨河经济技术开发区车排子路002号</w:t>
            </w:r>
          </w:p>
        </w:tc>
      </w:tr>
      <w:tr w14:paraId="6AAB8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4404CEFF">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地理坐标</w:t>
            </w:r>
          </w:p>
        </w:tc>
        <w:tc>
          <w:tcPr>
            <w:tcW w:w="4318" w:type="pct"/>
            <w:gridSpan w:val="3"/>
            <w:noWrap w:val="0"/>
            <w:vAlign w:val="center"/>
          </w:tcPr>
          <w:p w14:paraId="5563801D">
            <w:pPr>
              <w:keepNext w:val="0"/>
              <w:keepLines/>
              <w:pageBreakBefore w:val="0"/>
              <w:kinsoku/>
              <w:overflowPunct/>
              <w:autoSpaceDE/>
              <w:autoSpaceDN/>
              <w:bidi w:val="0"/>
              <w:spacing w:line="240" w:lineRule="auto"/>
              <w:ind w:firstLine="0" w:firstLineChars="0"/>
              <w:jc w:val="center"/>
              <w:rPr>
                <w:rFonts w:hint="default"/>
                <w:color w:val="auto"/>
              </w:rPr>
            </w:pPr>
            <w:r>
              <w:rPr>
                <w:rFonts w:hint="default" w:ascii="Times New Roman" w:hAnsi="Times New Roman" w:eastAsia="华文中宋" w:cs="Times New Roman"/>
                <w:color w:val="auto"/>
                <w:highlight w:val="none"/>
              </w:rPr>
              <w:t>（</w:t>
            </w:r>
            <w:r>
              <w:rPr>
                <w:rFonts w:hint="default" w:ascii="Times New Roman" w:hAnsi="Times New Roman" w:eastAsia="华文中宋" w:cs="Times New Roman"/>
                <w:color w:val="auto"/>
                <w:highlight w:val="none"/>
                <w:lang w:val="en-US" w:eastAsia="zh-CN"/>
              </w:rPr>
              <w:t>东经：</w:t>
            </w:r>
            <w:r>
              <w:rPr>
                <w:rFonts w:hint="default"/>
                <w:color w:val="auto"/>
                <w:lang w:val="en-US" w:eastAsia="zh-CN"/>
              </w:rPr>
              <w:t>84°52'44.41"</w:t>
            </w:r>
            <w:r>
              <w:rPr>
                <w:rFonts w:hint="default" w:ascii="Times New Roman" w:hAnsi="Times New Roman" w:eastAsia="华文中宋" w:cs="Times New Roman"/>
                <w:color w:val="auto"/>
                <w:highlight w:val="none"/>
              </w:rPr>
              <w:t>，</w:t>
            </w:r>
            <w:r>
              <w:rPr>
                <w:rFonts w:hint="default" w:ascii="Times New Roman" w:hAnsi="Times New Roman" w:eastAsia="华文中宋" w:cs="Times New Roman"/>
                <w:color w:val="auto"/>
                <w:highlight w:val="none"/>
                <w:lang w:val="en-US" w:eastAsia="zh-CN"/>
              </w:rPr>
              <w:t>北纬：</w:t>
            </w:r>
            <w:r>
              <w:rPr>
                <w:rFonts w:hint="default"/>
                <w:color w:val="auto"/>
                <w:lang w:val="en-US" w:eastAsia="zh-CN"/>
              </w:rPr>
              <w:t>44°50'40.26"</w:t>
            </w:r>
            <w:r>
              <w:rPr>
                <w:rFonts w:hint="default" w:ascii="Times New Roman" w:hAnsi="Times New Roman" w:eastAsia="华文中宋" w:cs="Times New Roman"/>
                <w:color w:val="auto"/>
                <w:highlight w:val="none"/>
              </w:rPr>
              <w:t>）</w:t>
            </w:r>
          </w:p>
        </w:tc>
      </w:tr>
      <w:tr w14:paraId="713C8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3F16B233">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国民经济</w:t>
            </w:r>
          </w:p>
          <w:p w14:paraId="67D7EDA3">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行业类别</w:t>
            </w:r>
          </w:p>
        </w:tc>
        <w:tc>
          <w:tcPr>
            <w:tcW w:w="1870" w:type="pct"/>
            <w:noWrap w:val="0"/>
            <w:vAlign w:val="center"/>
          </w:tcPr>
          <w:p w14:paraId="0C5A7227">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G5942 危险化学品仓储</w:t>
            </w:r>
          </w:p>
        </w:tc>
        <w:tc>
          <w:tcPr>
            <w:tcW w:w="833" w:type="pct"/>
            <w:noWrap w:val="0"/>
            <w:vAlign w:val="center"/>
          </w:tcPr>
          <w:p w14:paraId="62A64F52">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bookmarkStart w:id="0" w:name="_Hlk49843745"/>
            <w:r>
              <w:rPr>
                <w:rFonts w:hint="default" w:ascii="Times New Roman" w:hAnsi="Times New Roman" w:eastAsia="华文中宋" w:cs="Times New Roman"/>
                <w:color w:val="auto"/>
                <w:highlight w:val="none"/>
              </w:rPr>
              <w:t>建设项目</w:t>
            </w:r>
          </w:p>
          <w:p w14:paraId="4138F856">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行业类别</w:t>
            </w:r>
            <w:bookmarkEnd w:id="0"/>
          </w:p>
        </w:tc>
        <w:tc>
          <w:tcPr>
            <w:tcW w:w="1615" w:type="pct"/>
            <w:noWrap w:val="0"/>
            <w:vAlign w:val="center"/>
          </w:tcPr>
          <w:p w14:paraId="5CB23B40">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五十三、装卸搬运和仓储业59 危险品仓储 594（不含加油站的油库；不含加气站的气库）其他（含有毒、有害、危险品的仓储；含液化天然气库）</w:t>
            </w:r>
          </w:p>
        </w:tc>
      </w:tr>
      <w:tr w14:paraId="29E8E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59AE67B5">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建设性质</w:t>
            </w:r>
          </w:p>
        </w:tc>
        <w:tc>
          <w:tcPr>
            <w:tcW w:w="1870" w:type="pct"/>
            <w:noWrap w:val="0"/>
            <w:vAlign w:val="center"/>
          </w:tcPr>
          <w:p w14:paraId="174C91BB">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eastAsia" w:ascii="Times New Roman" w:hAnsi="Times New Roman" w:eastAsia="华文中宋" w:cs="Times New Roman"/>
                <w:color w:val="auto"/>
                <w:highlight w:val="none"/>
                <w:lang w:eastAsia="zh-CN"/>
              </w:rPr>
              <w:t>□</w:t>
            </w:r>
            <w:r>
              <w:rPr>
                <w:rFonts w:hint="default" w:ascii="Times New Roman" w:hAnsi="Times New Roman" w:eastAsia="华文中宋" w:cs="Times New Roman"/>
                <w:color w:val="auto"/>
                <w:highlight w:val="none"/>
              </w:rPr>
              <w:t>新建（迁建）</w:t>
            </w:r>
          </w:p>
          <w:p w14:paraId="3A851596">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eastAsia" w:ascii="Times New Roman" w:hAnsi="Times New Roman" w:eastAsia="华文中宋" w:cs="Times New Roman"/>
                <w:color w:val="auto"/>
                <w:highlight w:val="none"/>
                <w:lang w:eastAsia="zh-CN"/>
              </w:rPr>
              <w:t>□</w:t>
            </w:r>
            <w:r>
              <w:rPr>
                <w:rFonts w:hint="default" w:ascii="Times New Roman" w:hAnsi="Times New Roman" w:eastAsia="华文中宋" w:cs="Times New Roman"/>
                <w:color w:val="auto"/>
                <w:highlight w:val="none"/>
              </w:rPr>
              <w:t>改建</w:t>
            </w:r>
          </w:p>
          <w:p w14:paraId="21C05927">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eastAsia" w:eastAsia="华文中宋" w:cs="Times New Roman"/>
                <w:color w:val="auto"/>
                <w:highlight w:val="none"/>
                <w:lang w:eastAsia="zh-CN"/>
              </w:rPr>
              <w:t>☑</w:t>
            </w:r>
            <w:r>
              <w:rPr>
                <w:rFonts w:hint="default" w:ascii="Times New Roman" w:hAnsi="Times New Roman" w:eastAsia="华文中宋" w:cs="Times New Roman"/>
                <w:color w:val="auto"/>
                <w:highlight w:val="none"/>
              </w:rPr>
              <w:t>扩建</w:t>
            </w:r>
          </w:p>
          <w:p w14:paraId="28997CEB">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eastAsia" w:ascii="Times New Roman" w:hAnsi="Times New Roman" w:eastAsia="华文中宋" w:cs="Times New Roman"/>
                <w:color w:val="auto"/>
                <w:highlight w:val="none"/>
                <w:lang w:eastAsia="zh-CN"/>
              </w:rPr>
              <w:t>□</w:t>
            </w:r>
            <w:r>
              <w:rPr>
                <w:rFonts w:hint="default" w:ascii="Times New Roman" w:hAnsi="Times New Roman" w:eastAsia="华文中宋" w:cs="Times New Roman"/>
                <w:color w:val="auto"/>
                <w:highlight w:val="none"/>
              </w:rPr>
              <w:t>技术改造</w:t>
            </w:r>
          </w:p>
        </w:tc>
        <w:tc>
          <w:tcPr>
            <w:tcW w:w="833" w:type="pct"/>
            <w:noWrap w:val="0"/>
            <w:vAlign w:val="center"/>
          </w:tcPr>
          <w:p w14:paraId="615B8C24">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建设项目</w:t>
            </w:r>
          </w:p>
          <w:p w14:paraId="141F45E1">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申报情形</w:t>
            </w:r>
          </w:p>
        </w:tc>
        <w:tc>
          <w:tcPr>
            <w:tcW w:w="1615" w:type="pct"/>
            <w:noWrap w:val="0"/>
            <w:vAlign w:val="center"/>
          </w:tcPr>
          <w:p w14:paraId="61B15E23">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☑首次申报项目</w:t>
            </w:r>
          </w:p>
          <w:p w14:paraId="0ACE83BA">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□不予批准后再次申报项目</w:t>
            </w:r>
          </w:p>
          <w:p w14:paraId="41468229">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□超五年重新审核项目</w:t>
            </w:r>
          </w:p>
          <w:p w14:paraId="6E19E2E8">
            <w:pPr>
              <w:keepNext w:val="0"/>
              <w:keepLines/>
              <w:pageBreakBefore w:val="0"/>
              <w:kinsoku/>
              <w:overflowPunct/>
              <w:autoSpaceDE/>
              <w:autoSpaceDN/>
              <w:bidi w:val="0"/>
              <w:spacing w:line="240" w:lineRule="auto"/>
              <w:ind w:firstLine="0" w:firstLineChars="0"/>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□重大变动重新报批项目</w:t>
            </w:r>
          </w:p>
        </w:tc>
      </w:tr>
      <w:tr w14:paraId="4B1B3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483ABD45">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项目审批（核准/</w:t>
            </w:r>
          </w:p>
          <w:p w14:paraId="287147FB">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备案）部门（选填）</w:t>
            </w:r>
          </w:p>
        </w:tc>
        <w:tc>
          <w:tcPr>
            <w:tcW w:w="1870" w:type="pct"/>
            <w:noWrap w:val="0"/>
            <w:vAlign w:val="center"/>
          </w:tcPr>
          <w:p w14:paraId="5C41079B">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eastAsia="华文中宋" w:cs="Times New Roman"/>
                <w:color w:val="auto"/>
                <w:highlight w:val="none"/>
                <w:lang w:val="en-US" w:eastAsia="zh-CN"/>
              </w:rPr>
              <w:t>胡杨河经济技术开发区经济发展局</w:t>
            </w:r>
          </w:p>
        </w:tc>
        <w:tc>
          <w:tcPr>
            <w:tcW w:w="833" w:type="pct"/>
            <w:noWrap w:val="0"/>
            <w:vAlign w:val="center"/>
          </w:tcPr>
          <w:p w14:paraId="4D54DBEA">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项目审批（核准/备案）文号（选填）</w:t>
            </w:r>
          </w:p>
        </w:tc>
        <w:tc>
          <w:tcPr>
            <w:tcW w:w="1615" w:type="pct"/>
            <w:noWrap w:val="0"/>
            <w:vAlign w:val="center"/>
          </w:tcPr>
          <w:p w14:paraId="1569109D">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default" w:ascii="Times New Roman" w:hAnsi="Times New Roman" w:eastAsia="华文中宋" w:cs="Times New Roman"/>
                <w:color w:val="auto"/>
                <w:highlight w:val="none"/>
                <w:lang w:val="en-US" w:eastAsia="zh-CN"/>
              </w:rPr>
              <w:t>经济发展局备〔2026〕024号</w:t>
            </w:r>
          </w:p>
        </w:tc>
      </w:tr>
      <w:tr w14:paraId="14023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5BCA6DB2">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总投资（万元）</w:t>
            </w:r>
          </w:p>
        </w:tc>
        <w:tc>
          <w:tcPr>
            <w:tcW w:w="1870" w:type="pct"/>
            <w:noWrap w:val="0"/>
            <w:vAlign w:val="center"/>
          </w:tcPr>
          <w:p w14:paraId="09102F3F">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cs="Times New Roman"/>
                <w:color w:val="auto"/>
                <w:highlight w:val="none"/>
                <w:lang w:val="en-US" w:eastAsia="zh-CN"/>
              </w:rPr>
              <w:t>540</w:t>
            </w:r>
          </w:p>
        </w:tc>
        <w:tc>
          <w:tcPr>
            <w:tcW w:w="833" w:type="pct"/>
            <w:noWrap w:val="0"/>
            <w:tcMar>
              <w:top w:w="16" w:type="dxa"/>
              <w:left w:w="16" w:type="dxa"/>
              <w:right w:w="16" w:type="dxa"/>
            </w:tcMar>
            <w:vAlign w:val="center"/>
          </w:tcPr>
          <w:p w14:paraId="34BA29E1">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环保投资</w:t>
            </w:r>
          </w:p>
          <w:p w14:paraId="733B3A39">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（万元）</w:t>
            </w:r>
          </w:p>
        </w:tc>
        <w:tc>
          <w:tcPr>
            <w:tcW w:w="1615" w:type="pct"/>
            <w:noWrap w:val="0"/>
            <w:vAlign w:val="center"/>
          </w:tcPr>
          <w:p w14:paraId="573D00BA">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eastAsia="华文中宋" w:cs="Times New Roman"/>
                <w:color w:val="auto"/>
                <w:highlight w:val="none"/>
                <w:lang w:val="en-US" w:eastAsia="zh-CN"/>
              </w:rPr>
              <w:t>0</w:t>
            </w:r>
          </w:p>
        </w:tc>
      </w:tr>
      <w:tr w14:paraId="33B7C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4475681D">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环保投资占比（%）</w:t>
            </w:r>
          </w:p>
        </w:tc>
        <w:tc>
          <w:tcPr>
            <w:tcW w:w="1870" w:type="pct"/>
            <w:noWrap w:val="0"/>
            <w:vAlign w:val="center"/>
          </w:tcPr>
          <w:p w14:paraId="4CC2AB4D">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eastAsia="华文中宋" w:cs="Times New Roman"/>
                <w:color w:val="auto"/>
                <w:highlight w:val="none"/>
                <w:lang w:val="en-US" w:eastAsia="zh-CN"/>
              </w:rPr>
              <w:t>/</w:t>
            </w:r>
          </w:p>
        </w:tc>
        <w:tc>
          <w:tcPr>
            <w:tcW w:w="833" w:type="pct"/>
            <w:noWrap w:val="0"/>
            <w:tcMar>
              <w:top w:w="16" w:type="dxa"/>
              <w:left w:w="16" w:type="dxa"/>
              <w:right w:w="16" w:type="dxa"/>
            </w:tcMar>
            <w:vAlign w:val="center"/>
          </w:tcPr>
          <w:p w14:paraId="12419AF5">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施工工期</w:t>
            </w:r>
          </w:p>
        </w:tc>
        <w:tc>
          <w:tcPr>
            <w:tcW w:w="1615" w:type="pct"/>
            <w:noWrap w:val="0"/>
            <w:vAlign w:val="center"/>
          </w:tcPr>
          <w:p w14:paraId="11C61A67">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eastAsia="zh-CN"/>
              </w:rPr>
            </w:pPr>
            <w:r>
              <w:rPr>
                <w:rFonts w:hint="eastAsia" w:ascii="Times New Roman" w:hAnsi="Times New Roman" w:eastAsia="华文中宋" w:cs="Times New Roman"/>
                <w:color w:val="auto"/>
                <w:highlight w:val="none"/>
                <w:lang w:val="en-US" w:eastAsia="zh-CN"/>
              </w:rPr>
              <w:t>7</w:t>
            </w:r>
            <w:r>
              <w:rPr>
                <w:rFonts w:hint="default" w:ascii="Times New Roman" w:hAnsi="Times New Roman" w:eastAsia="华文中宋" w:cs="Times New Roman"/>
                <w:color w:val="auto"/>
                <w:highlight w:val="none"/>
              </w:rPr>
              <w:t>个月</w:t>
            </w:r>
          </w:p>
        </w:tc>
      </w:tr>
      <w:tr w14:paraId="7BE09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pct"/>
            <w:noWrap w:val="0"/>
            <w:tcMar>
              <w:top w:w="16" w:type="dxa"/>
              <w:left w:w="16" w:type="dxa"/>
              <w:right w:w="16" w:type="dxa"/>
            </w:tcMar>
            <w:vAlign w:val="center"/>
          </w:tcPr>
          <w:p w14:paraId="1A0DEF7C">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是否开工建设</w:t>
            </w:r>
          </w:p>
        </w:tc>
        <w:tc>
          <w:tcPr>
            <w:tcW w:w="1870" w:type="pct"/>
            <w:noWrap w:val="0"/>
            <w:vAlign w:val="center"/>
          </w:tcPr>
          <w:p w14:paraId="4346549E">
            <w:pPr>
              <w:keepNext w:val="0"/>
              <w:keepLines/>
              <w:pageBreakBefore w:val="0"/>
              <w:kinsoku/>
              <w:overflowPunct/>
              <w:autoSpaceDE/>
              <w:autoSpaceDN/>
              <w:bidi w:val="0"/>
              <w:spacing w:line="240" w:lineRule="auto"/>
              <w:ind w:left="0" w:leftChars="0" w:firstLine="0" w:firstLineChars="0"/>
              <w:jc w:val="both"/>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lang w:eastAsia="zh-CN"/>
              </w:rPr>
              <w:sym w:font="Wingdings 2" w:char="00A3"/>
            </w:r>
            <w:r>
              <w:rPr>
                <w:rFonts w:hint="default" w:ascii="Times New Roman" w:hAnsi="Times New Roman" w:eastAsia="华文中宋" w:cs="Times New Roman"/>
                <w:color w:val="auto"/>
                <w:highlight w:val="none"/>
              </w:rPr>
              <w:t>否</w:t>
            </w:r>
          </w:p>
          <w:p w14:paraId="25B7B6C3">
            <w:pPr>
              <w:keepNext w:val="0"/>
              <w:keepLines/>
              <w:pageBreakBefore w:val="0"/>
              <w:kinsoku/>
              <w:overflowPunct/>
              <w:autoSpaceDE/>
              <w:autoSpaceDN/>
              <w:bidi w:val="0"/>
              <w:spacing w:line="240" w:lineRule="auto"/>
              <w:ind w:firstLine="0" w:firstLineChars="0"/>
              <w:jc w:val="both"/>
              <w:rPr>
                <w:rFonts w:hint="default" w:ascii="Times New Roman" w:hAnsi="Times New Roman" w:eastAsia="华文中宋" w:cs="Times New Roman"/>
                <w:color w:val="auto"/>
                <w:highlight w:val="none"/>
                <w:lang w:val="en-US" w:eastAsia="zh-CN"/>
              </w:rPr>
            </w:pPr>
            <w:r>
              <w:rPr>
                <w:rFonts w:hint="default" w:ascii="Times New Roman" w:hAnsi="Times New Roman" w:eastAsia="华文中宋" w:cs="Times New Roman"/>
                <w:color w:val="auto"/>
                <w:highlight w:val="none"/>
              </w:rPr>
              <w:sym w:font="Wingdings 2" w:char="0052"/>
            </w:r>
            <w:r>
              <w:rPr>
                <w:rFonts w:hint="default" w:ascii="Times New Roman" w:hAnsi="Times New Roman" w:eastAsia="华文中宋" w:cs="Times New Roman"/>
                <w:color w:val="auto"/>
                <w:highlight w:val="none"/>
              </w:rPr>
              <w:t>是</w:t>
            </w:r>
          </w:p>
        </w:tc>
        <w:tc>
          <w:tcPr>
            <w:tcW w:w="833" w:type="pct"/>
            <w:noWrap w:val="0"/>
            <w:tcMar>
              <w:top w:w="16" w:type="dxa"/>
              <w:left w:w="16" w:type="dxa"/>
              <w:right w:w="16" w:type="dxa"/>
            </w:tcMar>
            <w:vAlign w:val="center"/>
          </w:tcPr>
          <w:p w14:paraId="5775A200">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用地（用海）</w:t>
            </w:r>
          </w:p>
          <w:p w14:paraId="44010377">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面积（m</w:t>
            </w:r>
            <w:r>
              <w:rPr>
                <w:rFonts w:hint="default" w:ascii="Times New Roman" w:hAnsi="Times New Roman" w:eastAsia="华文中宋" w:cs="Times New Roman"/>
                <w:color w:val="auto"/>
                <w:highlight w:val="none"/>
                <w:vertAlign w:val="superscript"/>
              </w:rPr>
              <w:t>2</w:t>
            </w:r>
            <w:r>
              <w:rPr>
                <w:rFonts w:hint="default" w:ascii="Times New Roman" w:hAnsi="Times New Roman" w:eastAsia="华文中宋" w:cs="Times New Roman"/>
                <w:color w:val="auto"/>
                <w:highlight w:val="none"/>
              </w:rPr>
              <w:t>）</w:t>
            </w:r>
          </w:p>
        </w:tc>
        <w:tc>
          <w:tcPr>
            <w:tcW w:w="1615" w:type="pct"/>
            <w:noWrap w:val="0"/>
            <w:vAlign w:val="center"/>
          </w:tcPr>
          <w:p w14:paraId="22C1AFC7">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lang w:val="en-US" w:eastAsia="zh-CN"/>
              </w:rPr>
            </w:pPr>
            <w:r>
              <w:rPr>
                <w:rFonts w:hint="eastAsia" w:ascii="Times New Roman" w:hAnsi="Times New Roman" w:eastAsia="华文中宋" w:cs="Times New Roman"/>
                <w:color w:val="auto"/>
                <w:highlight w:val="none"/>
                <w:lang w:val="en-US" w:eastAsia="zh-CN"/>
              </w:rPr>
              <w:t>现有厂区内扩建</w:t>
            </w:r>
            <w:r>
              <w:rPr>
                <w:rFonts w:hint="eastAsia" w:eastAsia="华文中宋" w:cs="Times New Roman"/>
                <w:color w:val="auto"/>
                <w:highlight w:val="none"/>
                <w:lang w:val="en-US" w:eastAsia="zh-CN"/>
              </w:rPr>
              <w:t>，不新增占地</w:t>
            </w:r>
          </w:p>
        </w:tc>
      </w:tr>
      <w:tr w14:paraId="15C74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pct"/>
            <w:noWrap w:val="0"/>
            <w:vAlign w:val="center"/>
          </w:tcPr>
          <w:p w14:paraId="21DC29C5">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专项评价设置情况</w:t>
            </w:r>
          </w:p>
        </w:tc>
        <w:tc>
          <w:tcPr>
            <w:tcW w:w="4318" w:type="pct"/>
            <w:gridSpan w:val="3"/>
            <w:noWrap w:val="0"/>
            <w:vAlign w:val="center"/>
          </w:tcPr>
          <w:p w14:paraId="2C838412">
            <w:pPr>
              <w:keepNext w:val="0"/>
              <w:keepLines/>
              <w:pageBreakBefore w:val="0"/>
              <w:kinsoku/>
              <w:overflowPunct/>
              <w:autoSpaceDE/>
              <w:autoSpaceDN/>
              <w:bidi w:val="0"/>
            </w:pPr>
            <w:r>
              <w:t>根据《建设项目环境影响报告表编制技术指南（污染影响类）（试行）》，建设项目产生的环境影响需要深入论证的，应按照环境影响评价相关技术导则开展专项评价工作。根据建设项目排污情况及所涉环境敏感程度，确定专项评价的类别。本项目大气、地表水、环境风险、生态和海洋专项评价具体设置情况见表1。</w:t>
            </w:r>
          </w:p>
          <w:p w14:paraId="1C1A100C">
            <w:pPr>
              <w:keepNext w:val="0"/>
              <w:keepLines/>
              <w:pageBreakBefore w:val="0"/>
              <w:kinsoku/>
              <w:overflowPunct/>
              <w:autoSpaceDE/>
              <w:autoSpaceDN/>
              <w:bidi w:val="0"/>
            </w:pPr>
          </w:p>
          <w:p w14:paraId="134CBD0D">
            <w:pPr>
              <w:pStyle w:val="16"/>
              <w:keepNext w:val="0"/>
              <w:keepLines/>
              <w:pageBreakBefore w:val="0"/>
              <w:kinsoku/>
              <w:overflowPunct/>
              <w:autoSpaceDE/>
              <w:autoSpaceDN/>
              <w:bidi w:val="0"/>
            </w:pPr>
            <w:r>
              <w:t xml:space="preserve">表 </w:t>
            </w:r>
            <w:r>
              <w:fldChar w:fldCharType="begin"/>
            </w:r>
            <w:r>
              <w:instrText xml:space="preserve"> SEQ 表 \* ARABIC </w:instrText>
            </w:r>
            <w:r>
              <w:fldChar w:fldCharType="separate"/>
            </w:r>
            <w:r>
              <w:t>1</w:t>
            </w:r>
            <w:r>
              <w:fldChar w:fldCharType="end"/>
            </w:r>
            <w:r>
              <w:rPr>
                <w:rFonts w:hint="eastAsia"/>
                <w:lang w:val="en-US" w:eastAsia="zh-CN"/>
              </w:rPr>
              <w:t xml:space="preserve">  </w:t>
            </w:r>
            <w:r>
              <w:t>专项评价设置原则表</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0"/>
              <w:gridCol w:w="3423"/>
              <w:gridCol w:w="2094"/>
              <w:gridCol w:w="886"/>
            </w:tblGrid>
            <w:tr w14:paraId="22371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tcBorders>
                    <w:tl2br w:val="nil"/>
                    <w:tr2bl w:val="nil"/>
                  </w:tcBorders>
                  <w:tcMar>
                    <w:top w:w="0" w:type="dxa"/>
                    <w:left w:w="0" w:type="dxa"/>
                    <w:bottom w:w="0" w:type="dxa"/>
                    <w:right w:w="0" w:type="dxa"/>
                  </w:tcMar>
                  <w:vAlign w:val="center"/>
                </w:tcPr>
                <w:p w14:paraId="100119C7">
                  <w:pPr>
                    <w:pStyle w:val="15"/>
                    <w:keepNext w:val="0"/>
                    <w:keepLines/>
                    <w:pageBreakBefore w:val="0"/>
                    <w:kinsoku/>
                    <w:overflowPunct/>
                    <w:autoSpaceDE/>
                    <w:autoSpaceDN/>
                    <w:bidi w:val="0"/>
                  </w:pPr>
                  <w:r>
                    <w:t>专项评价类别</w:t>
                  </w:r>
                </w:p>
              </w:tc>
              <w:tc>
                <w:tcPr>
                  <w:tcW w:w="2468" w:type="pct"/>
                  <w:tcBorders>
                    <w:tl2br w:val="nil"/>
                    <w:tr2bl w:val="nil"/>
                  </w:tcBorders>
                  <w:tcMar>
                    <w:top w:w="0" w:type="dxa"/>
                    <w:left w:w="0" w:type="dxa"/>
                    <w:bottom w:w="0" w:type="dxa"/>
                    <w:right w:w="0" w:type="dxa"/>
                  </w:tcMar>
                  <w:vAlign w:val="center"/>
                </w:tcPr>
                <w:p w14:paraId="3A4CEC0B">
                  <w:pPr>
                    <w:pStyle w:val="15"/>
                    <w:keepNext w:val="0"/>
                    <w:keepLines/>
                    <w:pageBreakBefore w:val="0"/>
                    <w:kinsoku/>
                    <w:overflowPunct/>
                    <w:autoSpaceDE/>
                    <w:autoSpaceDN/>
                    <w:bidi w:val="0"/>
                  </w:pPr>
                  <w:r>
                    <w:t>设置原则</w:t>
                  </w:r>
                </w:p>
              </w:tc>
              <w:tc>
                <w:tcPr>
                  <w:tcW w:w="1510" w:type="pct"/>
                  <w:tcBorders>
                    <w:tl2br w:val="nil"/>
                    <w:tr2bl w:val="nil"/>
                  </w:tcBorders>
                  <w:tcMar>
                    <w:top w:w="0" w:type="dxa"/>
                    <w:left w:w="0" w:type="dxa"/>
                    <w:bottom w:w="0" w:type="dxa"/>
                    <w:right w:w="0" w:type="dxa"/>
                  </w:tcMar>
                  <w:vAlign w:val="center"/>
                </w:tcPr>
                <w:p w14:paraId="0094AB67">
                  <w:pPr>
                    <w:pStyle w:val="15"/>
                    <w:keepNext w:val="0"/>
                    <w:keepLines/>
                    <w:pageBreakBefore w:val="0"/>
                    <w:kinsoku/>
                    <w:overflowPunct/>
                    <w:autoSpaceDE/>
                    <w:autoSpaceDN/>
                    <w:bidi w:val="0"/>
                  </w:pPr>
                  <w:r>
                    <w:t>本项目概况</w:t>
                  </w:r>
                </w:p>
              </w:tc>
              <w:tc>
                <w:tcPr>
                  <w:tcW w:w="637" w:type="pct"/>
                  <w:tcBorders>
                    <w:tl2br w:val="nil"/>
                    <w:tr2bl w:val="nil"/>
                  </w:tcBorders>
                  <w:tcMar>
                    <w:top w:w="0" w:type="dxa"/>
                    <w:left w:w="0" w:type="dxa"/>
                    <w:bottom w:w="0" w:type="dxa"/>
                    <w:right w:w="0" w:type="dxa"/>
                  </w:tcMar>
                  <w:vAlign w:val="center"/>
                </w:tcPr>
                <w:p w14:paraId="6EF26D14">
                  <w:pPr>
                    <w:pStyle w:val="15"/>
                    <w:keepNext w:val="0"/>
                    <w:keepLines/>
                    <w:pageBreakBefore w:val="0"/>
                    <w:kinsoku/>
                    <w:overflowPunct/>
                    <w:autoSpaceDE/>
                    <w:autoSpaceDN/>
                    <w:bidi w:val="0"/>
                  </w:pPr>
                  <w:r>
                    <w:t>对照结果</w:t>
                  </w:r>
                </w:p>
              </w:tc>
            </w:tr>
            <w:tr w14:paraId="33AB9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tcBorders>
                    <w:tl2br w:val="nil"/>
                    <w:tr2bl w:val="nil"/>
                  </w:tcBorders>
                  <w:tcMar>
                    <w:top w:w="0" w:type="dxa"/>
                    <w:left w:w="0" w:type="dxa"/>
                    <w:bottom w:w="0" w:type="dxa"/>
                    <w:right w:w="0" w:type="dxa"/>
                  </w:tcMar>
                  <w:vAlign w:val="center"/>
                </w:tcPr>
                <w:p w14:paraId="34D13F88">
                  <w:pPr>
                    <w:pStyle w:val="15"/>
                    <w:keepNext w:val="0"/>
                    <w:keepLines/>
                    <w:pageBreakBefore w:val="0"/>
                    <w:kinsoku/>
                    <w:overflowPunct/>
                    <w:autoSpaceDE/>
                    <w:autoSpaceDN/>
                    <w:bidi w:val="0"/>
                    <w:rPr>
                      <w:color w:val="auto"/>
                    </w:rPr>
                  </w:pPr>
                  <w:r>
                    <w:rPr>
                      <w:color w:val="auto"/>
                    </w:rPr>
                    <w:t>大气</w:t>
                  </w:r>
                </w:p>
              </w:tc>
              <w:tc>
                <w:tcPr>
                  <w:tcW w:w="2468" w:type="pct"/>
                  <w:tcBorders>
                    <w:tl2br w:val="nil"/>
                    <w:tr2bl w:val="nil"/>
                  </w:tcBorders>
                  <w:tcMar>
                    <w:top w:w="0" w:type="dxa"/>
                    <w:left w:w="0" w:type="dxa"/>
                    <w:bottom w:w="0" w:type="dxa"/>
                    <w:right w:w="0" w:type="dxa"/>
                  </w:tcMar>
                  <w:vAlign w:val="center"/>
                </w:tcPr>
                <w:p w14:paraId="31F64D64">
                  <w:pPr>
                    <w:pStyle w:val="15"/>
                    <w:keepNext w:val="0"/>
                    <w:keepLines/>
                    <w:pageBreakBefore w:val="0"/>
                    <w:kinsoku/>
                    <w:overflowPunct/>
                    <w:autoSpaceDE/>
                    <w:autoSpaceDN/>
                    <w:bidi w:val="0"/>
                    <w:rPr>
                      <w:color w:val="auto"/>
                    </w:rPr>
                  </w:pPr>
                  <w:r>
                    <w:rPr>
                      <w:color w:val="auto"/>
                    </w:rPr>
                    <w:t>排放废气含有毒有害污染物1、二噁英、苯并[a]芘、氰化物、氯气且厂界外500米范围内有环境空气保护目标</w:t>
                  </w:r>
                  <w:r>
                    <w:rPr>
                      <w:color w:val="auto"/>
                      <w:vertAlign w:val="superscript"/>
                    </w:rPr>
                    <w:t>2</w:t>
                  </w:r>
                  <w:r>
                    <w:rPr>
                      <w:color w:val="auto"/>
                    </w:rPr>
                    <w:t>的建设项目。</w:t>
                  </w:r>
                </w:p>
              </w:tc>
              <w:tc>
                <w:tcPr>
                  <w:tcW w:w="1510" w:type="pct"/>
                  <w:tcBorders>
                    <w:tl2br w:val="nil"/>
                    <w:tr2bl w:val="nil"/>
                  </w:tcBorders>
                  <w:tcMar>
                    <w:top w:w="0" w:type="dxa"/>
                    <w:left w:w="0" w:type="dxa"/>
                    <w:bottom w:w="0" w:type="dxa"/>
                    <w:right w:w="0" w:type="dxa"/>
                  </w:tcMar>
                  <w:vAlign w:val="center"/>
                </w:tcPr>
                <w:p w14:paraId="4B435D34">
                  <w:pPr>
                    <w:pStyle w:val="15"/>
                    <w:keepNext w:val="0"/>
                    <w:keepLines/>
                    <w:pageBreakBefore w:val="0"/>
                    <w:kinsoku/>
                    <w:overflowPunct/>
                    <w:autoSpaceDE/>
                    <w:autoSpaceDN/>
                    <w:bidi w:val="0"/>
                    <w:rPr>
                      <w:color w:val="auto"/>
                    </w:rPr>
                  </w:pPr>
                  <w:r>
                    <w:rPr>
                      <w:color w:val="auto"/>
                    </w:rPr>
                    <w:t>项目不涉及有毒有害污染物、二噁英、苯并[a]芘、氰化物、氯气的排放。</w:t>
                  </w:r>
                </w:p>
              </w:tc>
              <w:tc>
                <w:tcPr>
                  <w:tcW w:w="637" w:type="pct"/>
                  <w:tcBorders>
                    <w:tl2br w:val="nil"/>
                    <w:tr2bl w:val="nil"/>
                  </w:tcBorders>
                  <w:tcMar>
                    <w:top w:w="0" w:type="dxa"/>
                    <w:left w:w="0" w:type="dxa"/>
                    <w:bottom w:w="0" w:type="dxa"/>
                    <w:right w:w="0" w:type="dxa"/>
                  </w:tcMar>
                  <w:vAlign w:val="center"/>
                </w:tcPr>
                <w:p w14:paraId="40389502">
                  <w:pPr>
                    <w:pStyle w:val="15"/>
                    <w:keepNext w:val="0"/>
                    <w:keepLines/>
                    <w:pageBreakBefore w:val="0"/>
                    <w:kinsoku/>
                    <w:overflowPunct/>
                    <w:autoSpaceDE/>
                    <w:autoSpaceDN/>
                    <w:bidi w:val="0"/>
                    <w:rPr>
                      <w:color w:val="auto"/>
                    </w:rPr>
                  </w:pPr>
                  <w:r>
                    <w:rPr>
                      <w:rFonts w:hint="eastAsia"/>
                      <w:color w:val="auto"/>
                      <w:lang w:eastAsia="zh-CN"/>
                    </w:rPr>
                    <w:t>无须设置</w:t>
                  </w:r>
                  <w:r>
                    <w:rPr>
                      <w:color w:val="auto"/>
                    </w:rPr>
                    <w:t>专项评价。</w:t>
                  </w:r>
                </w:p>
              </w:tc>
            </w:tr>
            <w:tr w14:paraId="236C4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tcBorders>
                    <w:tl2br w:val="nil"/>
                    <w:tr2bl w:val="nil"/>
                  </w:tcBorders>
                  <w:tcMar>
                    <w:top w:w="0" w:type="dxa"/>
                    <w:left w:w="0" w:type="dxa"/>
                    <w:bottom w:w="0" w:type="dxa"/>
                    <w:right w:w="0" w:type="dxa"/>
                  </w:tcMar>
                  <w:vAlign w:val="center"/>
                </w:tcPr>
                <w:p w14:paraId="3E933B1C">
                  <w:pPr>
                    <w:pStyle w:val="15"/>
                    <w:keepNext w:val="0"/>
                    <w:keepLines/>
                    <w:pageBreakBefore w:val="0"/>
                    <w:kinsoku/>
                    <w:overflowPunct/>
                    <w:autoSpaceDE/>
                    <w:autoSpaceDN/>
                    <w:bidi w:val="0"/>
                    <w:rPr>
                      <w:color w:val="auto"/>
                    </w:rPr>
                  </w:pPr>
                  <w:r>
                    <w:rPr>
                      <w:color w:val="auto"/>
                    </w:rPr>
                    <w:t>地表水</w:t>
                  </w:r>
                </w:p>
              </w:tc>
              <w:tc>
                <w:tcPr>
                  <w:tcW w:w="2468" w:type="pct"/>
                  <w:tcBorders>
                    <w:tl2br w:val="nil"/>
                    <w:tr2bl w:val="nil"/>
                  </w:tcBorders>
                  <w:tcMar>
                    <w:top w:w="0" w:type="dxa"/>
                    <w:left w:w="0" w:type="dxa"/>
                    <w:bottom w:w="0" w:type="dxa"/>
                    <w:right w:w="0" w:type="dxa"/>
                  </w:tcMar>
                  <w:vAlign w:val="center"/>
                </w:tcPr>
                <w:p w14:paraId="1E95B452">
                  <w:pPr>
                    <w:pStyle w:val="15"/>
                    <w:keepNext w:val="0"/>
                    <w:keepLines/>
                    <w:pageBreakBefore w:val="0"/>
                    <w:kinsoku/>
                    <w:overflowPunct/>
                    <w:autoSpaceDE/>
                    <w:autoSpaceDN/>
                    <w:bidi w:val="0"/>
                    <w:rPr>
                      <w:color w:val="auto"/>
                    </w:rPr>
                  </w:pPr>
                  <w:r>
                    <w:rPr>
                      <w:color w:val="auto"/>
                    </w:rPr>
                    <w:t>新增工业废水直排建设项目（槽罐车外送污水处理厂的除外）；新增废水直排的污水集中处理厂。</w:t>
                  </w:r>
                </w:p>
              </w:tc>
              <w:tc>
                <w:tcPr>
                  <w:tcW w:w="1510" w:type="pct"/>
                  <w:tcBorders>
                    <w:tl2br w:val="nil"/>
                    <w:tr2bl w:val="nil"/>
                  </w:tcBorders>
                  <w:tcMar>
                    <w:top w:w="0" w:type="dxa"/>
                    <w:left w:w="0" w:type="dxa"/>
                    <w:bottom w:w="0" w:type="dxa"/>
                    <w:right w:w="0" w:type="dxa"/>
                  </w:tcMar>
                  <w:vAlign w:val="center"/>
                </w:tcPr>
                <w:p w14:paraId="66E3058C">
                  <w:pPr>
                    <w:pStyle w:val="15"/>
                    <w:keepNext w:val="0"/>
                    <w:keepLines/>
                    <w:pageBreakBefore w:val="0"/>
                    <w:kinsoku/>
                    <w:overflowPunct/>
                    <w:autoSpaceDE/>
                    <w:autoSpaceDN/>
                    <w:bidi w:val="0"/>
                    <w:rPr>
                      <w:color w:val="auto"/>
                    </w:rPr>
                  </w:pPr>
                  <w:r>
                    <w:rPr>
                      <w:color w:val="auto"/>
                    </w:rPr>
                    <w:t>本项目不涉及工业废水直排</w:t>
                  </w:r>
                </w:p>
              </w:tc>
              <w:tc>
                <w:tcPr>
                  <w:tcW w:w="637" w:type="pct"/>
                  <w:tcBorders>
                    <w:tl2br w:val="nil"/>
                    <w:tr2bl w:val="nil"/>
                  </w:tcBorders>
                  <w:tcMar>
                    <w:top w:w="0" w:type="dxa"/>
                    <w:left w:w="0" w:type="dxa"/>
                    <w:bottom w:w="0" w:type="dxa"/>
                    <w:right w:w="0" w:type="dxa"/>
                  </w:tcMar>
                  <w:vAlign w:val="center"/>
                </w:tcPr>
                <w:p w14:paraId="6FB85157">
                  <w:pPr>
                    <w:pStyle w:val="15"/>
                    <w:keepNext w:val="0"/>
                    <w:keepLines/>
                    <w:pageBreakBefore w:val="0"/>
                    <w:kinsoku/>
                    <w:overflowPunct/>
                    <w:autoSpaceDE/>
                    <w:autoSpaceDN/>
                    <w:bidi w:val="0"/>
                    <w:rPr>
                      <w:color w:val="auto"/>
                    </w:rPr>
                  </w:pPr>
                  <w:r>
                    <w:rPr>
                      <w:rFonts w:hint="eastAsia"/>
                      <w:color w:val="auto"/>
                      <w:lang w:eastAsia="zh-CN"/>
                    </w:rPr>
                    <w:t>无须设置</w:t>
                  </w:r>
                  <w:r>
                    <w:rPr>
                      <w:color w:val="auto"/>
                    </w:rPr>
                    <w:t>专项评价。</w:t>
                  </w:r>
                </w:p>
              </w:tc>
            </w:tr>
            <w:tr w14:paraId="4008B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tcBorders>
                    <w:tl2br w:val="nil"/>
                    <w:tr2bl w:val="nil"/>
                  </w:tcBorders>
                  <w:tcMar>
                    <w:top w:w="0" w:type="dxa"/>
                    <w:left w:w="0" w:type="dxa"/>
                    <w:bottom w:w="0" w:type="dxa"/>
                    <w:right w:w="0" w:type="dxa"/>
                  </w:tcMar>
                  <w:vAlign w:val="center"/>
                </w:tcPr>
                <w:p w14:paraId="1EF8F945">
                  <w:pPr>
                    <w:pStyle w:val="15"/>
                    <w:keepNext w:val="0"/>
                    <w:keepLines/>
                    <w:pageBreakBefore w:val="0"/>
                    <w:kinsoku/>
                    <w:overflowPunct/>
                    <w:autoSpaceDE/>
                    <w:autoSpaceDN/>
                    <w:bidi w:val="0"/>
                    <w:rPr>
                      <w:color w:val="auto"/>
                    </w:rPr>
                  </w:pPr>
                  <w:r>
                    <w:rPr>
                      <w:color w:val="auto"/>
                    </w:rPr>
                    <w:t>环境风险</w:t>
                  </w:r>
                </w:p>
              </w:tc>
              <w:tc>
                <w:tcPr>
                  <w:tcW w:w="2468" w:type="pct"/>
                  <w:tcBorders>
                    <w:tl2br w:val="nil"/>
                    <w:tr2bl w:val="nil"/>
                  </w:tcBorders>
                  <w:tcMar>
                    <w:top w:w="0" w:type="dxa"/>
                    <w:left w:w="0" w:type="dxa"/>
                    <w:bottom w:w="0" w:type="dxa"/>
                    <w:right w:w="0" w:type="dxa"/>
                  </w:tcMar>
                  <w:vAlign w:val="center"/>
                </w:tcPr>
                <w:p w14:paraId="19916728">
                  <w:pPr>
                    <w:pStyle w:val="15"/>
                    <w:keepNext w:val="0"/>
                    <w:keepLines/>
                    <w:pageBreakBefore w:val="0"/>
                    <w:kinsoku/>
                    <w:overflowPunct/>
                    <w:autoSpaceDE/>
                    <w:autoSpaceDN/>
                    <w:bidi w:val="0"/>
                    <w:rPr>
                      <w:color w:val="auto"/>
                    </w:rPr>
                  </w:pPr>
                  <w:r>
                    <w:rPr>
                      <w:color w:val="auto"/>
                    </w:rPr>
                    <w:t>有毒有害和易燃易爆危险物质存储量超过临界量3的建设项目。</w:t>
                  </w:r>
                </w:p>
              </w:tc>
              <w:tc>
                <w:tcPr>
                  <w:tcW w:w="1510" w:type="pct"/>
                  <w:tcBorders>
                    <w:tl2br w:val="nil"/>
                    <w:tr2bl w:val="nil"/>
                  </w:tcBorders>
                  <w:tcMar>
                    <w:top w:w="0" w:type="dxa"/>
                    <w:left w:w="0" w:type="dxa"/>
                    <w:bottom w:w="0" w:type="dxa"/>
                    <w:right w:w="0" w:type="dxa"/>
                  </w:tcMar>
                  <w:vAlign w:val="center"/>
                </w:tcPr>
                <w:p w14:paraId="3BAF6D12">
                  <w:pPr>
                    <w:pStyle w:val="15"/>
                    <w:keepNext w:val="0"/>
                    <w:keepLines/>
                    <w:pageBreakBefore w:val="0"/>
                    <w:kinsoku/>
                    <w:overflowPunct/>
                    <w:autoSpaceDE/>
                    <w:autoSpaceDN/>
                    <w:bidi w:val="0"/>
                    <w:rPr>
                      <w:color w:val="auto"/>
                    </w:rPr>
                  </w:pPr>
                  <w:r>
                    <w:rPr>
                      <w:color w:val="auto"/>
                    </w:rPr>
                    <w:t>本项目有毒有害物质和易燃易爆危险物质存储量未超过临界量。</w:t>
                  </w:r>
                </w:p>
              </w:tc>
              <w:tc>
                <w:tcPr>
                  <w:tcW w:w="637" w:type="pct"/>
                  <w:tcBorders>
                    <w:tl2br w:val="nil"/>
                    <w:tr2bl w:val="nil"/>
                  </w:tcBorders>
                  <w:tcMar>
                    <w:top w:w="0" w:type="dxa"/>
                    <w:left w:w="0" w:type="dxa"/>
                    <w:bottom w:w="0" w:type="dxa"/>
                    <w:right w:w="0" w:type="dxa"/>
                  </w:tcMar>
                  <w:vAlign w:val="center"/>
                </w:tcPr>
                <w:p w14:paraId="12AEECAF">
                  <w:pPr>
                    <w:pStyle w:val="15"/>
                    <w:keepNext w:val="0"/>
                    <w:keepLines/>
                    <w:pageBreakBefore w:val="0"/>
                    <w:kinsoku/>
                    <w:overflowPunct/>
                    <w:autoSpaceDE/>
                    <w:autoSpaceDN/>
                    <w:bidi w:val="0"/>
                    <w:rPr>
                      <w:color w:val="auto"/>
                    </w:rPr>
                  </w:pPr>
                  <w:r>
                    <w:rPr>
                      <w:color w:val="auto"/>
                    </w:rPr>
                    <w:t>需设置专项评价。</w:t>
                  </w:r>
                </w:p>
              </w:tc>
            </w:tr>
            <w:tr w14:paraId="5DD57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tcBorders>
                    <w:tl2br w:val="nil"/>
                    <w:tr2bl w:val="nil"/>
                  </w:tcBorders>
                  <w:tcMar>
                    <w:top w:w="0" w:type="dxa"/>
                    <w:left w:w="0" w:type="dxa"/>
                    <w:bottom w:w="0" w:type="dxa"/>
                    <w:right w:w="0" w:type="dxa"/>
                  </w:tcMar>
                  <w:vAlign w:val="center"/>
                </w:tcPr>
                <w:p w14:paraId="459957D8">
                  <w:pPr>
                    <w:pStyle w:val="15"/>
                    <w:keepNext w:val="0"/>
                    <w:keepLines/>
                    <w:pageBreakBefore w:val="0"/>
                    <w:kinsoku/>
                    <w:overflowPunct/>
                    <w:autoSpaceDE/>
                    <w:autoSpaceDN/>
                    <w:bidi w:val="0"/>
                    <w:rPr>
                      <w:color w:val="auto"/>
                    </w:rPr>
                  </w:pPr>
                  <w:r>
                    <w:rPr>
                      <w:color w:val="auto"/>
                    </w:rPr>
                    <w:t>生态</w:t>
                  </w:r>
                </w:p>
              </w:tc>
              <w:tc>
                <w:tcPr>
                  <w:tcW w:w="2468" w:type="pct"/>
                  <w:tcBorders>
                    <w:tl2br w:val="nil"/>
                    <w:tr2bl w:val="nil"/>
                  </w:tcBorders>
                  <w:tcMar>
                    <w:top w:w="0" w:type="dxa"/>
                    <w:left w:w="0" w:type="dxa"/>
                    <w:bottom w:w="0" w:type="dxa"/>
                    <w:right w:w="0" w:type="dxa"/>
                  </w:tcMar>
                  <w:vAlign w:val="center"/>
                </w:tcPr>
                <w:p w14:paraId="34185BFD">
                  <w:pPr>
                    <w:pStyle w:val="15"/>
                    <w:keepNext w:val="0"/>
                    <w:keepLines/>
                    <w:pageBreakBefore w:val="0"/>
                    <w:kinsoku/>
                    <w:overflowPunct/>
                    <w:autoSpaceDE/>
                    <w:autoSpaceDN/>
                    <w:bidi w:val="0"/>
                    <w:rPr>
                      <w:color w:val="auto"/>
                    </w:rPr>
                  </w:pPr>
                  <w:r>
                    <w:rPr>
                      <w:color w:val="auto"/>
                    </w:rPr>
                    <w:t>取水口下游500米范围内有重要水生生物的自然产卵场、索饵场、越冬场和洄游通道的新增河道取水的污染类建设项目。</w:t>
                  </w:r>
                </w:p>
              </w:tc>
              <w:tc>
                <w:tcPr>
                  <w:tcW w:w="1510" w:type="pct"/>
                  <w:tcBorders>
                    <w:tl2br w:val="nil"/>
                    <w:tr2bl w:val="nil"/>
                  </w:tcBorders>
                  <w:tcMar>
                    <w:top w:w="0" w:type="dxa"/>
                    <w:left w:w="0" w:type="dxa"/>
                    <w:bottom w:w="0" w:type="dxa"/>
                    <w:right w:w="0" w:type="dxa"/>
                  </w:tcMar>
                  <w:vAlign w:val="center"/>
                </w:tcPr>
                <w:p w14:paraId="697354D1">
                  <w:pPr>
                    <w:pStyle w:val="15"/>
                    <w:keepNext w:val="0"/>
                    <w:keepLines/>
                    <w:pageBreakBefore w:val="0"/>
                    <w:kinsoku/>
                    <w:overflowPunct/>
                    <w:autoSpaceDE/>
                    <w:autoSpaceDN/>
                    <w:bidi w:val="0"/>
                    <w:rPr>
                      <w:color w:val="auto"/>
                    </w:rPr>
                  </w:pPr>
                  <w:r>
                    <w:rPr>
                      <w:color w:val="auto"/>
                    </w:rPr>
                    <w:t>本项目由市政供水，不涉及取水口。</w:t>
                  </w:r>
                </w:p>
              </w:tc>
              <w:tc>
                <w:tcPr>
                  <w:tcW w:w="637" w:type="pct"/>
                  <w:tcBorders>
                    <w:tl2br w:val="nil"/>
                    <w:tr2bl w:val="nil"/>
                  </w:tcBorders>
                  <w:tcMar>
                    <w:top w:w="0" w:type="dxa"/>
                    <w:left w:w="0" w:type="dxa"/>
                    <w:bottom w:w="0" w:type="dxa"/>
                    <w:right w:w="0" w:type="dxa"/>
                  </w:tcMar>
                  <w:vAlign w:val="center"/>
                </w:tcPr>
                <w:p w14:paraId="5322CC04">
                  <w:pPr>
                    <w:pStyle w:val="15"/>
                    <w:keepNext w:val="0"/>
                    <w:keepLines/>
                    <w:pageBreakBefore w:val="0"/>
                    <w:kinsoku/>
                    <w:overflowPunct/>
                    <w:autoSpaceDE/>
                    <w:autoSpaceDN/>
                    <w:bidi w:val="0"/>
                    <w:rPr>
                      <w:color w:val="auto"/>
                    </w:rPr>
                  </w:pPr>
                  <w:r>
                    <w:rPr>
                      <w:rFonts w:hint="eastAsia"/>
                      <w:color w:val="auto"/>
                      <w:lang w:eastAsia="zh-CN"/>
                    </w:rPr>
                    <w:t>无须设置</w:t>
                  </w:r>
                  <w:r>
                    <w:rPr>
                      <w:color w:val="auto"/>
                    </w:rPr>
                    <w:t>专项评价。</w:t>
                  </w:r>
                </w:p>
              </w:tc>
            </w:tr>
            <w:tr w14:paraId="3B52D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tcBorders>
                    <w:tl2br w:val="nil"/>
                    <w:tr2bl w:val="nil"/>
                  </w:tcBorders>
                  <w:tcMar>
                    <w:top w:w="0" w:type="dxa"/>
                    <w:left w:w="0" w:type="dxa"/>
                    <w:bottom w:w="0" w:type="dxa"/>
                    <w:right w:w="0" w:type="dxa"/>
                  </w:tcMar>
                  <w:vAlign w:val="center"/>
                </w:tcPr>
                <w:p w14:paraId="3FACEF13">
                  <w:pPr>
                    <w:pStyle w:val="15"/>
                    <w:keepNext w:val="0"/>
                    <w:keepLines/>
                    <w:pageBreakBefore w:val="0"/>
                    <w:kinsoku/>
                    <w:overflowPunct/>
                    <w:autoSpaceDE/>
                    <w:autoSpaceDN/>
                    <w:bidi w:val="0"/>
                    <w:rPr>
                      <w:color w:val="auto"/>
                    </w:rPr>
                  </w:pPr>
                  <w:r>
                    <w:rPr>
                      <w:color w:val="auto"/>
                    </w:rPr>
                    <w:t>海洋</w:t>
                  </w:r>
                </w:p>
              </w:tc>
              <w:tc>
                <w:tcPr>
                  <w:tcW w:w="2468" w:type="pct"/>
                  <w:tcBorders>
                    <w:tl2br w:val="nil"/>
                    <w:tr2bl w:val="nil"/>
                  </w:tcBorders>
                  <w:tcMar>
                    <w:top w:w="0" w:type="dxa"/>
                    <w:left w:w="0" w:type="dxa"/>
                    <w:bottom w:w="0" w:type="dxa"/>
                    <w:right w:w="0" w:type="dxa"/>
                  </w:tcMar>
                  <w:vAlign w:val="center"/>
                </w:tcPr>
                <w:p w14:paraId="773B216D">
                  <w:pPr>
                    <w:pStyle w:val="15"/>
                    <w:keepNext w:val="0"/>
                    <w:keepLines/>
                    <w:pageBreakBefore w:val="0"/>
                    <w:kinsoku/>
                    <w:overflowPunct/>
                    <w:autoSpaceDE/>
                    <w:autoSpaceDN/>
                    <w:bidi w:val="0"/>
                    <w:rPr>
                      <w:color w:val="auto"/>
                    </w:rPr>
                  </w:pPr>
                  <w:r>
                    <w:rPr>
                      <w:color w:val="auto"/>
                    </w:rPr>
                    <w:t>直接向海排放污染物的海洋工程建设项目</w:t>
                  </w:r>
                </w:p>
              </w:tc>
              <w:tc>
                <w:tcPr>
                  <w:tcW w:w="1510" w:type="pct"/>
                  <w:tcBorders>
                    <w:tl2br w:val="nil"/>
                    <w:tr2bl w:val="nil"/>
                  </w:tcBorders>
                  <w:tcMar>
                    <w:top w:w="0" w:type="dxa"/>
                    <w:left w:w="0" w:type="dxa"/>
                    <w:bottom w:w="0" w:type="dxa"/>
                    <w:right w:w="0" w:type="dxa"/>
                  </w:tcMar>
                  <w:vAlign w:val="center"/>
                </w:tcPr>
                <w:p w14:paraId="5B8C55B3">
                  <w:pPr>
                    <w:pStyle w:val="15"/>
                    <w:keepNext w:val="0"/>
                    <w:keepLines/>
                    <w:pageBreakBefore w:val="0"/>
                    <w:kinsoku/>
                    <w:overflowPunct/>
                    <w:autoSpaceDE/>
                    <w:autoSpaceDN/>
                    <w:bidi w:val="0"/>
                    <w:rPr>
                      <w:color w:val="auto"/>
                    </w:rPr>
                  </w:pPr>
                  <w:r>
                    <w:rPr>
                      <w:color w:val="auto"/>
                    </w:rPr>
                    <w:t>本项目不属于直接向海排放污染物的海洋工程建设项目</w:t>
                  </w:r>
                </w:p>
              </w:tc>
              <w:tc>
                <w:tcPr>
                  <w:tcW w:w="637" w:type="pct"/>
                  <w:tcBorders>
                    <w:tl2br w:val="nil"/>
                    <w:tr2bl w:val="nil"/>
                  </w:tcBorders>
                  <w:tcMar>
                    <w:top w:w="0" w:type="dxa"/>
                    <w:left w:w="0" w:type="dxa"/>
                    <w:bottom w:w="0" w:type="dxa"/>
                    <w:right w:w="0" w:type="dxa"/>
                  </w:tcMar>
                  <w:vAlign w:val="center"/>
                </w:tcPr>
                <w:p w14:paraId="62AA6BF3">
                  <w:pPr>
                    <w:pStyle w:val="15"/>
                    <w:keepNext w:val="0"/>
                    <w:keepLines/>
                    <w:pageBreakBefore w:val="0"/>
                    <w:kinsoku/>
                    <w:overflowPunct/>
                    <w:autoSpaceDE/>
                    <w:autoSpaceDN/>
                    <w:bidi w:val="0"/>
                    <w:rPr>
                      <w:color w:val="auto"/>
                    </w:rPr>
                  </w:pPr>
                  <w:r>
                    <w:rPr>
                      <w:rFonts w:hint="eastAsia"/>
                      <w:color w:val="auto"/>
                      <w:lang w:eastAsia="zh-CN"/>
                    </w:rPr>
                    <w:t>无须设置</w:t>
                  </w:r>
                  <w:r>
                    <w:rPr>
                      <w:color w:val="auto"/>
                    </w:rPr>
                    <w:t>专项评价</w:t>
                  </w:r>
                </w:p>
              </w:tc>
            </w:tr>
            <w:tr w14:paraId="51E25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tcBorders>
                    <w:tl2br w:val="nil"/>
                    <w:tr2bl w:val="nil"/>
                  </w:tcBorders>
                  <w:tcMar>
                    <w:top w:w="0" w:type="dxa"/>
                    <w:left w:w="0" w:type="dxa"/>
                    <w:bottom w:w="0" w:type="dxa"/>
                    <w:right w:w="0" w:type="dxa"/>
                  </w:tcMar>
                  <w:vAlign w:val="center"/>
                </w:tcPr>
                <w:p w14:paraId="646FA9B4">
                  <w:pPr>
                    <w:pStyle w:val="15"/>
                    <w:keepNext w:val="0"/>
                    <w:keepLines/>
                    <w:pageBreakBefore w:val="0"/>
                    <w:kinsoku/>
                    <w:overflowPunct/>
                    <w:autoSpaceDE/>
                    <w:autoSpaceDN/>
                    <w:bidi w:val="0"/>
                    <w:jc w:val="both"/>
                    <w:rPr>
                      <w:rFonts w:hint="eastAsia"/>
                      <w:color w:val="auto"/>
                    </w:rPr>
                  </w:pPr>
                  <w:r>
                    <w:rPr>
                      <w:rFonts w:hint="eastAsia"/>
                      <w:color w:val="auto"/>
                    </w:rPr>
                    <w:t>注：1.废气中有毒有害污染物指纳入《有毒有害大气污染物名录》的污染物（不包括无排放标准的污染物）。</w:t>
                  </w:r>
                </w:p>
                <w:p w14:paraId="4DECFF4E">
                  <w:pPr>
                    <w:pStyle w:val="15"/>
                    <w:keepNext w:val="0"/>
                    <w:keepLines/>
                    <w:pageBreakBefore w:val="0"/>
                    <w:kinsoku/>
                    <w:overflowPunct/>
                    <w:autoSpaceDE/>
                    <w:autoSpaceDN/>
                    <w:bidi w:val="0"/>
                    <w:jc w:val="both"/>
                    <w:rPr>
                      <w:rFonts w:hint="eastAsia"/>
                      <w:color w:val="auto"/>
                    </w:rPr>
                  </w:pPr>
                  <w:r>
                    <w:rPr>
                      <w:rFonts w:hint="eastAsia"/>
                      <w:color w:val="auto"/>
                    </w:rPr>
                    <w:t>2.环境空气保护目标指自然保护区、风景名胜区、居住区、文化区和农村地区中人群较集中的区域。</w:t>
                  </w:r>
                </w:p>
                <w:p w14:paraId="06AE16FA">
                  <w:pPr>
                    <w:pStyle w:val="15"/>
                    <w:keepNext w:val="0"/>
                    <w:keepLines/>
                    <w:pageBreakBefore w:val="0"/>
                    <w:kinsoku/>
                    <w:overflowPunct/>
                    <w:autoSpaceDE/>
                    <w:autoSpaceDN/>
                    <w:bidi w:val="0"/>
                    <w:jc w:val="both"/>
                    <w:rPr>
                      <w:color w:val="auto"/>
                    </w:rPr>
                  </w:pPr>
                  <w:r>
                    <w:rPr>
                      <w:rFonts w:hint="eastAsia"/>
                      <w:color w:val="auto"/>
                    </w:rPr>
                    <w:t>3.临界量及其计算方法可参考《建设项目环境风险评价技术导则》（HJ 169）附录B、附录C。</w:t>
                  </w:r>
                </w:p>
              </w:tc>
            </w:tr>
          </w:tbl>
          <w:p w14:paraId="6DA4E74F">
            <w:pPr>
              <w:keepNext w:val="0"/>
              <w:keepLines/>
              <w:pageBreakBefore w:val="0"/>
              <w:kinsoku/>
              <w:overflowPunct/>
              <w:autoSpaceDE/>
              <w:autoSpaceDN/>
              <w:bidi w:val="0"/>
              <w:rPr>
                <w:rFonts w:hint="default"/>
              </w:rPr>
            </w:pPr>
            <w:r>
              <w:rPr>
                <w:color w:val="auto"/>
              </w:rPr>
              <w:t>由上表可知，本项目需设置</w:t>
            </w:r>
            <w:r>
              <w:rPr>
                <w:rFonts w:hint="eastAsia"/>
                <w:color w:val="auto"/>
                <w:lang w:val="en-US" w:eastAsia="zh-CN"/>
              </w:rPr>
              <w:t>环境风险</w:t>
            </w:r>
            <w:r>
              <w:rPr>
                <w:color w:val="auto"/>
              </w:rPr>
              <w:t>专项评价。</w:t>
            </w:r>
          </w:p>
        </w:tc>
      </w:tr>
      <w:tr w14:paraId="7BCDB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pct"/>
            <w:noWrap w:val="0"/>
            <w:vAlign w:val="center"/>
          </w:tcPr>
          <w:p w14:paraId="5F214249">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规划情况</w:t>
            </w:r>
          </w:p>
        </w:tc>
        <w:tc>
          <w:tcPr>
            <w:tcW w:w="4318" w:type="pct"/>
            <w:gridSpan w:val="3"/>
            <w:noWrap w:val="0"/>
            <w:vAlign w:val="center"/>
          </w:tcPr>
          <w:p w14:paraId="11213178">
            <w:pPr>
              <w:keepNext w:val="0"/>
              <w:keepLines/>
              <w:pageBreakBefore w:val="0"/>
              <w:widowControl/>
              <w:kinsoku/>
              <w:wordWrap w:val="0"/>
              <w:overflowPunct/>
              <w:topLinePunct/>
              <w:autoSpaceDE/>
              <w:autoSpaceDN/>
              <w:bidi w:val="0"/>
              <w:adjustRightInd w:val="0"/>
              <w:snapToGrid w:val="0"/>
              <w:ind w:firstLine="0" w:firstLineChars="0"/>
              <w:jc w:val="both"/>
              <w:textAlignment w:val="baseline"/>
              <w:rPr>
                <w:rFonts w:hint="default"/>
              </w:rPr>
            </w:pPr>
            <w:r>
              <w:rPr>
                <w:rFonts w:hint="default"/>
              </w:rPr>
              <w:t>规划名称：《胡杨河经济技术开发区化工园区总体规划</w:t>
            </w:r>
            <w:r>
              <w:rPr>
                <w:rFonts w:hint="eastAsia"/>
                <w:lang w:eastAsia="zh-CN"/>
              </w:rPr>
              <w:t>（</w:t>
            </w:r>
            <w:r>
              <w:rPr>
                <w:rFonts w:hint="default"/>
              </w:rPr>
              <w:t>2023</w:t>
            </w:r>
            <w:r>
              <w:rPr>
                <w:rFonts w:hint="eastAsia"/>
                <w:lang w:eastAsia="zh-CN"/>
              </w:rPr>
              <w:t>—</w:t>
            </w:r>
            <w:r>
              <w:rPr>
                <w:rFonts w:hint="default"/>
              </w:rPr>
              <w:t>2035</w:t>
            </w:r>
            <w:r>
              <w:rPr>
                <w:rFonts w:hint="eastAsia"/>
                <w:lang w:eastAsia="zh-CN"/>
              </w:rPr>
              <w:t>）</w:t>
            </w:r>
            <w:r>
              <w:rPr>
                <w:rFonts w:hint="default"/>
              </w:rPr>
              <w:t>》</w:t>
            </w:r>
          </w:p>
          <w:p w14:paraId="21D7ACA7">
            <w:pPr>
              <w:keepNext w:val="0"/>
              <w:keepLines/>
              <w:pageBreakBefore w:val="0"/>
              <w:widowControl/>
              <w:kinsoku/>
              <w:wordWrap w:val="0"/>
              <w:overflowPunct/>
              <w:topLinePunct/>
              <w:autoSpaceDE/>
              <w:autoSpaceDN/>
              <w:bidi w:val="0"/>
              <w:adjustRightInd w:val="0"/>
              <w:snapToGrid w:val="0"/>
              <w:ind w:firstLine="0" w:firstLineChars="0"/>
              <w:jc w:val="both"/>
              <w:textAlignment w:val="baseline"/>
              <w:rPr>
                <w:rFonts w:hint="default" w:eastAsia="宋体"/>
                <w:lang w:val="en-US" w:eastAsia="zh-CN"/>
              </w:rPr>
            </w:pPr>
            <w:r>
              <w:rPr>
                <w:rFonts w:hint="default"/>
              </w:rPr>
              <w:t>审批部门：</w:t>
            </w:r>
            <w:r>
              <w:rPr>
                <w:rFonts w:hint="eastAsia"/>
                <w:lang w:val="en-US" w:eastAsia="zh-CN"/>
              </w:rPr>
              <w:t>新疆生产建设兵团第七师胡杨河市人民政府</w:t>
            </w:r>
          </w:p>
          <w:p w14:paraId="68B13BB9">
            <w:pPr>
              <w:keepNext w:val="0"/>
              <w:keepLines/>
              <w:pageBreakBefore w:val="0"/>
              <w:widowControl/>
              <w:kinsoku/>
              <w:wordWrap w:val="0"/>
              <w:overflowPunct/>
              <w:topLinePunct/>
              <w:autoSpaceDE/>
              <w:autoSpaceDN/>
              <w:bidi w:val="0"/>
              <w:adjustRightInd w:val="0"/>
              <w:snapToGrid w:val="0"/>
              <w:ind w:firstLine="0" w:firstLineChars="0"/>
              <w:jc w:val="both"/>
              <w:textAlignment w:val="baseline"/>
              <w:rPr>
                <w:rFonts w:hint="default"/>
              </w:rPr>
            </w:pPr>
            <w:r>
              <w:rPr>
                <w:rFonts w:hint="default"/>
              </w:rPr>
              <w:t>审批文号：师市函</w:t>
            </w:r>
            <w:r>
              <w:rPr>
                <w:rFonts w:hint="eastAsia"/>
                <w:lang w:eastAsia="zh-CN"/>
              </w:rPr>
              <w:t>〔2025〕8号</w:t>
            </w:r>
          </w:p>
        </w:tc>
      </w:tr>
      <w:tr w14:paraId="35806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pct"/>
            <w:noWrap w:val="0"/>
            <w:vAlign w:val="center"/>
          </w:tcPr>
          <w:p w14:paraId="78623A75">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规划环境影响</w:t>
            </w:r>
          </w:p>
          <w:p w14:paraId="6C570ED8">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评价情况</w:t>
            </w:r>
          </w:p>
        </w:tc>
        <w:tc>
          <w:tcPr>
            <w:tcW w:w="4318" w:type="pct"/>
            <w:gridSpan w:val="3"/>
            <w:noWrap w:val="0"/>
            <w:vAlign w:val="center"/>
          </w:tcPr>
          <w:p w14:paraId="6AA5017D">
            <w:pPr>
              <w:keepNext w:val="0"/>
              <w:keepLines/>
              <w:pageBreakBefore w:val="0"/>
              <w:widowControl/>
              <w:kinsoku/>
              <w:wordWrap w:val="0"/>
              <w:overflowPunct/>
              <w:topLinePunct/>
              <w:autoSpaceDE/>
              <w:autoSpaceDN/>
              <w:bidi w:val="0"/>
              <w:adjustRightInd w:val="0"/>
              <w:snapToGrid w:val="0"/>
              <w:ind w:firstLine="0" w:firstLineChars="0"/>
              <w:textAlignment w:val="baseline"/>
              <w:rPr>
                <w:rFonts w:hint="default"/>
                <w:lang w:val="en-US" w:eastAsia="zh-CN"/>
              </w:rPr>
            </w:pPr>
            <w:r>
              <w:rPr>
                <w:rFonts w:hint="default"/>
                <w:lang w:val="en-US" w:eastAsia="zh-CN"/>
              </w:rPr>
              <w:t>规划环评名称：《胡杨河经济技术开发区总体规划（2021</w:t>
            </w:r>
            <w:r>
              <w:rPr>
                <w:rFonts w:hint="eastAsia"/>
                <w:lang w:val="en-US" w:eastAsia="zh-CN"/>
              </w:rPr>
              <w:t>—</w:t>
            </w:r>
            <w:r>
              <w:rPr>
                <w:rFonts w:hint="default"/>
                <w:lang w:val="en-US" w:eastAsia="zh-CN"/>
              </w:rPr>
              <w:t>2035年）环境影响报告书》</w:t>
            </w:r>
          </w:p>
          <w:p w14:paraId="0FF9B34E">
            <w:pPr>
              <w:keepNext w:val="0"/>
              <w:keepLines/>
              <w:pageBreakBefore w:val="0"/>
              <w:widowControl/>
              <w:kinsoku/>
              <w:wordWrap w:val="0"/>
              <w:overflowPunct/>
              <w:topLinePunct/>
              <w:autoSpaceDE/>
              <w:autoSpaceDN/>
              <w:bidi w:val="0"/>
              <w:adjustRightInd w:val="0"/>
              <w:snapToGrid w:val="0"/>
              <w:ind w:firstLine="0" w:firstLineChars="0"/>
              <w:textAlignment w:val="baseline"/>
              <w:rPr>
                <w:rFonts w:hint="default"/>
                <w:lang w:val="en-US" w:eastAsia="zh-CN"/>
              </w:rPr>
            </w:pPr>
            <w:r>
              <w:rPr>
                <w:rFonts w:hint="default"/>
                <w:lang w:val="en-US" w:eastAsia="zh-CN"/>
              </w:rPr>
              <w:t>审批部门：新疆生产建设兵团生态环境局</w:t>
            </w:r>
          </w:p>
          <w:p w14:paraId="40214C5F">
            <w:pPr>
              <w:keepNext w:val="0"/>
              <w:keepLines/>
              <w:pageBreakBefore w:val="0"/>
              <w:widowControl/>
              <w:kinsoku/>
              <w:wordWrap w:val="0"/>
              <w:overflowPunct/>
              <w:topLinePunct/>
              <w:autoSpaceDE/>
              <w:autoSpaceDN/>
              <w:bidi w:val="0"/>
              <w:adjustRightInd w:val="0"/>
              <w:snapToGrid w:val="0"/>
              <w:ind w:firstLine="0" w:firstLineChars="0"/>
              <w:textAlignment w:val="baseline"/>
              <w:rPr>
                <w:rFonts w:hint="default"/>
                <w:lang w:val="en-US" w:eastAsia="zh-CN"/>
              </w:rPr>
            </w:pPr>
            <w:r>
              <w:rPr>
                <w:rFonts w:hint="default"/>
                <w:lang w:val="en-US" w:eastAsia="zh-CN"/>
              </w:rPr>
              <w:t>审批文号：《关于胡杨河经济技术开发区总体规划（2021</w:t>
            </w:r>
            <w:r>
              <w:rPr>
                <w:rFonts w:hint="eastAsia"/>
                <w:lang w:val="en-US" w:eastAsia="zh-CN"/>
              </w:rPr>
              <w:t>—</w:t>
            </w:r>
            <w:r>
              <w:rPr>
                <w:rFonts w:hint="default"/>
                <w:lang w:val="en-US" w:eastAsia="zh-CN"/>
              </w:rPr>
              <w:t>2035年）环境影响报告书的审查意见》（兵环审〔2022〕2号）</w:t>
            </w:r>
          </w:p>
          <w:p w14:paraId="354BFDE7">
            <w:pPr>
              <w:keepNext w:val="0"/>
              <w:keepLines/>
              <w:pageBreakBefore w:val="0"/>
              <w:widowControl/>
              <w:kinsoku/>
              <w:wordWrap w:val="0"/>
              <w:overflowPunct/>
              <w:topLinePunct/>
              <w:autoSpaceDE/>
              <w:autoSpaceDN/>
              <w:bidi w:val="0"/>
              <w:adjustRightInd w:val="0"/>
              <w:snapToGrid w:val="0"/>
              <w:ind w:firstLine="0" w:firstLineChars="0"/>
              <w:textAlignment w:val="baseline"/>
              <w:rPr>
                <w:rFonts w:hint="default"/>
                <w:lang w:val="en-US" w:eastAsia="zh-CN"/>
              </w:rPr>
            </w:pPr>
            <w:r>
              <w:rPr>
                <w:rFonts w:hint="default"/>
                <w:lang w:val="en-US" w:eastAsia="zh-CN"/>
              </w:rPr>
              <w:t>规划环评名称：《</w:t>
            </w:r>
            <w:r>
              <w:rPr>
                <w:rFonts w:hint="eastAsia"/>
              </w:rPr>
              <w:t>第七师胡杨河经济技术开发区化工园区总体规划</w:t>
            </w:r>
            <w:r>
              <w:rPr>
                <w:rFonts w:hint="eastAsia"/>
                <w:lang w:eastAsia="zh-CN"/>
              </w:rPr>
              <w:t>（</w:t>
            </w:r>
            <w:r>
              <w:rPr>
                <w:rFonts w:hint="eastAsia"/>
              </w:rPr>
              <w:t>2023</w:t>
            </w:r>
            <w:r>
              <w:rPr>
                <w:rFonts w:hint="eastAsia"/>
                <w:lang w:eastAsia="zh-CN"/>
              </w:rPr>
              <w:t>—</w:t>
            </w:r>
            <w:r>
              <w:rPr>
                <w:rFonts w:hint="eastAsia"/>
              </w:rPr>
              <w:t>2035年</w:t>
            </w:r>
            <w:r>
              <w:rPr>
                <w:rFonts w:hint="eastAsia"/>
                <w:lang w:eastAsia="zh-CN"/>
              </w:rPr>
              <w:t>）</w:t>
            </w:r>
            <w:r>
              <w:rPr>
                <w:rFonts w:hint="eastAsia"/>
              </w:rPr>
              <w:t>环境影响报告书</w:t>
            </w:r>
            <w:r>
              <w:rPr>
                <w:rFonts w:hint="default"/>
                <w:lang w:val="en-US" w:eastAsia="zh-CN"/>
              </w:rPr>
              <w:t>》</w:t>
            </w:r>
          </w:p>
          <w:p w14:paraId="5ED59D1D">
            <w:pPr>
              <w:keepNext w:val="0"/>
              <w:keepLines/>
              <w:pageBreakBefore w:val="0"/>
              <w:widowControl/>
              <w:kinsoku/>
              <w:wordWrap w:val="0"/>
              <w:overflowPunct/>
              <w:topLinePunct/>
              <w:autoSpaceDE/>
              <w:autoSpaceDN/>
              <w:bidi w:val="0"/>
              <w:adjustRightInd w:val="0"/>
              <w:snapToGrid w:val="0"/>
              <w:ind w:firstLine="0" w:firstLineChars="0"/>
              <w:textAlignment w:val="baseline"/>
              <w:rPr>
                <w:rFonts w:hint="default"/>
                <w:lang w:val="en-US" w:eastAsia="zh-CN"/>
              </w:rPr>
            </w:pPr>
            <w:r>
              <w:rPr>
                <w:rFonts w:hint="default"/>
                <w:lang w:val="en-US" w:eastAsia="zh-CN"/>
              </w:rPr>
              <w:t>审批部门：新疆生产建设兵团生态环境局</w:t>
            </w:r>
          </w:p>
          <w:p w14:paraId="05F37DA6">
            <w:pPr>
              <w:keepNext w:val="0"/>
              <w:keepLines/>
              <w:pageBreakBefore w:val="0"/>
              <w:widowControl/>
              <w:kinsoku/>
              <w:wordWrap w:val="0"/>
              <w:overflowPunct/>
              <w:topLinePunct/>
              <w:autoSpaceDE/>
              <w:autoSpaceDN/>
              <w:bidi w:val="0"/>
              <w:adjustRightInd w:val="0"/>
              <w:snapToGrid w:val="0"/>
              <w:ind w:firstLine="0" w:firstLineChars="0"/>
              <w:textAlignment w:val="baseline"/>
              <w:rPr>
                <w:rFonts w:hint="default"/>
                <w:lang w:val="en-US" w:eastAsia="zh-CN"/>
              </w:rPr>
            </w:pPr>
            <w:r>
              <w:rPr>
                <w:rFonts w:hint="default"/>
                <w:lang w:val="en-US" w:eastAsia="zh-CN"/>
              </w:rPr>
              <w:t>审批文号：《关于第七师胡杨河经济技术开发区化工园区总体规划</w:t>
            </w:r>
            <w:r>
              <w:rPr>
                <w:rFonts w:hint="eastAsia"/>
                <w:lang w:val="en-US" w:eastAsia="zh-CN"/>
              </w:rPr>
              <w:t>（</w:t>
            </w:r>
            <w:r>
              <w:rPr>
                <w:rFonts w:hint="default"/>
                <w:lang w:val="en-US" w:eastAsia="zh-CN"/>
              </w:rPr>
              <w:t>2023</w:t>
            </w:r>
            <w:r>
              <w:rPr>
                <w:rFonts w:hint="eastAsia"/>
                <w:lang w:val="en-US" w:eastAsia="zh-CN"/>
              </w:rPr>
              <w:t>—</w:t>
            </w:r>
            <w:r>
              <w:rPr>
                <w:rFonts w:hint="default"/>
                <w:lang w:val="en-US" w:eastAsia="zh-CN"/>
              </w:rPr>
              <w:t>2035年</w:t>
            </w:r>
            <w:r>
              <w:rPr>
                <w:rFonts w:hint="eastAsia"/>
                <w:lang w:val="en-US" w:eastAsia="zh-CN"/>
              </w:rPr>
              <w:t>）</w:t>
            </w:r>
            <w:r>
              <w:rPr>
                <w:rFonts w:hint="default"/>
                <w:lang w:val="en-US" w:eastAsia="zh-CN"/>
              </w:rPr>
              <w:t>环境影响报告书的审查意见》（兵环审〔202</w:t>
            </w:r>
            <w:r>
              <w:rPr>
                <w:rFonts w:hint="eastAsia"/>
                <w:lang w:val="en-US" w:eastAsia="zh-CN"/>
              </w:rPr>
              <w:t>4</w:t>
            </w:r>
            <w:r>
              <w:rPr>
                <w:rFonts w:hint="default"/>
                <w:lang w:val="en-US" w:eastAsia="zh-CN"/>
              </w:rPr>
              <w:t>〕</w:t>
            </w:r>
            <w:r>
              <w:rPr>
                <w:rFonts w:hint="eastAsia"/>
                <w:lang w:val="en-US" w:eastAsia="zh-CN"/>
              </w:rPr>
              <w:t>28</w:t>
            </w:r>
            <w:r>
              <w:rPr>
                <w:rFonts w:hint="default"/>
                <w:lang w:val="en-US" w:eastAsia="zh-CN"/>
              </w:rPr>
              <w:t>号）</w:t>
            </w:r>
          </w:p>
        </w:tc>
      </w:tr>
      <w:tr w14:paraId="3CBE5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pct"/>
            <w:noWrap w:val="0"/>
            <w:vAlign w:val="center"/>
          </w:tcPr>
          <w:p w14:paraId="41CF2592">
            <w:pPr>
              <w:keepNext w:val="0"/>
              <w:keepLines/>
              <w:pageBreakBefore w:val="0"/>
              <w:kinsoku/>
              <w:overflowPunct/>
              <w:autoSpaceDE/>
              <w:autoSpaceDN/>
              <w:bidi w:val="0"/>
              <w:spacing w:line="240" w:lineRule="auto"/>
              <w:ind w:firstLine="0" w:firstLineChars="0"/>
              <w:jc w:val="center"/>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t>规划及规划环境影响评价符合性分析</w:t>
            </w:r>
          </w:p>
        </w:tc>
        <w:tc>
          <w:tcPr>
            <w:tcW w:w="4318" w:type="pct"/>
            <w:gridSpan w:val="3"/>
            <w:noWrap w:val="0"/>
            <w:vAlign w:val="center"/>
          </w:tcPr>
          <w:p w14:paraId="467B0FA3">
            <w:pPr>
              <w:pStyle w:val="3"/>
              <w:keepNext w:val="0"/>
              <w:keepLines/>
              <w:pageBreakBefore w:val="0"/>
              <w:kinsoku/>
              <w:overflowPunct/>
              <w:autoSpaceDE/>
              <w:autoSpaceDN/>
              <w:bidi w:val="0"/>
              <w:rPr>
                <w:rFonts w:hint="default"/>
              </w:rPr>
            </w:pPr>
            <w:r>
              <w:rPr>
                <w:rFonts w:hint="default"/>
              </w:rPr>
              <w:t>1</w:t>
            </w:r>
            <w:r>
              <w:rPr>
                <w:rFonts w:hint="eastAsia"/>
                <w:lang w:val="en-US" w:eastAsia="zh-CN"/>
              </w:rPr>
              <w:t>.</w:t>
            </w:r>
            <w:r>
              <w:rPr>
                <w:rFonts w:hint="default"/>
              </w:rPr>
              <w:t>与《胡杨河经济技术开发区总体规划（2021</w:t>
            </w:r>
            <w:r>
              <w:rPr>
                <w:rFonts w:hint="eastAsia"/>
                <w:lang w:eastAsia="zh-CN"/>
              </w:rPr>
              <w:t>—</w:t>
            </w:r>
            <w:r>
              <w:rPr>
                <w:rFonts w:hint="default"/>
              </w:rPr>
              <w:t>2035年）》的符合性分析</w:t>
            </w:r>
          </w:p>
          <w:p w14:paraId="74B2324C">
            <w:pPr>
              <w:keepNext w:val="0"/>
              <w:keepLines/>
              <w:pageBreakBefore w:val="0"/>
              <w:kinsoku/>
              <w:overflowPunct/>
              <w:autoSpaceDE/>
              <w:autoSpaceDN/>
              <w:bidi w:val="0"/>
              <w:rPr>
                <w:rFonts w:hint="default"/>
              </w:rPr>
            </w:pPr>
            <w:r>
              <w:rPr>
                <w:rFonts w:hint="default"/>
              </w:rPr>
              <w:t>根据《胡杨河经济</w:t>
            </w:r>
            <w:r>
              <w:rPr>
                <w:rFonts w:hint="eastAsia"/>
                <w:lang w:eastAsia="zh-CN"/>
              </w:rPr>
              <w:t>技术开发区</w:t>
            </w:r>
            <w:r>
              <w:rPr>
                <w:rFonts w:hint="default"/>
              </w:rPr>
              <w:t>总体规划》（2021-2035）：①2021年，兵团级五五工业园区整合师市自设的胡杨河纺织工业园区组成胡杨河经济技术开发区，胡杨河经济技术开发区整合后面积为71.59km</w:t>
            </w:r>
            <w:r>
              <w:rPr>
                <w:rFonts w:hint="default"/>
                <w:vertAlign w:val="superscript"/>
              </w:rPr>
              <w:t>2</w:t>
            </w:r>
            <w:r>
              <w:rPr>
                <w:rFonts w:hint="default"/>
              </w:rPr>
              <w:t>，具体包括南园区53.82km</w:t>
            </w:r>
            <w:r>
              <w:rPr>
                <w:rFonts w:hint="default"/>
                <w:vertAlign w:val="superscript"/>
              </w:rPr>
              <w:t>2</w:t>
            </w:r>
            <w:r>
              <w:rPr>
                <w:rFonts w:hint="default"/>
              </w:rPr>
              <w:t>、北园区14.47km</w:t>
            </w:r>
            <w:r>
              <w:rPr>
                <w:rFonts w:hint="default"/>
                <w:vertAlign w:val="superscript"/>
              </w:rPr>
              <w:t>2</w:t>
            </w:r>
            <w:r>
              <w:rPr>
                <w:rFonts w:hint="default"/>
              </w:rPr>
              <w:t>、胡杨河纺织工业园区3.30km</w:t>
            </w:r>
            <w:r>
              <w:rPr>
                <w:rFonts w:hint="default"/>
                <w:vertAlign w:val="superscript"/>
              </w:rPr>
              <w:t>2</w:t>
            </w:r>
            <w:r>
              <w:rPr>
                <w:rFonts w:hint="default"/>
              </w:rPr>
              <w:t>。</w:t>
            </w:r>
          </w:p>
          <w:p w14:paraId="79C7739B">
            <w:pPr>
              <w:keepNext w:val="0"/>
              <w:keepLines/>
              <w:pageBreakBefore w:val="0"/>
              <w:kinsoku/>
              <w:overflowPunct/>
              <w:autoSpaceDE/>
              <w:autoSpaceDN/>
              <w:bidi w:val="0"/>
              <w:rPr>
                <w:rFonts w:hint="default"/>
              </w:rPr>
            </w:pPr>
            <w:r>
              <w:rPr>
                <w:rFonts w:hint="default"/>
              </w:rPr>
              <w:t>②发展定位：结合七师本地基础能源价格低、资源种类齐全的优势，利用新型、实用技术，将煤炭、石化原料、玉米等优势基础资源转化为高附加值的化工产品，实现产业链的充分延伸。引进建设一批规模大、产品附加值高、市场前景好的新型化工项目，实现以化工、新材料、纺织三个主导产业，以装备制造、特色农产品加工、新型建材为辅助产业”的新型产业基地，打造“一带一路”经济带上重要化工新材料产品加工集聚区，现代装备制造产业及创新科技产业作为开发区高新科技发展区，城镇服务业与仓储物流业作为生产配套产业，合理引导胡杨河经济技术开发区向“专、精、特、新”的方向发展，实现工业化与城镇化并举。</w:t>
            </w:r>
          </w:p>
          <w:p w14:paraId="271B2E01">
            <w:pPr>
              <w:keepNext w:val="0"/>
              <w:keepLines/>
              <w:pageBreakBefore w:val="0"/>
              <w:kinsoku/>
              <w:overflowPunct/>
              <w:autoSpaceDE/>
              <w:autoSpaceDN/>
              <w:bidi w:val="0"/>
              <w:rPr>
                <w:rFonts w:hint="default"/>
              </w:rPr>
            </w:pPr>
            <w:r>
              <w:rPr>
                <w:rFonts w:hint="default"/>
              </w:rPr>
              <w:t>③南园区规划范围及产业布局：南园区位于129团五五新镇东南侧与胡杨河市东北侧，规划范围北至奎克高速立交（奎车公路、奎克高速公路交汇处），南至130团20连耕地，东邻130团公益工业林，西到奎北铁路，规划面积53.82平方公里。着力发展精细化工、新材料为主导产业；新型建材、仓储物流业为辅助产业；装备制造业、创新科技产业、农产品加工、电子元器件产业作为淮安援疆产城融合发展产业。</w:t>
            </w:r>
          </w:p>
          <w:p w14:paraId="42A6A761">
            <w:pPr>
              <w:keepNext w:val="0"/>
              <w:keepLines/>
              <w:pageBreakBefore w:val="0"/>
              <w:kinsoku/>
              <w:overflowPunct/>
              <w:autoSpaceDE/>
              <w:autoSpaceDN/>
              <w:bidi w:val="0"/>
              <w:rPr>
                <w:rFonts w:hint="eastAsia"/>
                <w:color w:val="auto"/>
                <w:lang w:val="en-US" w:eastAsia="zh-CN"/>
              </w:rPr>
            </w:pPr>
            <w:r>
              <w:rPr>
                <w:rFonts w:hint="eastAsia"/>
                <w:lang w:val="en-US" w:eastAsia="zh-CN"/>
              </w:rPr>
              <w:t>本项目为新疆久塔锦晨生物科技股份有限公司现有厂区酸碱罐区内扩建4座200m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，投产后不改变现有生产工艺及产品规模，仍为</w:t>
            </w:r>
            <w:r>
              <w:rPr>
                <w:rFonts w:hint="eastAsia"/>
                <w:color w:val="auto"/>
                <w:lang w:val="en-US" w:eastAsia="zh-CN"/>
              </w:rPr>
              <w:t>化学农药制造，属于精细化工产业，符合</w:t>
            </w:r>
            <w:r>
              <w:rPr>
                <w:rFonts w:hint="default"/>
                <w:color w:val="auto"/>
                <w:lang w:val="en-US" w:eastAsia="zh-CN"/>
              </w:rPr>
              <w:t>胡杨河经济技术开发区</w:t>
            </w:r>
            <w:r>
              <w:rPr>
                <w:rFonts w:hint="eastAsia"/>
                <w:color w:val="auto"/>
                <w:lang w:val="en-US" w:eastAsia="zh-CN"/>
              </w:rPr>
              <w:t>发展定位。</w:t>
            </w:r>
          </w:p>
          <w:p w14:paraId="3D83E4F1">
            <w:pPr>
              <w:keepNext w:val="0"/>
              <w:keepLines/>
              <w:pageBreakBefore w:val="0"/>
              <w:kinsoku/>
              <w:overflowPunct/>
              <w:autoSpaceDE/>
              <w:autoSpaceDN/>
              <w:bidi w:val="0"/>
              <w:rPr>
                <w:rFonts w:hint="default"/>
                <w:color w:val="auto"/>
                <w:lang w:val="en-US" w:eastAsia="zh-CN"/>
              </w:rPr>
            </w:pPr>
          </w:p>
          <w:p w14:paraId="1FD04EB5">
            <w:pPr>
              <w:pStyle w:val="3"/>
              <w:keepNext w:val="0"/>
              <w:keepLines/>
              <w:pageBreakBefore w:val="0"/>
              <w:kinsoku/>
              <w:overflowPunct/>
              <w:autoSpaceDE/>
              <w:autoSpaceDN/>
              <w:bidi w:val="0"/>
              <w:rPr>
                <w:rFonts w:hint="default"/>
                <w:b/>
                <w:bCs/>
              </w:rPr>
            </w:pPr>
            <w:r>
              <w:rPr>
                <w:rFonts w:hint="eastAsia"/>
                <w:b/>
                <w:bCs/>
                <w:lang w:val="en-US" w:eastAsia="zh-CN"/>
              </w:rPr>
              <w:t>2.</w:t>
            </w:r>
            <w:r>
              <w:rPr>
                <w:rFonts w:hint="default"/>
                <w:b/>
                <w:bCs/>
              </w:rPr>
              <w:t>与《第七师胡杨河经济技术开发区化工园区总体规划（2023</w:t>
            </w:r>
            <w:r>
              <w:rPr>
                <w:rFonts w:hint="eastAsia"/>
                <w:b/>
                <w:bCs/>
                <w:lang w:eastAsia="zh-CN"/>
              </w:rPr>
              <w:t>—</w:t>
            </w:r>
            <w:r>
              <w:rPr>
                <w:rFonts w:hint="default"/>
                <w:b/>
                <w:bCs/>
              </w:rPr>
              <w:t>2035年）》的符合性分析</w:t>
            </w:r>
          </w:p>
          <w:p w14:paraId="678BF905">
            <w:pPr>
              <w:keepNext w:val="0"/>
              <w:keepLines/>
              <w:pageBreakBefore w:val="0"/>
              <w:kinsoku/>
              <w:overflowPunct/>
              <w:autoSpaceDE/>
              <w:autoSpaceDN/>
              <w:bidi w:val="0"/>
              <w:rPr>
                <w:rFonts w:hint="default"/>
              </w:rPr>
            </w:pPr>
            <w:r>
              <w:rPr>
                <w:rFonts w:hint="default"/>
              </w:rPr>
              <w:t>2021年1月，兵团印发《关于公布第一批兵团化工园区名单的通知》（新兵发〔2021〕8号）将胡杨河经济技术开发区化工园区确定为兵团化工园区（包括南园区、北园区）。化工园区南园区规划面积约26.48平方公里，规划范围：东至天北大道，西至奎克高速公路，南至高新二路，北至北环路；化工园区北园区规划面积约14.53平方公里，规划范围：东侧、北侧紧邻克拉玛依市荒漠区，西邻奎克高速公路，南邻129团10连。</w:t>
            </w:r>
          </w:p>
          <w:p w14:paraId="0D12C62D">
            <w:pPr>
              <w:keepNext w:val="0"/>
              <w:keepLines/>
              <w:pageBreakBefore w:val="0"/>
              <w:kinsoku/>
              <w:overflowPunct/>
              <w:autoSpaceDE/>
              <w:autoSpaceDN/>
              <w:bidi w:val="0"/>
              <w:rPr>
                <w:rFonts w:hint="default"/>
              </w:rPr>
            </w:pPr>
            <w:r>
              <w:rPr>
                <w:rFonts w:hint="default"/>
              </w:rPr>
              <w:t>胡杨河经济技术开发区化工园区发展定位是打造以煤化工为龙头，以精细化工、化工新材料等板块为主导的融合发展的产业体系，成为兵团新型化工基地和师市工业经济的引领者，打造“一带一路”经济带上的重要化工产业集聚区。</w:t>
            </w:r>
          </w:p>
          <w:p w14:paraId="3ABFEB50">
            <w:pPr>
              <w:keepNext w:val="0"/>
              <w:keepLines/>
              <w:pageBreakBefore w:val="0"/>
              <w:kinsoku/>
              <w:overflowPunct/>
              <w:autoSpaceDE/>
              <w:autoSpaceDN/>
              <w:bidi w:val="0"/>
              <w:rPr>
                <w:rFonts w:hint="default"/>
              </w:rPr>
            </w:pPr>
            <w:r>
              <w:rPr>
                <w:rFonts w:hint="eastAsia"/>
                <w:lang w:val="en-US" w:eastAsia="zh-CN"/>
              </w:rPr>
              <w:t>本项目为新疆久塔锦晨生物科技股份有限公司现有厂区内酸碱罐区内扩建4座200m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，投产后不改变现有生产工艺及产品规模，仍为</w:t>
            </w:r>
            <w:r>
              <w:rPr>
                <w:rFonts w:hint="eastAsia"/>
                <w:color w:val="auto"/>
                <w:lang w:val="en-US" w:eastAsia="zh-CN"/>
              </w:rPr>
              <w:t>化学农药制造，属于《第七师胡杨河经济技术开发区化工园区总体规划（2023—2035年）》中规划产业中的精细化工产业，</w:t>
            </w:r>
            <w:r>
              <w:rPr>
                <w:rFonts w:hint="default"/>
              </w:rPr>
              <w:t>符合《第七师胡杨河经济技术开发区化工园区总体规划（2023</w:t>
            </w:r>
            <w:r>
              <w:rPr>
                <w:rFonts w:hint="eastAsia"/>
                <w:lang w:eastAsia="zh-CN"/>
              </w:rPr>
              <w:t>—</w:t>
            </w:r>
            <w:r>
              <w:rPr>
                <w:rFonts w:hint="default"/>
              </w:rPr>
              <w:t>2035年）》的相关要求。</w:t>
            </w:r>
          </w:p>
          <w:p w14:paraId="2902F01C">
            <w:pPr>
              <w:keepNext w:val="0"/>
              <w:keepLines/>
              <w:pageBreakBefore w:val="0"/>
              <w:kinsoku/>
              <w:overflowPunct/>
              <w:autoSpaceDE/>
              <w:autoSpaceDN/>
              <w:bidi w:val="0"/>
              <w:rPr>
                <w:rFonts w:hint="default"/>
              </w:rPr>
            </w:pPr>
          </w:p>
          <w:p w14:paraId="6258C0DF">
            <w:pPr>
              <w:keepNext w:val="0"/>
              <w:keepLines/>
              <w:pageBreakBefore w:val="0"/>
              <w:kinsoku/>
              <w:overflowPunct/>
              <w:autoSpaceDE/>
              <w:autoSpaceDN/>
              <w:bidi w:val="0"/>
              <w:rPr>
                <w:rFonts w:hint="default"/>
              </w:rPr>
            </w:pPr>
          </w:p>
          <w:p w14:paraId="5E1F98DB">
            <w:pPr>
              <w:keepNext w:val="0"/>
              <w:keepLines/>
              <w:pageBreakBefore w:val="0"/>
              <w:kinsoku/>
              <w:overflowPunct/>
              <w:autoSpaceDE/>
              <w:autoSpaceDN/>
              <w:bidi w:val="0"/>
              <w:rPr>
                <w:rFonts w:hint="default"/>
              </w:rPr>
            </w:pPr>
          </w:p>
          <w:p w14:paraId="09E28A2B">
            <w:pPr>
              <w:keepNext w:val="0"/>
              <w:keepLines/>
              <w:pageBreakBefore w:val="0"/>
              <w:kinsoku/>
              <w:overflowPunct/>
              <w:autoSpaceDE/>
              <w:autoSpaceDN/>
              <w:bidi w:val="0"/>
              <w:rPr>
                <w:rFonts w:hint="default"/>
              </w:rPr>
            </w:pPr>
          </w:p>
          <w:p w14:paraId="073C6D8D">
            <w:pPr>
              <w:keepNext w:val="0"/>
              <w:keepLines/>
              <w:pageBreakBefore w:val="0"/>
              <w:kinsoku/>
              <w:overflowPunct/>
              <w:autoSpaceDE/>
              <w:autoSpaceDN/>
              <w:bidi w:val="0"/>
              <w:rPr>
                <w:rFonts w:hint="default"/>
              </w:rPr>
            </w:pPr>
          </w:p>
          <w:p w14:paraId="7A48FDEB">
            <w:pPr>
              <w:keepNext w:val="0"/>
              <w:keepLines/>
              <w:pageBreakBefore w:val="0"/>
              <w:kinsoku/>
              <w:overflowPunct/>
              <w:autoSpaceDE/>
              <w:autoSpaceDN/>
              <w:bidi w:val="0"/>
              <w:rPr>
                <w:rFonts w:hint="default"/>
              </w:rPr>
            </w:pPr>
          </w:p>
          <w:p w14:paraId="77BA0BCA">
            <w:pPr>
              <w:pStyle w:val="3"/>
              <w:keepNext w:val="0"/>
              <w:keepLines/>
              <w:pageBreakBefore w:val="0"/>
              <w:kinsoku/>
              <w:overflowPunct/>
              <w:autoSpaceDE/>
              <w:autoSpaceDN/>
              <w:bidi w:val="0"/>
              <w:rPr>
                <w:rFonts w:hint="default"/>
                <w:lang w:val="en-US" w:eastAsia="zh-CN"/>
              </w:rPr>
            </w:pPr>
            <w:r>
              <w:rPr>
                <w:rFonts w:hint="eastAsia"/>
                <w:lang w:val="en-US" w:eastAsia="zh-CN"/>
              </w:rPr>
              <w:t>3.与《胡杨河经济技术开发区总体规划（2021—2035年）环境影响报告书》及审查意见符合性分析</w:t>
            </w:r>
          </w:p>
          <w:p w14:paraId="2932C536">
            <w:pPr>
              <w:keepNext w:val="0"/>
              <w:keepLines/>
              <w:pageBreakBefore w:val="0"/>
              <w:kinsoku/>
              <w:overflowPunct/>
              <w:autoSpaceDE/>
              <w:autoSpaceDN/>
              <w:bidi w:val="0"/>
              <w:rPr>
                <w:rFonts w:hint="eastAsia"/>
                <w:lang w:val="en-US" w:eastAsia="zh-CN"/>
              </w:rPr>
            </w:pPr>
            <w:r>
              <w:rPr>
                <w:rFonts w:hint="eastAsia"/>
                <w:lang w:val="en-US" w:eastAsia="zh-CN"/>
              </w:rPr>
              <w:t>项目与《胡杨河经济技术开发区总体规划（2021—2035年）环境影响报告书》及审查意见符合性分析见下表2。</w:t>
            </w:r>
          </w:p>
          <w:p w14:paraId="7C7AD17E">
            <w:pPr>
              <w:pStyle w:val="16"/>
              <w:keepNext w:val="0"/>
              <w:keepLines/>
              <w:pageBreakBefore w:val="0"/>
              <w:kinsoku/>
              <w:overflowPunct/>
              <w:autoSpaceDE/>
              <w:autoSpaceDN/>
              <w:bidi w:val="0"/>
              <w:rPr>
                <w:rFonts w:hint="eastAsia"/>
                <w:lang w:val="en-US" w:eastAsia="zh-CN"/>
              </w:rPr>
            </w:pPr>
            <w:r>
              <w:t xml:space="preserve">表 </w:t>
            </w:r>
            <w:r>
              <w:fldChar w:fldCharType="begin"/>
            </w:r>
            <w:r>
              <w:instrText xml:space="preserve"> SEQ 表 \* ARABIC </w:instrText>
            </w:r>
            <w:r>
              <w:fldChar w:fldCharType="separate"/>
            </w:r>
            <w:r>
              <w:t>2</w:t>
            </w:r>
            <w:r>
              <w:fldChar w:fldCharType="end"/>
            </w:r>
            <w:r>
              <w:rPr>
                <w:rFonts w:hint="eastAsia"/>
                <w:lang w:val="en-US" w:eastAsia="zh-CN"/>
              </w:rPr>
              <w:t xml:space="preserve">  与《胡杨河经济技术开发区总体规划（2021—2035年）环境影响报告书》及审查意见符合性分析</w:t>
            </w:r>
          </w:p>
          <w:tbl>
            <w:tblPr>
              <w:tblStyle w:val="11"/>
              <w:tblW w:w="69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
              <w:gridCol w:w="4609"/>
              <w:gridCol w:w="1515"/>
              <w:gridCol w:w="550"/>
            </w:tblGrid>
            <w:tr w14:paraId="19808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89" w:type="dxa"/>
                  <w:gridSpan w:val="2"/>
                  <w:tcBorders>
                    <w:tl2br w:val="nil"/>
                    <w:tr2bl w:val="nil"/>
                  </w:tcBorders>
                  <w:noWrap w:val="0"/>
                  <w:tcMar>
                    <w:top w:w="0" w:type="dxa"/>
                    <w:left w:w="0" w:type="dxa"/>
                    <w:bottom w:w="0" w:type="dxa"/>
                    <w:right w:w="0" w:type="dxa"/>
                  </w:tcMar>
                  <w:vAlign w:val="center"/>
                </w:tcPr>
                <w:p w14:paraId="3DED6700">
                  <w:pPr>
                    <w:pStyle w:val="15"/>
                    <w:keepNext w:val="0"/>
                    <w:keepLines/>
                    <w:pageBreakBefore w:val="0"/>
                    <w:kinsoku/>
                    <w:overflowPunct/>
                    <w:autoSpaceDE/>
                    <w:autoSpaceDN/>
                    <w:bidi w:val="0"/>
                  </w:pPr>
                  <w:r>
                    <w:t>审查意见</w:t>
                  </w:r>
                </w:p>
              </w:tc>
              <w:tc>
                <w:tcPr>
                  <w:tcW w:w="1515" w:type="dxa"/>
                  <w:tcBorders>
                    <w:tl2br w:val="nil"/>
                    <w:tr2bl w:val="nil"/>
                  </w:tcBorders>
                  <w:noWrap w:val="0"/>
                  <w:tcMar>
                    <w:top w:w="0" w:type="dxa"/>
                    <w:left w:w="0" w:type="dxa"/>
                    <w:bottom w:w="0" w:type="dxa"/>
                    <w:right w:w="0" w:type="dxa"/>
                  </w:tcMar>
                  <w:vAlign w:val="center"/>
                </w:tcPr>
                <w:p w14:paraId="09CE8149">
                  <w:pPr>
                    <w:pStyle w:val="15"/>
                    <w:keepNext w:val="0"/>
                    <w:keepLines/>
                    <w:pageBreakBefore w:val="0"/>
                    <w:kinsoku/>
                    <w:overflowPunct/>
                    <w:autoSpaceDE/>
                    <w:autoSpaceDN/>
                    <w:bidi w:val="0"/>
                  </w:pPr>
                  <w:r>
                    <w:t>本项目情况</w:t>
                  </w:r>
                </w:p>
              </w:tc>
              <w:tc>
                <w:tcPr>
                  <w:tcW w:w="550" w:type="dxa"/>
                  <w:tcBorders>
                    <w:tl2br w:val="nil"/>
                    <w:tr2bl w:val="nil"/>
                  </w:tcBorders>
                  <w:noWrap w:val="0"/>
                  <w:tcMar>
                    <w:top w:w="0" w:type="dxa"/>
                    <w:left w:w="0" w:type="dxa"/>
                    <w:bottom w:w="0" w:type="dxa"/>
                    <w:right w:w="0" w:type="dxa"/>
                  </w:tcMar>
                  <w:vAlign w:val="center"/>
                </w:tcPr>
                <w:p w14:paraId="3BCEED91">
                  <w:pPr>
                    <w:pStyle w:val="15"/>
                    <w:keepNext w:val="0"/>
                    <w:keepLines/>
                    <w:pageBreakBefore w:val="0"/>
                    <w:kinsoku/>
                    <w:overflowPunct/>
                    <w:autoSpaceDE/>
                    <w:autoSpaceDN/>
                    <w:bidi w:val="0"/>
                  </w:pPr>
                  <w:r>
                    <w:t>符合性</w:t>
                  </w:r>
                </w:p>
              </w:tc>
            </w:tr>
            <w:tr w14:paraId="1B55F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dxa"/>
                  <w:tcBorders>
                    <w:tl2br w:val="nil"/>
                    <w:tr2bl w:val="nil"/>
                  </w:tcBorders>
                  <w:noWrap w:val="0"/>
                  <w:tcMar>
                    <w:top w:w="0" w:type="dxa"/>
                    <w:left w:w="0" w:type="dxa"/>
                    <w:bottom w:w="0" w:type="dxa"/>
                    <w:right w:w="0" w:type="dxa"/>
                  </w:tcMar>
                  <w:vAlign w:val="center"/>
                </w:tcPr>
                <w:p w14:paraId="06332948">
                  <w:pPr>
                    <w:pStyle w:val="15"/>
                    <w:keepNext w:val="0"/>
                    <w:keepLines/>
                    <w:pageBreakBefore w:val="0"/>
                    <w:kinsoku/>
                    <w:overflowPunct/>
                    <w:autoSpaceDE/>
                    <w:autoSpaceDN/>
                    <w:bidi w:val="0"/>
                  </w:pPr>
                  <w:r>
                    <w:t>1</w:t>
                  </w:r>
                </w:p>
              </w:tc>
              <w:tc>
                <w:tcPr>
                  <w:tcW w:w="4609" w:type="dxa"/>
                  <w:tcBorders>
                    <w:tl2br w:val="nil"/>
                    <w:tr2bl w:val="nil"/>
                  </w:tcBorders>
                  <w:noWrap w:val="0"/>
                  <w:tcMar>
                    <w:top w:w="0" w:type="dxa"/>
                    <w:left w:w="0" w:type="dxa"/>
                    <w:bottom w:w="0" w:type="dxa"/>
                    <w:right w:w="0" w:type="dxa"/>
                  </w:tcMar>
                  <w:vAlign w:val="center"/>
                </w:tcPr>
                <w:p w14:paraId="4371C02B">
                  <w:pPr>
                    <w:pStyle w:val="15"/>
                    <w:keepNext w:val="0"/>
                    <w:keepLines/>
                    <w:pageBreakBefore w:val="0"/>
                    <w:kinsoku/>
                    <w:overflowPunct/>
                    <w:autoSpaceDE/>
                    <w:autoSpaceDN/>
                    <w:bidi w:val="0"/>
                  </w:pPr>
                  <w:r>
                    <w:t>优化开发区产业结构和布局，坚持绿色发展。坚持以环境质量改善为核心，遵循环保优先和绿色发展原则，结合区域实际及上位规划，依据所在产业区块功能及环保要求，确保产业区块的完整性和延续性，按照新兵函</w:t>
                  </w:r>
                  <w:r>
                    <w:rPr>
                      <w:rFonts w:hint="eastAsia"/>
                      <w:lang w:eastAsia="zh-CN"/>
                    </w:rPr>
                    <w:t>〔2020〕24号</w:t>
                  </w:r>
                  <w:r>
                    <w:t>文件批复的主导产业，合理确定开发区产业结构和布局，不同功能区之间应设置必要的缓冲带。严格按照《关于公布第一批兵团化工园区名单的通知》（新兵发</w:t>
                  </w:r>
                  <w:r>
                    <w:rPr>
                      <w:rFonts w:hint="eastAsia"/>
                      <w:lang w:eastAsia="zh-CN"/>
                    </w:rPr>
                    <w:t>〔2021〕8号）</w:t>
                  </w:r>
                  <w:r>
                    <w:t>中确定的化工区范围布局化工产业。南园区不再布局资源型源头加工类产业，禁止新建、扩建以原煤、原油、重油等为原料的化工产业项目，通过产业链引导化工区块向精细化工、新材料产业方向发展。避免开发区内各园区产业重复布局，纺织园区不再布局电子元器件产业。结合生态环境管控、环境风险防控要求，对开发区企业实现清单式管理，制定产业发展负面清单和东西部产业转移优先准入清单，根据开发区产业结构和产业链，结合资源利用上线、环境质量底线，完善生态环境准入清单。</w:t>
                  </w:r>
                </w:p>
              </w:tc>
              <w:tc>
                <w:tcPr>
                  <w:tcW w:w="1515" w:type="dxa"/>
                  <w:tcBorders>
                    <w:tl2br w:val="nil"/>
                    <w:tr2bl w:val="nil"/>
                  </w:tcBorders>
                  <w:noWrap w:val="0"/>
                  <w:tcMar>
                    <w:top w:w="0" w:type="dxa"/>
                    <w:left w:w="0" w:type="dxa"/>
                    <w:bottom w:w="0" w:type="dxa"/>
                    <w:right w:w="0" w:type="dxa"/>
                  </w:tcMar>
                  <w:vAlign w:val="center"/>
                </w:tcPr>
                <w:p w14:paraId="668E10A8">
                  <w:pPr>
                    <w:pStyle w:val="15"/>
                    <w:keepNext w:val="0"/>
                    <w:keepLines/>
                    <w:pageBreakBefore w:val="0"/>
                    <w:kinsoku/>
                    <w:overflowPunct/>
                    <w:autoSpaceDE/>
                    <w:autoSpaceDN/>
                    <w:bidi w:val="0"/>
                  </w:pPr>
                  <w:r>
                    <w:t>本项目不属于新建、扩建以原煤、原油、重油等为原料的化工产业项目；项目建设符合胡杨河经济技术开发区南园区的空间布局和产业规划，符合南园区的占地要求；项目建设符合胡杨河市生态环境准入清单要求。</w:t>
                  </w:r>
                </w:p>
              </w:tc>
              <w:tc>
                <w:tcPr>
                  <w:tcW w:w="550" w:type="dxa"/>
                  <w:tcBorders>
                    <w:tl2br w:val="nil"/>
                    <w:tr2bl w:val="nil"/>
                  </w:tcBorders>
                  <w:noWrap w:val="0"/>
                  <w:tcMar>
                    <w:top w:w="0" w:type="dxa"/>
                    <w:left w:w="0" w:type="dxa"/>
                    <w:bottom w:w="0" w:type="dxa"/>
                    <w:right w:w="0" w:type="dxa"/>
                  </w:tcMar>
                  <w:vAlign w:val="center"/>
                </w:tcPr>
                <w:p w14:paraId="2D9B6DEE">
                  <w:pPr>
                    <w:pStyle w:val="15"/>
                    <w:keepNext w:val="0"/>
                    <w:keepLines/>
                    <w:pageBreakBefore w:val="0"/>
                    <w:kinsoku/>
                    <w:overflowPunct/>
                    <w:autoSpaceDE/>
                    <w:autoSpaceDN/>
                    <w:bidi w:val="0"/>
                  </w:pPr>
                  <w:r>
                    <w:t>符合</w:t>
                  </w:r>
                </w:p>
              </w:tc>
            </w:tr>
            <w:tr w14:paraId="27873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dxa"/>
                  <w:tcBorders>
                    <w:tl2br w:val="nil"/>
                    <w:tr2bl w:val="nil"/>
                  </w:tcBorders>
                  <w:noWrap w:val="0"/>
                  <w:tcMar>
                    <w:top w:w="0" w:type="dxa"/>
                    <w:left w:w="0" w:type="dxa"/>
                    <w:bottom w:w="0" w:type="dxa"/>
                    <w:right w:w="0" w:type="dxa"/>
                  </w:tcMar>
                  <w:vAlign w:val="center"/>
                </w:tcPr>
                <w:p w14:paraId="2167FAE4">
                  <w:pPr>
                    <w:pStyle w:val="15"/>
                    <w:keepNext w:val="0"/>
                    <w:keepLines/>
                    <w:pageBreakBefore w:val="0"/>
                    <w:kinsoku/>
                    <w:overflowPunct/>
                    <w:autoSpaceDE/>
                    <w:autoSpaceDN/>
                    <w:bidi w:val="0"/>
                  </w:pPr>
                  <w:r>
                    <w:t>2</w:t>
                  </w:r>
                </w:p>
              </w:tc>
              <w:tc>
                <w:tcPr>
                  <w:tcW w:w="4609" w:type="dxa"/>
                  <w:tcBorders>
                    <w:tl2br w:val="nil"/>
                    <w:tr2bl w:val="nil"/>
                  </w:tcBorders>
                  <w:noWrap w:val="0"/>
                  <w:tcMar>
                    <w:top w:w="0" w:type="dxa"/>
                    <w:left w:w="0" w:type="dxa"/>
                    <w:bottom w:w="0" w:type="dxa"/>
                    <w:right w:w="0" w:type="dxa"/>
                  </w:tcMar>
                  <w:vAlign w:val="center"/>
                </w:tcPr>
                <w:p w14:paraId="3870B00B">
                  <w:pPr>
                    <w:pStyle w:val="15"/>
                    <w:keepNext w:val="0"/>
                    <w:keepLines/>
                    <w:pageBreakBefore w:val="0"/>
                    <w:kinsoku/>
                    <w:overflowPunct/>
                    <w:autoSpaceDE/>
                    <w:autoSpaceDN/>
                    <w:bidi w:val="0"/>
                  </w:pPr>
                  <w:r>
                    <w:t>严格控制“两高”行业发展规模，优化规划布局、产业结构与实施时序。通过积极转变生产和生活方式、调整能源消费结构、加强资源节约，统筹协调推进</w:t>
                  </w:r>
                  <w:r>
                    <w:rPr>
                      <w:rFonts w:hint="eastAsia"/>
                      <w:lang w:eastAsia="zh-CN"/>
                    </w:rPr>
                    <w:t>经济</w:t>
                  </w:r>
                  <w:r>
                    <w:t>社会发展。深入开展应对气候变化工作，切实增强控制温室气体排放能力。促进经济绿色低碳可持续发展，引导重点行业向绿色低碳方向转型，针对开发区规划从碳排放产业规模、结构调整、原料替代、能源利用效率提升、绿色清洁能源利用、废物节能与低碳化处置等方面提出节能、减煤和碳减排建议，推动减污治污减碳协同共治。对于生产技术落后、清洁生产水平偏低和不符合开发区规划的现状企业，采取逐步退出机制。</w:t>
                  </w:r>
                </w:p>
              </w:tc>
              <w:tc>
                <w:tcPr>
                  <w:tcW w:w="1515" w:type="dxa"/>
                  <w:tcBorders>
                    <w:tl2br w:val="nil"/>
                    <w:tr2bl w:val="nil"/>
                  </w:tcBorders>
                  <w:noWrap w:val="0"/>
                  <w:tcMar>
                    <w:top w:w="0" w:type="dxa"/>
                    <w:left w:w="0" w:type="dxa"/>
                    <w:bottom w:w="0" w:type="dxa"/>
                    <w:right w:w="0" w:type="dxa"/>
                  </w:tcMar>
                  <w:vAlign w:val="center"/>
                </w:tcPr>
                <w:p w14:paraId="7404EC64">
                  <w:pPr>
                    <w:pStyle w:val="15"/>
                    <w:keepNext w:val="0"/>
                    <w:keepLines/>
                    <w:pageBreakBefore w:val="0"/>
                    <w:kinsoku/>
                    <w:overflowPunct/>
                    <w:autoSpaceDE/>
                    <w:autoSpaceDN/>
                    <w:bidi w:val="0"/>
                  </w:pPr>
                  <w:r>
                    <w:t>项目选址位于胡杨河经济技术开发区内，不属于生态红线保护区，属于重点管控单元；项目建设符合胡杨河市</w:t>
                  </w:r>
                  <w:r>
                    <w:rPr>
                      <w:rFonts w:hint="eastAsia"/>
                      <w:lang w:val="en-US" w:eastAsia="zh-CN"/>
                    </w:rPr>
                    <w:t>分区管控</w:t>
                  </w:r>
                  <w:r>
                    <w:t>的要求</w:t>
                  </w:r>
                </w:p>
              </w:tc>
              <w:tc>
                <w:tcPr>
                  <w:tcW w:w="550" w:type="dxa"/>
                  <w:tcBorders>
                    <w:tl2br w:val="nil"/>
                    <w:tr2bl w:val="nil"/>
                  </w:tcBorders>
                  <w:noWrap w:val="0"/>
                  <w:tcMar>
                    <w:top w:w="0" w:type="dxa"/>
                    <w:left w:w="0" w:type="dxa"/>
                    <w:bottom w:w="0" w:type="dxa"/>
                    <w:right w:w="0" w:type="dxa"/>
                  </w:tcMar>
                  <w:vAlign w:val="center"/>
                </w:tcPr>
                <w:p w14:paraId="381495B6">
                  <w:pPr>
                    <w:pStyle w:val="15"/>
                    <w:keepNext w:val="0"/>
                    <w:keepLines/>
                    <w:pageBreakBefore w:val="0"/>
                    <w:kinsoku/>
                    <w:overflowPunct/>
                    <w:autoSpaceDE/>
                    <w:autoSpaceDN/>
                    <w:bidi w:val="0"/>
                  </w:pPr>
                  <w:r>
                    <w:t>符合</w:t>
                  </w:r>
                </w:p>
              </w:tc>
            </w:tr>
            <w:tr w14:paraId="7527D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dxa"/>
                  <w:tcBorders>
                    <w:tl2br w:val="nil"/>
                    <w:tr2bl w:val="nil"/>
                  </w:tcBorders>
                  <w:noWrap w:val="0"/>
                  <w:tcMar>
                    <w:top w:w="0" w:type="dxa"/>
                    <w:left w:w="0" w:type="dxa"/>
                    <w:bottom w:w="0" w:type="dxa"/>
                    <w:right w:w="0" w:type="dxa"/>
                  </w:tcMar>
                  <w:vAlign w:val="center"/>
                </w:tcPr>
                <w:p w14:paraId="623B73D1">
                  <w:pPr>
                    <w:pStyle w:val="15"/>
                    <w:keepNext w:val="0"/>
                    <w:keepLines/>
                    <w:pageBreakBefore w:val="0"/>
                    <w:kinsoku/>
                    <w:overflowPunct/>
                    <w:autoSpaceDE/>
                    <w:autoSpaceDN/>
                    <w:bidi w:val="0"/>
                  </w:pPr>
                  <w:r>
                    <w:t>3</w:t>
                  </w:r>
                </w:p>
              </w:tc>
              <w:tc>
                <w:tcPr>
                  <w:tcW w:w="4609" w:type="dxa"/>
                  <w:tcBorders>
                    <w:tl2br w:val="nil"/>
                    <w:tr2bl w:val="nil"/>
                  </w:tcBorders>
                  <w:noWrap w:val="0"/>
                  <w:tcMar>
                    <w:top w:w="0" w:type="dxa"/>
                    <w:left w:w="0" w:type="dxa"/>
                    <w:bottom w:w="0" w:type="dxa"/>
                    <w:right w:w="0" w:type="dxa"/>
                  </w:tcMar>
                  <w:vAlign w:val="center"/>
                </w:tcPr>
                <w:p w14:paraId="5C291A82">
                  <w:pPr>
                    <w:pStyle w:val="15"/>
                    <w:keepNext w:val="0"/>
                    <w:keepLines/>
                    <w:pageBreakBefore w:val="0"/>
                    <w:kinsoku/>
                    <w:overflowPunct/>
                    <w:autoSpaceDE/>
                    <w:autoSpaceDN/>
                    <w:bidi w:val="0"/>
                  </w:pPr>
                  <w:r>
                    <w:t>严守生态保护红线，加强空间管控。进一步优化开发区的空间布局，通过优化开发区产业空间布局、调整土地用途等方式，</w:t>
                  </w:r>
                  <w:r>
                    <w:rPr>
                      <w:rFonts w:hint="eastAsia"/>
                      <w:lang w:eastAsia="zh-CN"/>
                    </w:rPr>
                    <w:t>完善</w:t>
                  </w:r>
                  <w:r>
                    <w:t>生态保障空间要求。重点关注大气污染综合治理、保护区域大气环境质量、开发区周边地表水水体水质、区域地下水环境、</w:t>
                  </w:r>
                  <w:r>
                    <w:rPr>
                      <w:rFonts w:hint="eastAsia"/>
                      <w:lang w:eastAsia="zh-CN"/>
                    </w:rPr>
                    <w:t>土壤环境</w:t>
                  </w:r>
                  <w:r>
                    <w:t>、生态环境，对开发区内企业提出具体管控要求衔接兵团和师市“三线一单”成果，落实、细化开发区所在生态环境管控单元的管控要求，保障规划实施不突破区域生态保护红线环境质量底线和资源利用上线。做好与师市国土空间规划的衔接从全局的角度以资源承载能力和国土空间开发适宜性评价来支撑开发区规划实施。</w:t>
                  </w:r>
                </w:p>
              </w:tc>
              <w:tc>
                <w:tcPr>
                  <w:tcW w:w="1515" w:type="dxa"/>
                  <w:tcBorders>
                    <w:tl2br w:val="nil"/>
                    <w:tr2bl w:val="nil"/>
                  </w:tcBorders>
                  <w:noWrap w:val="0"/>
                  <w:tcMar>
                    <w:top w:w="0" w:type="dxa"/>
                    <w:left w:w="0" w:type="dxa"/>
                    <w:bottom w:w="0" w:type="dxa"/>
                    <w:right w:w="0" w:type="dxa"/>
                  </w:tcMar>
                  <w:vAlign w:val="center"/>
                </w:tcPr>
                <w:p w14:paraId="4B61699D">
                  <w:pPr>
                    <w:pStyle w:val="15"/>
                    <w:keepNext w:val="0"/>
                    <w:keepLines/>
                    <w:pageBreakBefore w:val="0"/>
                    <w:kinsoku/>
                    <w:overflowPunct/>
                    <w:autoSpaceDE/>
                    <w:autoSpaceDN/>
                    <w:bidi w:val="0"/>
                    <w:rPr>
                      <w:rFonts w:hint="default"/>
                      <w:lang w:val="en-US" w:eastAsia="zh-CN"/>
                    </w:rPr>
                  </w:pPr>
                  <w:r>
                    <w:t>项目严格落实总量管控要求，废气经处理后可实现达标排放，项目符合</w:t>
                  </w:r>
                  <w:r>
                    <w:rPr>
                      <w:rFonts w:hint="eastAsia"/>
                      <w:lang w:val="en-US" w:eastAsia="zh-CN"/>
                    </w:rPr>
                    <w:t>分区管控要求</w:t>
                  </w:r>
                </w:p>
              </w:tc>
              <w:tc>
                <w:tcPr>
                  <w:tcW w:w="550" w:type="dxa"/>
                  <w:tcBorders>
                    <w:tl2br w:val="nil"/>
                    <w:tr2bl w:val="nil"/>
                  </w:tcBorders>
                  <w:noWrap w:val="0"/>
                  <w:tcMar>
                    <w:top w:w="0" w:type="dxa"/>
                    <w:left w:w="0" w:type="dxa"/>
                    <w:bottom w:w="0" w:type="dxa"/>
                    <w:right w:w="0" w:type="dxa"/>
                  </w:tcMar>
                  <w:vAlign w:val="center"/>
                </w:tcPr>
                <w:p w14:paraId="30438745">
                  <w:pPr>
                    <w:pStyle w:val="15"/>
                    <w:keepNext w:val="0"/>
                    <w:keepLines/>
                    <w:pageBreakBefore w:val="0"/>
                    <w:kinsoku/>
                    <w:overflowPunct/>
                    <w:autoSpaceDE/>
                    <w:autoSpaceDN/>
                    <w:bidi w:val="0"/>
                  </w:pPr>
                  <w:r>
                    <w:t>符合</w:t>
                  </w:r>
                </w:p>
              </w:tc>
            </w:tr>
            <w:tr w14:paraId="3C574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dxa"/>
                  <w:tcBorders>
                    <w:tl2br w:val="nil"/>
                    <w:tr2bl w:val="nil"/>
                  </w:tcBorders>
                  <w:noWrap w:val="0"/>
                  <w:tcMar>
                    <w:top w:w="0" w:type="dxa"/>
                    <w:left w:w="0" w:type="dxa"/>
                    <w:bottom w:w="0" w:type="dxa"/>
                    <w:right w:w="0" w:type="dxa"/>
                  </w:tcMar>
                  <w:vAlign w:val="center"/>
                </w:tcPr>
                <w:p w14:paraId="5E90CA7B">
                  <w:pPr>
                    <w:pStyle w:val="15"/>
                    <w:keepNext w:val="0"/>
                    <w:keepLines/>
                    <w:pageBreakBefore w:val="0"/>
                    <w:kinsoku/>
                    <w:overflowPunct/>
                    <w:autoSpaceDE/>
                    <w:autoSpaceDN/>
                    <w:bidi w:val="0"/>
                  </w:pPr>
                  <w:r>
                    <w:t>4</w:t>
                  </w:r>
                </w:p>
              </w:tc>
              <w:tc>
                <w:tcPr>
                  <w:tcW w:w="4609" w:type="dxa"/>
                  <w:tcBorders>
                    <w:tl2br w:val="nil"/>
                    <w:tr2bl w:val="nil"/>
                  </w:tcBorders>
                  <w:noWrap w:val="0"/>
                  <w:tcMar>
                    <w:top w:w="0" w:type="dxa"/>
                    <w:left w:w="0" w:type="dxa"/>
                    <w:bottom w:w="0" w:type="dxa"/>
                    <w:right w:w="0" w:type="dxa"/>
                  </w:tcMar>
                  <w:vAlign w:val="center"/>
                </w:tcPr>
                <w:p w14:paraId="2E94E340">
                  <w:pPr>
                    <w:pStyle w:val="15"/>
                    <w:keepNext w:val="0"/>
                    <w:keepLines/>
                    <w:pageBreakBefore w:val="0"/>
                    <w:kinsoku/>
                    <w:overflowPunct/>
                    <w:autoSpaceDE/>
                    <w:autoSpaceDN/>
                    <w:bidi w:val="0"/>
                  </w:pPr>
                  <w:r>
                    <w:t>坚守环境质量底线，严格污染物总量管控，对标《自治区严禁“三高”项目进新疆推进经济高质量发展实施方案》严格开发区项目准入。依据规划区域及周边环境质量改善目标建立开发区污染物削减台账，落实重点行业区域削减措施，纳入日常环境管理工作，建立考核机制，并与排污许可制度衔接，确保区域环境质量有效改善。推进现有企业工艺技术和污染治理技术改造，各类污染物排放须满足国家及自治区最新污染物排放标准要求。</w:t>
                  </w:r>
                </w:p>
              </w:tc>
              <w:tc>
                <w:tcPr>
                  <w:tcW w:w="1515" w:type="dxa"/>
                  <w:tcBorders>
                    <w:tl2br w:val="nil"/>
                    <w:tr2bl w:val="nil"/>
                  </w:tcBorders>
                  <w:noWrap w:val="0"/>
                  <w:tcMar>
                    <w:top w:w="0" w:type="dxa"/>
                    <w:left w:w="0" w:type="dxa"/>
                    <w:bottom w:w="0" w:type="dxa"/>
                    <w:right w:w="0" w:type="dxa"/>
                  </w:tcMar>
                  <w:vAlign w:val="center"/>
                </w:tcPr>
                <w:p w14:paraId="0790DF04">
                  <w:pPr>
                    <w:pStyle w:val="15"/>
                    <w:keepNext w:val="0"/>
                    <w:keepLines/>
                    <w:pageBreakBefore w:val="0"/>
                    <w:kinsoku/>
                    <w:overflowPunct/>
                    <w:autoSpaceDE/>
                    <w:autoSpaceDN/>
                    <w:bidi w:val="0"/>
                  </w:pPr>
                  <w:r>
                    <w:t>项目建设符合胡杨河经济技术开发区南园区生态环境准入清单要求，严格落实污染物总量控制，可以实现各污染物</w:t>
                  </w:r>
                  <w:r>
                    <w:rPr>
                      <w:rFonts w:hint="eastAsia"/>
                      <w:lang w:eastAsia="zh-CN"/>
                    </w:rPr>
                    <w:t>达标排放。</w:t>
                  </w:r>
                </w:p>
              </w:tc>
              <w:tc>
                <w:tcPr>
                  <w:tcW w:w="550" w:type="dxa"/>
                  <w:tcBorders>
                    <w:tl2br w:val="nil"/>
                    <w:tr2bl w:val="nil"/>
                  </w:tcBorders>
                  <w:noWrap w:val="0"/>
                  <w:tcMar>
                    <w:top w:w="0" w:type="dxa"/>
                    <w:left w:w="0" w:type="dxa"/>
                    <w:bottom w:w="0" w:type="dxa"/>
                    <w:right w:w="0" w:type="dxa"/>
                  </w:tcMar>
                  <w:vAlign w:val="center"/>
                </w:tcPr>
                <w:p w14:paraId="5803AA7E">
                  <w:pPr>
                    <w:pStyle w:val="15"/>
                    <w:keepNext w:val="0"/>
                    <w:keepLines/>
                    <w:pageBreakBefore w:val="0"/>
                    <w:kinsoku/>
                    <w:overflowPunct/>
                    <w:autoSpaceDE/>
                    <w:autoSpaceDN/>
                    <w:bidi w:val="0"/>
                  </w:pPr>
                  <w:r>
                    <w:t>符合</w:t>
                  </w:r>
                </w:p>
              </w:tc>
            </w:tr>
            <w:tr w14:paraId="09FEE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dxa"/>
                  <w:tcBorders>
                    <w:tl2br w:val="nil"/>
                    <w:tr2bl w:val="nil"/>
                  </w:tcBorders>
                  <w:noWrap w:val="0"/>
                  <w:tcMar>
                    <w:top w:w="0" w:type="dxa"/>
                    <w:left w:w="0" w:type="dxa"/>
                    <w:bottom w:w="0" w:type="dxa"/>
                    <w:right w:w="0" w:type="dxa"/>
                  </w:tcMar>
                  <w:vAlign w:val="center"/>
                </w:tcPr>
                <w:p w14:paraId="48017DC8">
                  <w:pPr>
                    <w:pStyle w:val="15"/>
                    <w:keepNext w:val="0"/>
                    <w:keepLines/>
                    <w:pageBreakBefore w:val="0"/>
                    <w:kinsoku/>
                    <w:overflowPunct/>
                    <w:autoSpaceDE/>
                    <w:autoSpaceDN/>
                    <w:bidi w:val="0"/>
                  </w:pPr>
                  <w:r>
                    <w:t>5</w:t>
                  </w:r>
                </w:p>
              </w:tc>
              <w:tc>
                <w:tcPr>
                  <w:tcW w:w="4609" w:type="dxa"/>
                  <w:tcBorders>
                    <w:tl2br w:val="nil"/>
                    <w:tr2bl w:val="nil"/>
                  </w:tcBorders>
                  <w:noWrap w:val="0"/>
                  <w:tcMar>
                    <w:top w:w="0" w:type="dxa"/>
                    <w:left w:w="0" w:type="dxa"/>
                    <w:bottom w:w="0" w:type="dxa"/>
                    <w:right w:w="0" w:type="dxa"/>
                  </w:tcMar>
                  <w:vAlign w:val="center"/>
                </w:tcPr>
                <w:p w14:paraId="20E0D237">
                  <w:pPr>
                    <w:pStyle w:val="15"/>
                    <w:keepNext w:val="0"/>
                    <w:keepLines/>
                    <w:pageBreakBefore w:val="0"/>
                    <w:kinsoku/>
                    <w:overflowPunct/>
                    <w:autoSpaceDE/>
                    <w:autoSpaceDN/>
                    <w:bidi w:val="0"/>
                  </w:pPr>
                  <w:r>
                    <w:t>严格能源消耗总量和消耗强度“双控”，坚持“以水定产以水定量”，严格入园产业和项目的生态环境准入。严格按照规划产业布局入驻企业，结合区域发展定位、开发布局、生态环境保护目标，实行入园企业环保准入审核制度，不符合产业政策、行业准入条件、生态环境准入清单及自治区党委明令禁止的“三高”项目一律不得入驻园区。引进项目的生产工艺、设备、污染治理技术，以及单位产品能耗、物耗、污染物排放和资源利用效率均需达到同行业国内先进水平，积极推进产业的技术进步和园区循环化改造，构建绿色、低碳园区。开发区水资源利用不得突破《新疆用水总量控制方案》确定的第七师水资源利用上线指标，土地。</w:t>
                  </w:r>
                </w:p>
              </w:tc>
              <w:tc>
                <w:tcPr>
                  <w:tcW w:w="1515" w:type="dxa"/>
                  <w:tcBorders>
                    <w:tl2br w:val="nil"/>
                    <w:tr2bl w:val="nil"/>
                  </w:tcBorders>
                  <w:noWrap w:val="0"/>
                  <w:tcMar>
                    <w:top w:w="0" w:type="dxa"/>
                    <w:left w:w="0" w:type="dxa"/>
                    <w:bottom w:w="0" w:type="dxa"/>
                    <w:right w:w="0" w:type="dxa"/>
                  </w:tcMar>
                  <w:vAlign w:val="center"/>
                </w:tcPr>
                <w:p w14:paraId="3910CD72">
                  <w:pPr>
                    <w:pStyle w:val="15"/>
                    <w:keepNext w:val="0"/>
                    <w:keepLines/>
                    <w:pageBreakBefore w:val="0"/>
                    <w:kinsoku/>
                    <w:overflowPunct/>
                    <w:autoSpaceDE/>
                    <w:autoSpaceDN/>
                    <w:bidi w:val="0"/>
                  </w:pPr>
                  <w:r>
                    <w:t>项目废气经处理后可实现达标排放，</w:t>
                  </w:r>
                  <w:r>
                    <w:rPr>
                      <w:rFonts w:hint="eastAsia"/>
                      <w:lang w:val="en-US" w:eastAsia="zh-CN"/>
                    </w:rPr>
                    <w:t>整体项目</w:t>
                  </w:r>
                  <w:r>
                    <w:t>建设符合胡杨河经济技术开发区南园区的空间布局和产业规划</w:t>
                  </w:r>
                </w:p>
              </w:tc>
              <w:tc>
                <w:tcPr>
                  <w:tcW w:w="550" w:type="dxa"/>
                  <w:tcBorders>
                    <w:tl2br w:val="nil"/>
                    <w:tr2bl w:val="nil"/>
                  </w:tcBorders>
                  <w:noWrap w:val="0"/>
                  <w:tcMar>
                    <w:top w:w="0" w:type="dxa"/>
                    <w:left w:w="0" w:type="dxa"/>
                    <w:bottom w:w="0" w:type="dxa"/>
                    <w:right w:w="0" w:type="dxa"/>
                  </w:tcMar>
                  <w:vAlign w:val="center"/>
                </w:tcPr>
                <w:p w14:paraId="2788C953">
                  <w:pPr>
                    <w:pStyle w:val="15"/>
                    <w:keepNext w:val="0"/>
                    <w:keepLines/>
                    <w:pageBreakBefore w:val="0"/>
                    <w:kinsoku/>
                    <w:overflowPunct/>
                    <w:autoSpaceDE/>
                    <w:autoSpaceDN/>
                    <w:bidi w:val="0"/>
                  </w:pPr>
                  <w:r>
                    <w:t>符合</w:t>
                  </w:r>
                </w:p>
              </w:tc>
            </w:tr>
            <w:tr w14:paraId="1A42A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dxa"/>
                  <w:tcBorders>
                    <w:tl2br w:val="nil"/>
                    <w:tr2bl w:val="nil"/>
                  </w:tcBorders>
                  <w:noWrap w:val="0"/>
                  <w:tcMar>
                    <w:top w:w="0" w:type="dxa"/>
                    <w:left w:w="0" w:type="dxa"/>
                    <w:bottom w:w="0" w:type="dxa"/>
                    <w:right w:w="0" w:type="dxa"/>
                  </w:tcMar>
                  <w:vAlign w:val="center"/>
                </w:tcPr>
                <w:p w14:paraId="24B385FD">
                  <w:pPr>
                    <w:pStyle w:val="15"/>
                    <w:keepNext w:val="0"/>
                    <w:keepLines/>
                    <w:pageBreakBefore w:val="0"/>
                    <w:kinsoku/>
                    <w:overflowPunct/>
                    <w:autoSpaceDE/>
                    <w:autoSpaceDN/>
                    <w:bidi w:val="0"/>
                  </w:pPr>
                  <w:r>
                    <w:t>6</w:t>
                  </w:r>
                </w:p>
              </w:tc>
              <w:tc>
                <w:tcPr>
                  <w:tcW w:w="4609" w:type="dxa"/>
                  <w:tcBorders>
                    <w:tl2br w:val="nil"/>
                    <w:tr2bl w:val="nil"/>
                  </w:tcBorders>
                  <w:noWrap w:val="0"/>
                  <w:tcMar>
                    <w:top w:w="0" w:type="dxa"/>
                    <w:left w:w="0" w:type="dxa"/>
                    <w:bottom w:w="0" w:type="dxa"/>
                    <w:right w:w="0" w:type="dxa"/>
                  </w:tcMar>
                  <w:vAlign w:val="center"/>
                </w:tcPr>
                <w:p w14:paraId="5364F464">
                  <w:pPr>
                    <w:pStyle w:val="15"/>
                    <w:keepNext w:val="0"/>
                    <w:keepLines/>
                    <w:pageBreakBefore w:val="0"/>
                    <w:kinsoku/>
                    <w:overflowPunct/>
                    <w:autoSpaceDE/>
                    <w:autoSpaceDN/>
                    <w:bidi w:val="0"/>
                  </w:pPr>
                  <w:r>
                    <w:t>强化开发区环境风险管理，强化应急响应联动机制，保障城市人居环境安全和生态环境安全。配备应急物资，定期开展应急演习，不断完善环境风险应急预案，防控开发区储运中可能引发的环境风险。</w:t>
                  </w:r>
                </w:p>
              </w:tc>
              <w:tc>
                <w:tcPr>
                  <w:tcW w:w="1515" w:type="dxa"/>
                  <w:tcBorders>
                    <w:tl2br w:val="nil"/>
                    <w:tr2bl w:val="nil"/>
                  </w:tcBorders>
                  <w:noWrap w:val="0"/>
                  <w:tcMar>
                    <w:top w:w="0" w:type="dxa"/>
                    <w:left w:w="0" w:type="dxa"/>
                    <w:bottom w:w="0" w:type="dxa"/>
                    <w:right w:w="0" w:type="dxa"/>
                  </w:tcMar>
                  <w:vAlign w:val="center"/>
                </w:tcPr>
                <w:p w14:paraId="0BFC1637">
                  <w:pPr>
                    <w:pStyle w:val="15"/>
                    <w:keepNext w:val="0"/>
                    <w:keepLines/>
                    <w:pageBreakBefore w:val="0"/>
                    <w:kinsoku/>
                    <w:overflowPunct/>
                    <w:autoSpaceDE/>
                    <w:autoSpaceDN/>
                    <w:bidi w:val="0"/>
                  </w:pPr>
                  <w:r>
                    <w:t>环评建议，项目营运期按</w:t>
                  </w:r>
                  <w:r>
                    <w:rPr>
                      <w:rFonts w:hint="eastAsia"/>
                      <w:lang w:eastAsia="zh-CN"/>
                    </w:rPr>
                    <w:t>要求</w:t>
                  </w:r>
                  <w:r>
                    <w:t>配置应急物资，定期开展应急演练，制定突发环境事件应急预案</w:t>
                  </w:r>
                </w:p>
              </w:tc>
              <w:tc>
                <w:tcPr>
                  <w:tcW w:w="550" w:type="dxa"/>
                  <w:tcBorders>
                    <w:tl2br w:val="nil"/>
                    <w:tr2bl w:val="nil"/>
                  </w:tcBorders>
                  <w:noWrap w:val="0"/>
                  <w:tcMar>
                    <w:top w:w="0" w:type="dxa"/>
                    <w:left w:w="0" w:type="dxa"/>
                    <w:bottom w:w="0" w:type="dxa"/>
                    <w:right w:w="0" w:type="dxa"/>
                  </w:tcMar>
                  <w:vAlign w:val="center"/>
                </w:tcPr>
                <w:p w14:paraId="2C0368EF">
                  <w:pPr>
                    <w:pStyle w:val="15"/>
                    <w:keepNext w:val="0"/>
                    <w:keepLines/>
                    <w:pageBreakBefore w:val="0"/>
                    <w:kinsoku/>
                    <w:overflowPunct/>
                    <w:autoSpaceDE/>
                    <w:autoSpaceDN/>
                    <w:bidi w:val="0"/>
                  </w:pPr>
                  <w:r>
                    <w:t>符合</w:t>
                  </w:r>
                </w:p>
              </w:tc>
            </w:tr>
          </w:tbl>
          <w:p w14:paraId="35A8AF6E">
            <w:pPr>
              <w:keepNext w:val="0"/>
              <w:keepLines/>
              <w:pageBreakBefore w:val="0"/>
              <w:kinsoku/>
              <w:overflowPunct/>
              <w:autoSpaceDE/>
              <w:autoSpaceDN/>
              <w:bidi w:val="0"/>
              <w:rPr>
                <w:rFonts w:hint="eastAsia"/>
                <w:lang w:val="en-US" w:eastAsia="zh-CN"/>
              </w:rPr>
            </w:pPr>
            <w:r>
              <w:rPr>
                <w:rFonts w:hint="eastAsia"/>
                <w:lang w:val="en-US" w:eastAsia="zh-CN"/>
              </w:rPr>
              <w:t>综上分析，新疆久塔锦晨生物科技股份有限公司现有厂区内酸碱罐区内扩建4座200m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，投产后不改变现有生产工艺及产品规模，符合《胡杨河经济技术开发区总体规划（2021—2035年）环境影响报告书》及审查意见的相关要求。</w:t>
            </w:r>
          </w:p>
          <w:p w14:paraId="7A56EDCC">
            <w:pPr>
              <w:pStyle w:val="3"/>
              <w:keepNext w:val="0"/>
              <w:keepLines/>
              <w:pageBreakBefore w:val="0"/>
              <w:kinsoku/>
              <w:overflowPunct/>
              <w:autoSpaceDE/>
              <w:autoSpaceDN/>
              <w:bidi w:val="0"/>
              <w:rPr>
                <w:rFonts w:hint="eastAsia"/>
                <w:lang w:val="en-US" w:eastAsia="zh-CN"/>
              </w:rPr>
            </w:pPr>
            <w:r>
              <w:rPr>
                <w:rFonts w:hint="eastAsia"/>
                <w:lang w:val="en-US" w:eastAsia="zh-CN"/>
              </w:rPr>
              <w:t>4.与《第七师胡杨河经济技术开发区化工园区总体规划（2023-2035年）环境影响报告书》及其审查意见符合性分析</w:t>
            </w:r>
          </w:p>
          <w:p w14:paraId="5A41DD98">
            <w:pPr>
              <w:keepNext w:val="0"/>
              <w:keepLines/>
              <w:pageBreakBefore w:val="0"/>
              <w:kinsoku/>
              <w:overflowPunct/>
              <w:autoSpaceDE/>
              <w:autoSpaceDN/>
              <w:bidi w:val="0"/>
              <w:rPr>
                <w:rFonts w:hint="eastAsia"/>
                <w:lang w:val="en-US" w:eastAsia="zh-CN"/>
              </w:rPr>
            </w:pPr>
            <w:r>
              <w:rPr>
                <w:rFonts w:hint="default"/>
                <w:lang w:val="en-US" w:eastAsia="zh-CN"/>
              </w:rPr>
              <w:t>本项目</w:t>
            </w:r>
            <w:r>
              <w:rPr>
                <w:rFonts w:hint="eastAsia"/>
                <w:lang w:val="en-US" w:eastAsia="zh-CN"/>
              </w:rPr>
              <w:t>与</w:t>
            </w:r>
            <w:r>
              <w:rPr>
                <w:rFonts w:hint="default"/>
                <w:lang w:val="en-US" w:eastAsia="zh-CN"/>
              </w:rPr>
              <w:t>《第七师胡杨河经济技术开发区化工园区总体规划（2023</w:t>
            </w:r>
            <w:r>
              <w:rPr>
                <w:rFonts w:hint="eastAsia"/>
                <w:lang w:val="en-US" w:eastAsia="zh-CN"/>
              </w:rPr>
              <w:t>—</w:t>
            </w:r>
            <w:r>
              <w:rPr>
                <w:rFonts w:hint="default"/>
                <w:lang w:val="en-US" w:eastAsia="zh-CN"/>
              </w:rPr>
              <w:t>2035年）环境影响</w:t>
            </w:r>
            <w:r>
              <w:rPr>
                <w:rFonts w:hint="eastAsia"/>
                <w:lang w:val="en-US" w:eastAsia="zh-CN"/>
              </w:rPr>
              <w:t>报告书</w:t>
            </w:r>
            <w:r>
              <w:rPr>
                <w:rFonts w:hint="default"/>
                <w:lang w:val="en-US" w:eastAsia="zh-CN"/>
              </w:rPr>
              <w:t>》及其审查意见符合性分析</w:t>
            </w:r>
            <w:r>
              <w:rPr>
                <w:rFonts w:hint="eastAsia"/>
                <w:lang w:val="en-US" w:eastAsia="zh-CN"/>
              </w:rPr>
              <w:t>见下表3。</w:t>
            </w:r>
          </w:p>
          <w:p w14:paraId="62DFDBD2">
            <w:pPr>
              <w:pStyle w:val="16"/>
              <w:keepNext w:val="0"/>
              <w:keepLines/>
              <w:pageBreakBefore w:val="0"/>
              <w:kinsoku/>
              <w:overflowPunct/>
              <w:autoSpaceDE/>
              <w:autoSpaceDN/>
              <w:bidi w:val="0"/>
              <w:rPr>
                <w:rFonts w:hint="eastAsia"/>
                <w:lang w:val="en-US" w:eastAsia="zh-CN"/>
              </w:rPr>
            </w:pPr>
            <w:r>
              <w:t xml:space="preserve">表 </w:t>
            </w:r>
            <w:r>
              <w:fldChar w:fldCharType="begin"/>
            </w:r>
            <w:r>
              <w:instrText xml:space="preserve"> SEQ 表 \* ARABIC </w:instrText>
            </w:r>
            <w:r>
              <w:fldChar w:fldCharType="separate"/>
            </w:r>
            <w:r>
              <w:t>3</w:t>
            </w:r>
            <w:r>
              <w:fldChar w:fldCharType="end"/>
            </w:r>
            <w:r>
              <w:rPr>
                <w:rFonts w:hint="eastAsia"/>
                <w:lang w:val="en-US" w:eastAsia="zh-CN"/>
              </w:rPr>
              <w:t xml:space="preserve">  与</w:t>
            </w:r>
            <w:r>
              <w:rPr>
                <w:rFonts w:hint="default"/>
                <w:lang w:val="en-US" w:eastAsia="zh-CN"/>
              </w:rPr>
              <w:t>《第七师胡杨河经济技术开发区化工园区总体规划（2023</w:t>
            </w:r>
            <w:r>
              <w:rPr>
                <w:rFonts w:hint="eastAsia"/>
                <w:lang w:val="en-US" w:eastAsia="zh-CN"/>
              </w:rPr>
              <w:t>—</w:t>
            </w:r>
            <w:r>
              <w:rPr>
                <w:rFonts w:hint="default"/>
                <w:lang w:val="en-US" w:eastAsia="zh-CN"/>
              </w:rPr>
              <w:t>2035年）环境影响</w:t>
            </w:r>
            <w:r>
              <w:rPr>
                <w:rFonts w:hint="eastAsia"/>
                <w:lang w:val="en-US" w:eastAsia="zh-CN"/>
              </w:rPr>
              <w:t>报告书</w:t>
            </w:r>
            <w:r>
              <w:rPr>
                <w:rFonts w:hint="default"/>
                <w:lang w:val="en-US" w:eastAsia="zh-CN"/>
              </w:rPr>
              <w:t>》及其审查意见符合性分析</w:t>
            </w:r>
            <w:r>
              <w:rPr>
                <w:rFonts w:hint="eastAsia"/>
                <w:lang w:val="en-US" w:eastAsia="zh-CN"/>
              </w:rPr>
              <w:t>一览表</w:t>
            </w:r>
          </w:p>
          <w:tbl>
            <w:tblPr>
              <w:tblStyle w:val="1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86"/>
              <w:gridCol w:w="3347"/>
              <w:gridCol w:w="2338"/>
              <w:gridCol w:w="762"/>
            </w:tblGrid>
            <w:tr w14:paraId="3CC55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50" w:type="pct"/>
                  <w:tcBorders>
                    <w:tl2br w:val="nil"/>
                    <w:tr2bl w:val="nil"/>
                  </w:tcBorders>
                  <w:vAlign w:val="center"/>
                </w:tcPr>
                <w:p w14:paraId="53044611">
                  <w:pPr>
                    <w:pStyle w:val="15"/>
                    <w:keepNext w:val="0"/>
                    <w:keepLines/>
                    <w:pageBreakBefore w:val="0"/>
                    <w:kinsoku/>
                    <w:overflowPunct/>
                    <w:autoSpaceDE/>
                    <w:autoSpaceDN/>
                    <w:bidi w:val="0"/>
                    <w:jc w:val="center"/>
                  </w:pPr>
                  <w:r>
                    <w:t>序号</w:t>
                  </w:r>
                </w:p>
              </w:tc>
              <w:tc>
                <w:tcPr>
                  <w:tcW w:w="2413" w:type="pct"/>
                  <w:tcBorders>
                    <w:tl2br w:val="nil"/>
                    <w:tr2bl w:val="nil"/>
                  </w:tcBorders>
                  <w:vAlign w:val="center"/>
                </w:tcPr>
                <w:p w14:paraId="3ACCF8B0">
                  <w:pPr>
                    <w:pStyle w:val="15"/>
                    <w:keepNext w:val="0"/>
                    <w:keepLines/>
                    <w:pageBreakBefore w:val="0"/>
                    <w:kinsoku/>
                    <w:overflowPunct/>
                    <w:autoSpaceDE/>
                    <w:autoSpaceDN/>
                    <w:bidi w:val="0"/>
                    <w:jc w:val="center"/>
                  </w:pPr>
                  <w:r>
                    <w:t>相关要求</w:t>
                  </w:r>
                </w:p>
              </w:tc>
              <w:tc>
                <w:tcPr>
                  <w:tcW w:w="1686" w:type="pct"/>
                  <w:tcBorders>
                    <w:tl2br w:val="nil"/>
                    <w:tr2bl w:val="nil"/>
                  </w:tcBorders>
                  <w:vAlign w:val="center"/>
                </w:tcPr>
                <w:p w14:paraId="4528F07D">
                  <w:pPr>
                    <w:pStyle w:val="15"/>
                    <w:keepNext w:val="0"/>
                    <w:keepLines/>
                    <w:pageBreakBefore w:val="0"/>
                    <w:kinsoku/>
                    <w:overflowPunct/>
                    <w:autoSpaceDE/>
                    <w:autoSpaceDN/>
                    <w:bidi w:val="0"/>
                    <w:jc w:val="center"/>
                  </w:pPr>
                  <w:r>
                    <w:t>本项目</w:t>
                  </w:r>
                </w:p>
              </w:tc>
              <w:tc>
                <w:tcPr>
                  <w:tcW w:w="549" w:type="pct"/>
                  <w:tcBorders>
                    <w:tl2br w:val="nil"/>
                    <w:tr2bl w:val="nil"/>
                  </w:tcBorders>
                  <w:vAlign w:val="center"/>
                </w:tcPr>
                <w:p w14:paraId="5789BFB2">
                  <w:pPr>
                    <w:pStyle w:val="15"/>
                    <w:keepNext w:val="0"/>
                    <w:keepLines/>
                    <w:pageBreakBefore w:val="0"/>
                    <w:kinsoku/>
                    <w:overflowPunct/>
                    <w:autoSpaceDE/>
                    <w:autoSpaceDN/>
                    <w:bidi w:val="0"/>
                    <w:jc w:val="center"/>
                  </w:pPr>
                  <w:r>
                    <w:t>符合性</w:t>
                  </w:r>
                </w:p>
              </w:tc>
            </w:tr>
            <w:tr w14:paraId="6B7A2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350" w:type="pct"/>
                  <w:tcBorders>
                    <w:tl2br w:val="nil"/>
                    <w:tr2bl w:val="nil"/>
                  </w:tcBorders>
                  <w:vAlign w:val="center"/>
                </w:tcPr>
                <w:p w14:paraId="5D868F8F">
                  <w:pPr>
                    <w:pStyle w:val="15"/>
                    <w:keepNext w:val="0"/>
                    <w:keepLines/>
                    <w:pageBreakBefore w:val="0"/>
                    <w:kinsoku/>
                    <w:overflowPunct/>
                    <w:autoSpaceDE/>
                    <w:autoSpaceDN/>
                    <w:bidi w:val="0"/>
                    <w:jc w:val="center"/>
                  </w:pPr>
                  <w:r>
                    <w:t>1</w:t>
                  </w:r>
                </w:p>
              </w:tc>
              <w:tc>
                <w:tcPr>
                  <w:tcW w:w="2413" w:type="pct"/>
                  <w:tcBorders>
                    <w:tl2br w:val="nil"/>
                    <w:tr2bl w:val="nil"/>
                  </w:tcBorders>
                  <w:vAlign w:val="center"/>
                </w:tcPr>
                <w:p w14:paraId="798FA700">
                  <w:pPr>
                    <w:pStyle w:val="15"/>
                    <w:keepNext w:val="0"/>
                    <w:keepLines/>
                    <w:pageBreakBefore w:val="0"/>
                    <w:kinsoku/>
                    <w:overflowPunct/>
                    <w:autoSpaceDE/>
                    <w:autoSpaceDN/>
                    <w:bidi w:val="0"/>
                    <w:jc w:val="center"/>
                  </w:pPr>
                  <w:r>
                    <w:rPr>
                      <w:rFonts w:hint="eastAsia"/>
                      <w:lang w:eastAsia="zh-CN"/>
                    </w:rPr>
                    <w:t>（一）</w:t>
                  </w:r>
                  <w:r>
                    <w:t>细化园区产业发展定位，结合资源利用上线、环境质量底线，依据《产业结构调整指导目录》《市场准入负面清单》完善重点产业生态环境准入清单。推动减污治污减碳协同共治，促进经济绿色低碳发展、引导重点行业和园区产业向绿色低碳方向可持续发展。</w:t>
                  </w:r>
                </w:p>
              </w:tc>
              <w:tc>
                <w:tcPr>
                  <w:tcW w:w="1686" w:type="pct"/>
                  <w:tcBorders>
                    <w:tl2br w:val="nil"/>
                    <w:tr2bl w:val="nil"/>
                  </w:tcBorders>
                  <w:vAlign w:val="center"/>
                </w:tcPr>
                <w:p w14:paraId="7FBE69B7">
                  <w:pPr>
                    <w:pStyle w:val="15"/>
                    <w:keepNext w:val="0"/>
                    <w:keepLines/>
                    <w:pageBreakBefore w:val="0"/>
                    <w:kinsoku/>
                    <w:overflowPunct/>
                    <w:autoSpaceDE/>
                    <w:autoSpaceDN/>
                    <w:bidi w:val="0"/>
                    <w:jc w:val="center"/>
                  </w:pPr>
                  <w:r>
                    <w:rPr>
                      <w:rFonts w:hint="eastAsia"/>
                    </w:rPr>
                    <w:t>新疆久塔锦晨生物科技股份有限公司现有厂区内酸碱罐区内</w:t>
                  </w:r>
                  <w:r>
                    <w:rPr>
                      <w:rFonts w:hint="eastAsia"/>
                      <w:lang w:val="en-US" w:eastAsia="zh-CN"/>
                    </w:rPr>
                    <w:t>扩建</w:t>
                  </w:r>
                  <w:r>
                    <w:rPr>
                      <w:rFonts w:hint="eastAsia"/>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rPr>
                    <w:t>，投产后不改变现有生产工艺及产品规模</w:t>
                  </w:r>
                  <w:r>
                    <w:rPr>
                      <w:rFonts w:hint="eastAsia"/>
                      <w:lang w:val="en-US" w:eastAsia="zh-CN"/>
                    </w:rPr>
                    <w:t>，</w:t>
                  </w:r>
                  <w:r>
                    <w:t>符合</w:t>
                  </w:r>
                  <w:r>
                    <w:rPr>
                      <w:rFonts w:hint="eastAsia"/>
                      <w:lang w:val="en-US" w:eastAsia="zh-CN"/>
                    </w:rPr>
                    <w:t>园区</w:t>
                  </w:r>
                  <w:r>
                    <w:t>产业发展定位、《市场准入负面清单》，属于《产业结构调整指导目录（2024年本）》允许</w:t>
                  </w:r>
                </w:p>
                <w:p w14:paraId="4E6D78EB">
                  <w:pPr>
                    <w:pStyle w:val="15"/>
                    <w:keepNext w:val="0"/>
                    <w:keepLines/>
                    <w:pageBreakBefore w:val="0"/>
                    <w:kinsoku/>
                    <w:overflowPunct/>
                    <w:autoSpaceDE/>
                    <w:autoSpaceDN/>
                    <w:bidi w:val="0"/>
                    <w:jc w:val="center"/>
                  </w:pPr>
                  <w:r>
                    <w:t>类项目。</w:t>
                  </w:r>
                </w:p>
              </w:tc>
              <w:tc>
                <w:tcPr>
                  <w:tcW w:w="549" w:type="pct"/>
                  <w:tcBorders>
                    <w:tl2br w:val="nil"/>
                    <w:tr2bl w:val="nil"/>
                  </w:tcBorders>
                  <w:vAlign w:val="center"/>
                </w:tcPr>
                <w:p w14:paraId="7E0BD30C">
                  <w:pPr>
                    <w:pStyle w:val="15"/>
                    <w:keepNext w:val="0"/>
                    <w:keepLines/>
                    <w:pageBreakBefore w:val="0"/>
                    <w:kinsoku/>
                    <w:overflowPunct/>
                    <w:autoSpaceDE/>
                    <w:autoSpaceDN/>
                    <w:bidi w:val="0"/>
                    <w:jc w:val="center"/>
                  </w:pPr>
                  <w:r>
                    <w:t>符合</w:t>
                  </w:r>
                </w:p>
              </w:tc>
            </w:tr>
            <w:tr w14:paraId="52EB6E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350" w:type="pct"/>
                  <w:tcBorders>
                    <w:tl2br w:val="nil"/>
                    <w:tr2bl w:val="nil"/>
                  </w:tcBorders>
                  <w:vAlign w:val="center"/>
                </w:tcPr>
                <w:p w14:paraId="4EB432AF">
                  <w:pPr>
                    <w:pStyle w:val="15"/>
                    <w:keepNext w:val="0"/>
                    <w:keepLines/>
                    <w:pageBreakBefore w:val="0"/>
                    <w:kinsoku/>
                    <w:overflowPunct/>
                    <w:autoSpaceDE/>
                    <w:autoSpaceDN/>
                    <w:bidi w:val="0"/>
                    <w:jc w:val="center"/>
                  </w:pPr>
                  <w:r>
                    <w:t>2</w:t>
                  </w:r>
                </w:p>
              </w:tc>
              <w:tc>
                <w:tcPr>
                  <w:tcW w:w="2413" w:type="pct"/>
                  <w:tcBorders>
                    <w:tl2br w:val="nil"/>
                    <w:tr2bl w:val="nil"/>
                  </w:tcBorders>
                  <w:vAlign w:val="center"/>
                </w:tcPr>
                <w:p w14:paraId="122EF911">
                  <w:pPr>
                    <w:pStyle w:val="15"/>
                    <w:keepNext w:val="0"/>
                    <w:keepLines/>
                    <w:pageBreakBefore w:val="0"/>
                    <w:kinsoku/>
                    <w:overflowPunct/>
                    <w:autoSpaceDE/>
                    <w:autoSpaceDN/>
                    <w:bidi w:val="0"/>
                    <w:jc w:val="center"/>
                  </w:pPr>
                  <w:r>
                    <w:rPr>
                      <w:rFonts w:hint="eastAsia"/>
                      <w:lang w:eastAsia="zh-CN"/>
                    </w:rPr>
                    <w:t>（二）</w:t>
                  </w:r>
                  <w:r>
                    <w:t>坚守环境质量底线，细化环境准入及管控。以区域环境质量改善为导向，在不突破环境承载力的前提下，以推进减污降碳协同增效为抓手，加强“两高”行业生态环境源</w:t>
                  </w:r>
                </w:p>
                <w:p w14:paraId="6E108AC7">
                  <w:pPr>
                    <w:pStyle w:val="15"/>
                    <w:keepNext w:val="0"/>
                    <w:keepLines/>
                    <w:pageBreakBefore w:val="0"/>
                    <w:kinsoku/>
                    <w:overflowPunct/>
                    <w:autoSpaceDE/>
                    <w:autoSpaceDN/>
                    <w:bidi w:val="0"/>
                    <w:jc w:val="center"/>
                  </w:pPr>
                  <w:r>
                    <w:t>头防控，落实主要污染物区域削减措施。衔接最新环境管理政策及上位规划，深入实施“三线一单”生态环境分区管控，在确保产业区块完整性和延续性的前提下，实现区</w:t>
                  </w:r>
                </w:p>
                <w:p w14:paraId="54A4D263">
                  <w:pPr>
                    <w:pStyle w:val="15"/>
                    <w:keepNext w:val="0"/>
                    <w:keepLines/>
                    <w:pageBreakBefore w:val="0"/>
                    <w:kinsoku/>
                    <w:overflowPunct/>
                    <w:autoSpaceDE/>
                    <w:autoSpaceDN/>
                    <w:bidi w:val="0"/>
                    <w:jc w:val="center"/>
                  </w:pPr>
                  <w:r>
                    <w:t>域、园区、项目的系统衔接和协同管理。实行入园企业环保准入审核制度，结合生态环境管控、环境风险防控要求，对产业园区企业实施清单式管理。</w:t>
                  </w:r>
                </w:p>
              </w:tc>
              <w:tc>
                <w:tcPr>
                  <w:tcW w:w="1686" w:type="pct"/>
                  <w:tcBorders>
                    <w:tl2br w:val="nil"/>
                    <w:tr2bl w:val="nil"/>
                  </w:tcBorders>
                  <w:vAlign w:val="center"/>
                </w:tcPr>
                <w:p w14:paraId="40C305CC">
                  <w:pPr>
                    <w:pStyle w:val="15"/>
                    <w:keepNext w:val="0"/>
                    <w:keepLines/>
                    <w:pageBreakBefore w:val="0"/>
                    <w:kinsoku/>
                    <w:overflowPunct/>
                    <w:autoSpaceDE/>
                    <w:autoSpaceDN/>
                    <w:bidi w:val="0"/>
                    <w:jc w:val="center"/>
                  </w:pPr>
                  <w:r>
                    <w:rPr>
                      <w:rFonts w:hint="eastAsia"/>
                      <w:lang w:val="en-US" w:eastAsia="zh-CN"/>
                    </w:rPr>
                    <w:t>本</w:t>
                  </w:r>
                  <w:r>
                    <w:t>项目满足资源利用上线、环境质量底线</w:t>
                  </w:r>
                  <w:r>
                    <w:rPr>
                      <w:rFonts w:hint="eastAsia"/>
                      <w:lang w:eastAsia="zh-CN"/>
                    </w:rPr>
                    <w:t>要求，</w:t>
                  </w:r>
                  <w:r>
                    <w:t>符合“三线一单”等要求。</w:t>
                  </w:r>
                </w:p>
              </w:tc>
              <w:tc>
                <w:tcPr>
                  <w:tcW w:w="549" w:type="pct"/>
                  <w:tcBorders>
                    <w:tl2br w:val="nil"/>
                    <w:tr2bl w:val="nil"/>
                  </w:tcBorders>
                  <w:vAlign w:val="center"/>
                </w:tcPr>
                <w:p w14:paraId="2531B839">
                  <w:pPr>
                    <w:pStyle w:val="15"/>
                    <w:keepNext w:val="0"/>
                    <w:keepLines/>
                    <w:pageBreakBefore w:val="0"/>
                    <w:kinsoku/>
                    <w:overflowPunct/>
                    <w:autoSpaceDE/>
                    <w:autoSpaceDN/>
                    <w:bidi w:val="0"/>
                    <w:jc w:val="center"/>
                  </w:pPr>
                  <w:r>
                    <w:t>符合</w:t>
                  </w:r>
                </w:p>
              </w:tc>
            </w:tr>
            <w:tr w14:paraId="13DC76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50" w:type="pct"/>
                  <w:tcBorders>
                    <w:tl2br w:val="nil"/>
                    <w:tr2bl w:val="nil"/>
                  </w:tcBorders>
                  <w:vAlign w:val="center"/>
                </w:tcPr>
                <w:p w14:paraId="0D83AC59">
                  <w:pPr>
                    <w:pStyle w:val="15"/>
                    <w:keepNext w:val="0"/>
                    <w:keepLines/>
                    <w:pageBreakBefore w:val="0"/>
                    <w:kinsoku/>
                    <w:overflowPunct/>
                    <w:autoSpaceDE/>
                    <w:autoSpaceDN/>
                    <w:bidi w:val="0"/>
                    <w:jc w:val="center"/>
                  </w:pPr>
                  <w:r>
                    <w:t>3</w:t>
                  </w:r>
                </w:p>
              </w:tc>
              <w:tc>
                <w:tcPr>
                  <w:tcW w:w="2413" w:type="pct"/>
                  <w:tcBorders>
                    <w:tl2br w:val="nil"/>
                    <w:tr2bl w:val="nil"/>
                  </w:tcBorders>
                  <w:vAlign w:val="center"/>
                </w:tcPr>
                <w:p w14:paraId="07B01B28">
                  <w:pPr>
                    <w:pStyle w:val="15"/>
                    <w:keepNext w:val="0"/>
                    <w:keepLines/>
                    <w:pageBreakBefore w:val="0"/>
                    <w:kinsoku/>
                    <w:overflowPunct/>
                    <w:autoSpaceDE/>
                    <w:autoSpaceDN/>
                    <w:bidi w:val="0"/>
                    <w:jc w:val="center"/>
                  </w:pPr>
                  <w:r>
                    <w:rPr>
                      <w:rFonts w:hint="eastAsia"/>
                      <w:lang w:eastAsia="zh-CN"/>
                    </w:rPr>
                    <w:t>（三）</w:t>
                  </w:r>
                  <w:r>
                    <w:t>严格资源利用总量和强度“双控”，制定入园产业和项目的环境准入条件。坚持“以水定产、以水定量”，按照园区水资源论证成果及批复中用水红线，优化调整园区的产业结构、规模和布局，严格入园产业和项目的环境准入，严格按照规划产业布局入驻企业，结合区域发展定位、开发布局、生态环境保护目标入园企业须符合产业政策、行业准入条件、生态环境准入清单要求，引进的项目应采用资源利用率高、污染物产生量小的清洁生产技术、工艺和设备，积极推进产业的技术进步和园区循环化改造。园区水资源利用不得突破《新疆用水总量控制方案》确定的区域水资源利用上线指标，土地资源利用不得突破国土空间规划确定的新增建设用地规模。</w:t>
                  </w:r>
                </w:p>
              </w:tc>
              <w:tc>
                <w:tcPr>
                  <w:tcW w:w="1686" w:type="pct"/>
                  <w:tcBorders>
                    <w:tl2br w:val="nil"/>
                    <w:tr2bl w:val="nil"/>
                  </w:tcBorders>
                  <w:vAlign w:val="center"/>
                </w:tcPr>
                <w:p w14:paraId="679DDC39">
                  <w:pPr>
                    <w:pStyle w:val="15"/>
                    <w:keepNext w:val="0"/>
                    <w:keepLines/>
                    <w:pageBreakBefore w:val="0"/>
                    <w:kinsoku/>
                    <w:overflowPunct/>
                    <w:autoSpaceDE/>
                    <w:autoSpaceDN/>
                    <w:bidi w:val="0"/>
                    <w:jc w:val="center"/>
                  </w:pPr>
                  <w:r>
                    <w:t>项目满足资源利用上线</w:t>
                  </w:r>
                  <w:r>
                    <w:rPr>
                      <w:rFonts w:hint="eastAsia"/>
                      <w:lang w:eastAsia="zh-CN"/>
                    </w:rPr>
                    <w:t>要求，</w:t>
                  </w:r>
                  <w:r>
                    <w:t>项目清洁生产水平满足行业要求。</w:t>
                  </w:r>
                </w:p>
              </w:tc>
              <w:tc>
                <w:tcPr>
                  <w:tcW w:w="549" w:type="pct"/>
                  <w:tcBorders>
                    <w:tl2br w:val="nil"/>
                    <w:tr2bl w:val="nil"/>
                  </w:tcBorders>
                  <w:vAlign w:val="center"/>
                </w:tcPr>
                <w:p w14:paraId="0FC68A39">
                  <w:pPr>
                    <w:pStyle w:val="15"/>
                    <w:keepNext w:val="0"/>
                    <w:keepLines/>
                    <w:pageBreakBefore w:val="0"/>
                    <w:kinsoku/>
                    <w:overflowPunct/>
                    <w:autoSpaceDE/>
                    <w:autoSpaceDN/>
                    <w:bidi w:val="0"/>
                    <w:jc w:val="center"/>
                  </w:pPr>
                  <w:r>
                    <w:t>符合</w:t>
                  </w:r>
                </w:p>
              </w:tc>
            </w:tr>
            <w:tr w14:paraId="5D97AC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350" w:type="pct"/>
                  <w:tcBorders>
                    <w:tl2br w:val="nil"/>
                    <w:tr2bl w:val="nil"/>
                  </w:tcBorders>
                  <w:vAlign w:val="center"/>
                </w:tcPr>
                <w:p w14:paraId="59F06895">
                  <w:pPr>
                    <w:pStyle w:val="15"/>
                    <w:keepNext w:val="0"/>
                    <w:keepLines/>
                    <w:pageBreakBefore w:val="0"/>
                    <w:kinsoku/>
                    <w:overflowPunct/>
                    <w:autoSpaceDE/>
                    <w:autoSpaceDN/>
                    <w:bidi w:val="0"/>
                    <w:jc w:val="center"/>
                  </w:pPr>
                  <w:r>
                    <w:t>4</w:t>
                  </w:r>
                </w:p>
              </w:tc>
              <w:tc>
                <w:tcPr>
                  <w:tcW w:w="2413" w:type="pct"/>
                  <w:tcBorders>
                    <w:tl2br w:val="nil"/>
                    <w:tr2bl w:val="nil"/>
                  </w:tcBorders>
                  <w:vAlign w:val="center"/>
                </w:tcPr>
                <w:p w14:paraId="100CAF9E">
                  <w:pPr>
                    <w:pStyle w:val="15"/>
                    <w:keepNext w:val="0"/>
                    <w:keepLines/>
                    <w:pageBreakBefore w:val="0"/>
                    <w:kinsoku/>
                    <w:overflowPunct/>
                    <w:autoSpaceDE/>
                    <w:autoSpaceDN/>
                    <w:bidi w:val="0"/>
                    <w:jc w:val="center"/>
                  </w:pPr>
                  <w:r>
                    <w:rPr>
                      <w:rFonts w:hint="eastAsia"/>
                      <w:lang w:eastAsia="zh-CN"/>
                    </w:rPr>
                    <w:t>（四）</w:t>
                  </w:r>
                  <w:r>
                    <w:t>推动共建共享，优化环境基础设施。按照“清污分流”“污污分治”原则优化园区排水系统、废</w:t>
                  </w:r>
                  <w:r>
                    <w:rPr>
                      <w:rFonts w:hint="eastAsia"/>
                      <w:lang w:eastAsia="zh-CN"/>
                    </w:rPr>
                    <w:t>（</w:t>
                  </w:r>
                  <w:r>
                    <w:t>污</w:t>
                  </w:r>
                  <w:r>
                    <w:rPr>
                      <w:rFonts w:hint="eastAsia"/>
                      <w:lang w:eastAsia="zh-CN"/>
                    </w:rPr>
                    <w:t>）</w:t>
                  </w:r>
                  <w:r>
                    <w:t>水处理系统和中水回用系统，提高废</w:t>
                  </w:r>
                  <w:r>
                    <w:rPr>
                      <w:rFonts w:hint="eastAsia"/>
                      <w:lang w:eastAsia="zh-CN"/>
                    </w:rPr>
                    <w:t>（</w:t>
                  </w:r>
                  <w:r>
                    <w:t>污</w:t>
                  </w:r>
                  <w:r>
                    <w:rPr>
                      <w:rFonts w:hint="eastAsia"/>
                      <w:lang w:eastAsia="zh-CN"/>
                    </w:rPr>
                    <w:t>）</w:t>
                  </w:r>
                  <w:r>
                    <w:t>水回用率。制定切实可行的一般固体废弃物综合利用方案，严格按照国家有关规定，依法、依规、合理地贮存、处置和处理危险废物。</w:t>
                  </w:r>
                </w:p>
              </w:tc>
              <w:tc>
                <w:tcPr>
                  <w:tcW w:w="1686" w:type="pct"/>
                  <w:tcBorders>
                    <w:tl2br w:val="nil"/>
                    <w:tr2bl w:val="nil"/>
                  </w:tcBorders>
                  <w:vAlign w:val="center"/>
                </w:tcPr>
                <w:p w14:paraId="66F0FBA7">
                  <w:pPr>
                    <w:pStyle w:val="15"/>
                    <w:keepNext w:val="0"/>
                    <w:keepLines/>
                    <w:pageBreakBefore w:val="0"/>
                    <w:kinsoku/>
                    <w:overflowPunct/>
                    <w:autoSpaceDE/>
                    <w:autoSpaceDN/>
                    <w:bidi w:val="0"/>
                    <w:jc w:val="center"/>
                  </w:pPr>
                  <w:r>
                    <w:rPr>
                      <w:rFonts w:hint="eastAsia"/>
                      <w:lang w:val="en-US" w:eastAsia="zh-CN"/>
                    </w:rPr>
                    <w:t>厂区现有</w:t>
                  </w:r>
                  <w:r>
                    <w:t>废水排入园区污水处理厂处理，不外排</w:t>
                  </w:r>
                  <w:r>
                    <w:rPr>
                      <w:rFonts w:hint="eastAsia"/>
                      <w:lang w:eastAsia="zh-CN"/>
                    </w:rPr>
                    <w:t>；</w:t>
                  </w:r>
                  <w:r>
                    <w:t>一般固废运至一般固废填埋场处置</w:t>
                  </w:r>
                  <w:r>
                    <w:rPr>
                      <w:rFonts w:hint="eastAsia"/>
                      <w:lang w:eastAsia="zh-CN"/>
                    </w:rPr>
                    <w:t>；</w:t>
                  </w:r>
                  <w:r>
                    <w:rPr>
                      <w:rFonts w:hint="eastAsia"/>
                      <w:lang w:val="en-US" w:eastAsia="zh-CN"/>
                    </w:rPr>
                    <w:t>危险废物</w:t>
                  </w:r>
                  <w:r>
                    <w:t>交由资质的单位处置。</w:t>
                  </w:r>
                </w:p>
              </w:tc>
              <w:tc>
                <w:tcPr>
                  <w:tcW w:w="549" w:type="pct"/>
                  <w:tcBorders>
                    <w:tl2br w:val="nil"/>
                    <w:tr2bl w:val="nil"/>
                  </w:tcBorders>
                  <w:vAlign w:val="center"/>
                </w:tcPr>
                <w:p w14:paraId="0777C307">
                  <w:pPr>
                    <w:pStyle w:val="15"/>
                    <w:keepNext w:val="0"/>
                    <w:keepLines/>
                    <w:pageBreakBefore w:val="0"/>
                    <w:kinsoku/>
                    <w:overflowPunct/>
                    <w:autoSpaceDE/>
                    <w:autoSpaceDN/>
                    <w:bidi w:val="0"/>
                    <w:jc w:val="center"/>
                  </w:pPr>
                  <w:r>
                    <w:t>符合</w:t>
                  </w:r>
                </w:p>
              </w:tc>
            </w:tr>
            <w:tr w14:paraId="51ECD4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350" w:type="pct"/>
                  <w:tcBorders>
                    <w:tl2br w:val="nil"/>
                    <w:tr2bl w:val="nil"/>
                  </w:tcBorders>
                  <w:vAlign w:val="center"/>
                </w:tcPr>
                <w:p w14:paraId="167B4EE0">
                  <w:pPr>
                    <w:pStyle w:val="15"/>
                    <w:keepNext w:val="0"/>
                    <w:keepLines/>
                    <w:pageBreakBefore w:val="0"/>
                    <w:kinsoku/>
                    <w:overflowPunct/>
                    <w:autoSpaceDE/>
                    <w:autoSpaceDN/>
                    <w:bidi w:val="0"/>
                    <w:jc w:val="center"/>
                  </w:pPr>
                  <w:r>
                    <w:t>5</w:t>
                  </w:r>
                </w:p>
              </w:tc>
              <w:tc>
                <w:tcPr>
                  <w:tcW w:w="2413" w:type="pct"/>
                  <w:tcBorders>
                    <w:tl2br w:val="nil"/>
                    <w:tr2bl w:val="nil"/>
                  </w:tcBorders>
                  <w:vAlign w:val="center"/>
                </w:tcPr>
                <w:p w14:paraId="65D6D78D">
                  <w:pPr>
                    <w:pStyle w:val="15"/>
                    <w:keepNext w:val="0"/>
                    <w:keepLines/>
                    <w:pageBreakBefore w:val="0"/>
                    <w:kinsoku/>
                    <w:overflowPunct/>
                    <w:autoSpaceDE/>
                    <w:autoSpaceDN/>
                    <w:bidi w:val="0"/>
                    <w:jc w:val="center"/>
                  </w:pPr>
                  <w:r>
                    <w:rPr>
                      <w:rFonts w:hint="eastAsia"/>
                      <w:lang w:eastAsia="zh-CN"/>
                    </w:rPr>
                    <w:t>（五）</w:t>
                  </w:r>
                  <w:r>
                    <w:t>强化园区环境风险管理。构建以企业为主体，胡杨河市人民政府、园区主管部门、安全监督管理部门、生态环境行政主管部门及其它相关部门共同参与的环境风险应急联动平台，强化应急响应联动机制，保障生态环境安全。配备应急物资，定期开展应急演练，不断完善环境风险应急预案，防控园区可能引发的环境风险。</w:t>
                  </w:r>
                </w:p>
              </w:tc>
              <w:tc>
                <w:tcPr>
                  <w:tcW w:w="1686" w:type="pct"/>
                  <w:tcBorders>
                    <w:tl2br w:val="nil"/>
                    <w:tr2bl w:val="nil"/>
                  </w:tcBorders>
                  <w:vAlign w:val="center"/>
                </w:tcPr>
                <w:p w14:paraId="59692214">
                  <w:pPr>
                    <w:pStyle w:val="15"/>
                    <w:keepNext w:val="0"/>
                    <w:keepLines/>
                    <w:pageBreakBefore w:val="0"/>
                    <w:kinsoku/>
                    <w:overflowPunct/>
                    <w:autoSpaceDE/>
                    <w:autoSpaceDN/>
                    <w:bidi w:val="0"/>
                    <w:jc w:val="center"/>
                  </w:pPr>
                  <w:r>
                    <w:rPr>
                      <w:rFonts w:hint="eastAsia"/>
                    </w:rPr>
                    <w:t>新疆久塔锦晨生物科技股份有限公司已于2024年3月12日编制《新疆久塔锦晨生物科技股份有限公司突发环境事件应急预案》，并在胡杨河经济技术开发区管理委员会备案（备案号660706-2024-06-M）。</w:t>
                  </w:r>
                </w:p>
              </w:tc>
              <w:tc>
                <w:tcPr>
                  <w:tcW w:w="549" w:type="pct"/>
                  <w:tcBorders>
                    <w:tl2br w:val="nil"/>
                    <w:tr2bl w:val="nil"/>
                  </w:tcBorders>
                  <w:vAlign w:val="center"/>
                </w:tcPr>
                <w:p w14:paraId="1F7C3477">
                  <w:pPr>
                    <w:pStyle w:val="15"/>
                    <w:keepNext w:val="0"/>
                    <w:keepLines/>
                    <w:pageBreakBefore w:val="0"/>
                    <w:kinsoku/>
                    <w:overflowPunct/>
                    <w:autoSpaceDE/>
                    <w:autoSpaceDN/>
                    <w:bidi w:val="0"/>
                    <w:jc w:val="center"/>
                  </w:pPr>
                  <w:r>
                    <w:t>符合</w:t>
                  </w:r>
                </w:p>
              </w:tc>
            </w:tr>
          </w:tbl>
          <w:p w14:paraId="69F1B21A">
            <w:pPr>
              <w:keepNext w:val="0"/>
              <w:keepLines/>
              <w:pageBreakBefore w:val="0"/>
              <w:kinsoku/>
              <w:overflowPunct/>
              <w:autoSpaceDE/>
              <w:autoSpaceDN/>
              <w:bidi w:val="0"/>
              <w:rPr>
                <w:rFonts w:hint="default" w:ascii="Times New Roman" w:hAnsi="Times New Roman" w:eastAsia="华文中宋" w:cs="Times New Roman"/>
                <w:color w:val="auto"/>
                <w:highlight w:val="none"/>
                <w:lang w:val="en-US" w:eastAsia="zh-CN"/>
              </w:rPr>
            </w:pPr>
            <w:r>
              <w:rPr>
                <w:rFonts w:hint="eastAsia"/>
                <w:lang w:val="en-US" w:eastAsia="zh-CN"/>
              </w:rPr>
              <w:t>综上分析，</w:t>
            </w:r>
            <w:r>
              <w:rPr>
                <w:rFonts w:hint="default"/>
                <w:lang w:val="en-US" w:eastAsia="zh-CN"/>
              </w:rPr>
              <w:t>本项目</w:t>
            </w:r>
            <w:r>
              <w:rPr>
                <w:rFonts w:hint="eastAsia"/>
                <w:lang w:val="en-US" w:eastAsia="zh-CN"/>
              </w:rPr>
              <w:t>符合</w:t>
            </w:r>
            <w:r>
              <w:rPr>
                <w:rFonts w:hint="default"/>
                <w:lang w:val="en-US" w:eastAsia="zh-CN"/>
              </w:rPr>
              <w:t>《第七师胡杨河经济技术开发区化工园区总体规划（2023</w:t>
            </w:r>
            <w:r>
              <w:rPr>
                <w:rFonts w:hint="eastAsia"/>
                <w:lang w:val="en-US" w:eastAsia="zh-CN"/>
              </w:rPr>
              <w:t>—</w:t>
            </w:r>
            <w:r>
              <w:rPr>
                <w:rFonts w:hint="default"/>
                <w:lang w:val="en-US" w:eastAsia="zh-CN"/>
              </w:rPr>
              <w:t>2035年）环境影响报告</w:t>
            </w:r>
            <w:r>
              <w:rPr>
                <w:rFonts w:hint="eastAsia"/>
                <w:lang w:val="en-US" w:eastAsia="zh-CN"/>
              </w:rPr>
              <w:t>书</w:t>
            </w:r>
            <w:r>
              <w:rPr>
                <w:rFonts w:hint="default"/>
                <w:lang w:val="en-US" w:eastAsia="zh-CN"/>
              </w:rPr>
              <w:t>》及其审查意见</w:t>
            </w:r>
            <w:r>
              <w:rPr>
                <w:rFonts w:hint="eastAsia"/>
                <w:lang w:val="en-US" w:eastAsia="zh-CN"/>
              </w:rPr>
              <w:t>中相关内容。</w:t>
            </w:r>
          </w:p>
        </w:tc>
      </w:tr>
      <w:tr w14:paraId="1D461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73" w:hRule="atLeast"/>
          <w:jc w:val="center"/>
        </w:trPr>
        <w:tc>
          <w:tcPr>
            <w:tcW w:w="681" w:type="pct"/>
            <w:noWrap w:val="0"/>
            <w:vAlign w:val="center"/>
          </w:tcPr>
          <w:p w14:paraId="530AEC2A">
            <w:pPr>
              <w:pStyle w:val="3"/>
              <w:keepNext w:val="0"/>
              <w:keepLines/>
              <w:pageBreakBefore w:val="0"/>
              <w:kinsoku/>
              <w:overflowPunct/>
              <w:autoSpaceDE/>
              <w:autoSpaceDN/>
              <w:bidi w:val="0"/>
              <w:rPr>
                <w:rFonts w:hint="default"/>
              </w:rPr>
            </w:pPr>
            <w:r>
              <w:rPr>
                <w:rFonts w:hint="default"/>
              </w:rPr>
              <w:t>其他符合性分析</w:t>
            </w:r>
          </w:p>
        </w:tc>
        <w:tc>
          <w:tcPr>
            <w:tcW w:w="4318" w:type="pct"/>
            <w:gridSpan w:val="3"/>
            <w:noWrap w:val="0"/>
            <w:vAlign w:val="center"/>
          </w:tcPr>
          <w:p w14:paraId="482BC01D">
            <w:pPr>
              <w:pStyle w:val="3"/>
              <w:keepNext w:val="0"/>
              <w:keepLines/>
              <w:pageBreakBefore w:val="0"/>
              <w:kinsoku/>
              <w:overflowPunct/>
              <w:autoSpaceDE/>
              <w:autoSpaceDN/>
              <w:bidi w:val="0"/>
              <w:rPr>
                <w:rFonts w:hint="default"/>
              </w:rPr>
            </w:pPr>
            <w:r>
              <w:rPr>
                <w:rFonts w:hint="default"/>
              </w:rPr>
              <w:t>1</w:t>
            </w:r>
            <w:r>
              <w:rPr>
                <w:rFonts w:hint="eastAsia"/>
                <w:lang w:val="en-US" w:eastAsia="zh-CN"/>
              </w:rPr>
              <w:t>.</w:t>
            </w:r>
            <w:r>
              <w:rPr>
                <w:rFonts w:hint="default"/>
              </w:rPr>
              <w:t>产业政策符合性分析</w:t>
            </w:r>
          </w:p>
          <w:p w14:paraId="63C25869">
            <w:pPr>
              <w:keepNext w:val="0"/>
              <w:keepLines/>
              <w:pageBreakBefore w:val="0"/>
              <w:kinsoku/>
              <w:overflowPunct/>
              <w:autoSpaceDE/>
              <w:autoSpaceDN/>
              <w:bidi w:val="0"/>
              <w:rPr>
                <w:rFonts w:hint="default"/>
              </w:rPr>
            </w:pPr>
            <w:r>
              <w:rPr>
                <w:rFonts w:hint="eastAsia"/>
                <w:lang w:val="en-US" w:eastAsia="zh-CN"/>
              </w:rPr>
              <w:t>新疆久塔锦晨生物科技股份有限公司现有厂区内酸碱罐区内扩建4座200m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对照</w:t>
            </w:r>
            <w:r>
              <w:rPr>
                <w:rFonts w:hint="default"/>
              </w:rPr>
              <w:t>《产业结构调整指导目录（20</w:t>
            </w:r>
            <w:r>
              <w:rPr>
                <w:rFonts w:hint="eastAsia"/>
                <w:lang w:val="en-US" w:eastAsia="zh-CN"/>
              </w:rPr>
              <w:t>24</w:t>
            </w:r>
            <w:r>
              <w:rPr>
                <w:rFonts w:hint="default"/>
              </w:rPr>
              <w:t>年本）》，不在限制类、淘汰类项目范围内，属于允许类项目。</w:t>
            </w:r>
          </w:p>
          <w:p w14:paraId="095A8067">
            <w:pPr>
              <w:pStyle w:val="3"/>
              <w:keepNext w:val="0"/>
              <w:keepLines/>
              <w:pageBreakBefore w:val="0"/>
              <w:kinsoku/>
              <w:overflowPunct/>
              <w:autoSpaceDE/>
              <w:autoSpaceDN/>
              <w:bidi w:val="0"/>
              <w:rPr>
                <w:rFonts w:hint="default"/>
              </w:rPr>
            </w:pPr>
            <w:r>
              <w:rPr>
                <w:rFonts w:hint="eastAsia"/>
                <w:lang w:eastAsia="zh-CN"/>
              </w:rPr>
              <w:t>2.</w:t>
            </w:r>
            <w:r>
              <w:rPr>
                <w:rFonts w:hint="default"/>
              </w:rPr>
              <w:t>项目选址合理性分析</w:t>
            </w:r>
          </w:p>
          <w:p w14:paraId="1CAD3719">
            <w:pPr>
              <w:keepNext w:val="0"/>
              <w:keepLines/>
              <w:pageBreakBefore w:val="0"/>
              <w:kinsoku/>
              <w:overflowPunct/>
              <w:autoSpaceDE/>
              <w:autoSpaceDN/>
              <w:bidi w:val="0"/>
              <w:rPr>
                <w:rFonts w:hint="default"/>
              </w:rPr>
            </w:pPr>
            <w:r>
              <w:rPr>
                <w:rFonts w:hint="default"/>
              </w:rPr>
              <w:t>本项目选址位于新疆胡杨河市胡杨河经济技术开发区新疆久塔锦晨生物科技股份有限公司</w:t>
            </w:r>
            <w:r>
              <w:rPr>
                <w:rFonts w:hint="eastAsia"/>
                <w:lang w:val="en-US" w:eastAsia="zh-CN"/>
              </w:rPr>
              <w:t>酸碱罐区内</w:t>
            </w:r>
            <w:r>
              <w:rPr>
                <w:rFonts w:hint="default"/>
              </w:rPr>
              <w:t>预留空地，建设用地属于园区工业用地，根据《胡杨河经济技术开发区总体规划（2021</w:t>
            </w:r>
            <w:r>
              <w:rPr>
                <w:rFonts w:hint="eastAsia"/>
                <w:lang w:eastAsia="zh-CN"/>
              </w:rPr>
              <w:t>—</w:t>
            </w:r>
            <w:r>
              <w:rPr>
                <w:rFonts w:hint="default"/>
              </w:rPr>
              <w:t>2035年）》及《第七师胡杨河经济技术开发区化工园区总体规划（2023</w:t>
            </w:r>
            <w:r>
              <w:rPr>
                <w:rFonts w:hint="eastAsia"/>
                <w:lang w:eastAsia="zh-CN"/>
              </w:rPr>
              <w:t>—</w:t>
            </w:r>
            <w:r>
              <w:rPr>
                <w:rFonts w:hint="default"/>
              </w:rPr>
              <w:t>2035年）》的</w:t>
            </w:r>
            <w:r>
              <w:rPr>
                <w:rFonts w:hint="eastAsia"/>
                <w:lang w:eastAsia="zh-CN"/>
              </w:rPr>
              <w:t>符合</w:t>
            </w:r>
            <w:r>
              <w:rPr>
                <w:rFonts w:hint="default"/>
              </w:rPr>
              <w:t>性分析可知，本项目选址符合园区的产业发展方向、总体功能布局及土地利用规划。根据现场踏勘及资料分析，本项目选址内不存在自然保护区、名胜古迹、风景名胜区、温泉、疗养区、饮用水水源保护区、永久基本农田等环境敏感区，无建设制约因素。选址符合相关国家政策、规划及规划环评等文件</w:t>
            </w:r>
            <w:r>
              <w:rPr>
                <w:rFonts w:hint="eastAsia"/>
                <w:lang w:eastAsia="zh-CN"/>
              </w:rPr>
              <w:t>要求。</w:t>
            </w:r>
          </w:p>
          <w:p w14:paraId="69CE19C7">
            <w:pPr>
              <w:pStyle w:val="3"/>
              <w:keepNext w:val="0"/>
              <w:keepLines/>
              <w:pageBreakBefore w:val="0"/>
              <w:numPr>
                <w:ilvl w:val="0"/>
                <w:numId w:val="1"/>
              </w:numPr>
              <w:kinsoku/>
              <w:overflowPunct/>
              <w:autoSpaceDE/>
              <w:autoSpaceDN/>
              <w:bidi w:val="0"/>
              <w:rPr>
                <w:rFonts w:hint="eastAsia"/>
                <w:lang w:val="en-US" w:eastAsia="zh-CN"/>
              </w:rPr>
            </w:pPr>
            <w:r>
              <w:rPr>
                <w:rFonts w:hint="eastAsia"/>
                <w:lang w:val="en-US" w:eastAsia="zh-CN"/>
              </w:rPr>
              <w:t>生态环境分区管控符合性分析</w:t>
            </w:r>
          </w:p>
          <w:p w14:paraId="29D058C7">
            <w:pPr>
              <w:pStyle w:val="4"/>
              <w:keepNext w:val="0"/>
              <w:keepLines/>
              <w:pageBreakBefore w:val="0"/>
              <w:kinsoku/>
              <w:overflowPunct/>
              <w:autoSpaceDE/>
              <w:autoSpaceDN/>
              <w:bidi w:val="0"/>
              <w:rPr>
                <w:rFonts w:hint="eastAsia"/>
                <w:lang w:val="en-US" w:eastAsia="zh-CN"/>
              </w:rPr>
            </w:pPr>
            <w:r>
              <w:rPr>
                <w:rFonts w:hint="eastAsia"/>
                <w:lang w:val="en-US" w:eastAsia="zh-CN"/>
              </w:rPr>
              <w:t>3.1与生态保护红线的符合性分析</w:t>
            </w:r>
          </w:p>
          <w:p w14:paraId="4576D6E5">
            <w:pPr>
              <w:keepNext w:val="0"/>
              <w:keepLines/>
              <w:pageBreakBefore w:val="0"/>
              <w:kinsoku/>
              <w:overflowPunct/>
              <w:autoSpaceDE/>
              <w:autoSpaceDN/>
              <w:bidi w:val="0"/>
              <w:rPr>
                <w:rFonts w:hint="default"/>
                <w:lang w:val="en-US" w:eastAsia="zh-CN"/>
              </w:rPr>
            </w:pPr>
            <w:r>
              <w:rPr>
                <w:rFonts w:hint="default"/>
                <w:lang w:val="en-US" w:eastAsia="zh-CN"/>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14:paraId="5BF06D7B">
            <w:pPr>
              <w:keepNext w:val="0"/>
              <w:keepLines/>
              <w:pageBreakBefore w:val="0"/>
              <w:kinsoku/>
              <w:overflowPunct/>
              <w:autoSpaceDE/>
              <w:autoSpaceDN/>
              <w:bidi w:val="0"/>
              <w:rPr>
                <w:rFonts w:hint="default"/>
                <w:lang w:val="en-US" w:eastAsia="zh-CN"/>
              </w:rPr>
            </w:pPr>
            <w:r>
              <w:rPr>
                <w:rFonts w:hint="default"/>
                <w:lang w:val="en-US" w:eastAsia="zh-CN"/>
              </w:rPr>
              <w:t>项目选址位于新疆胡杨河市胡杨河经济技术开发区新疆久塔锦晨生物科技股份有限公司预留空地，建设用地属于园区工业用地。本次评价区范围内无《生态保护红线划定技术指南》划定识别范围重点生态功能区、生态环境敏感区和脆弱区规定的水源涵养区、水土流失区、防风固沙区、生物多样性维护区、水土流失敏感区、土地沙化敏感区、石漠化敏感区、高寒生态脆弱区、干旱和半干旱生态脆弱区等敏感目标分布；无划定识别范围禁止开发区中规定的国家级自然保护区、世界</w:t>
            </w:r>
            <w:r>
              <w:rPr>
                <w:rFonts w:hint="eastAsia"/>
                <w:lang w:val="en-US" w:eastAsia="zh-CN"/>
              </w:rPr>
              <w:t>文化和自然遗产</w:t>
            </w:r>
            <w:r>
              <w:rPr>
                <w:rFonts w:hint="default"/>
                <w:lang w:val="en-US" w:eastAsia="zh-CN"/>
              </w:rPr>
              <w:t>、国家级风景名胜区、国家级森林公园和国家级地质公园等敏感目标分布；无划定识别范围其他重要生态区域规定的生态公益林、重要湿地和草原、极小种群生境等敏感目标分布；无划定识别范围自然保护区、风景旅游区、文物保护区及珍稀动物保护区等敏感因素。因此，项目建设不违背生态保护红线的要求。</w:t>
            </w:r>
          </w:p>
          <w:p w14:paraId="0C312952">
            <w:pPr>
              <w:pStyle w:val="4"/>
              <w:keepNext w:val="0"/>
              <w:keepLines/>
              <w:pageBreakBefore w:val="0"/>
              <w:kinsoku/>
              <w:overflowPunct/>
              <w:autoSpaceDE/>
              <w:autoSpaceDN/>
              <w:bidi w:val="0"/>
              <w:rPr>
                <w:rFonts w:hint="default"/>
                <w:lang w:val="en-US" w:eastAsia="zh-CN"/>
              </w:rPr>
            </w:pPr>
            <w:r>
              <w:rPr>
                <w:rFonts w:hint="eastAsia"/>
                <w:lang w:val="en-US" w:eastAsia="zh-CN"/>
              </w:rPr>
              <w:t>3.2</w:t>
            </w:r>
            <w:r>
              <w:rPr>
                <w:rFonts w:hint="default"/>
                <w:lang w:val="en-US" w:eastAsia="zh-CN"/>
              </w:rPr>
              <w:t>与环境质量底线的符合性分析</w:t>
            </w:r>
          </w:p>
          <w:p w14:paraId="30CEF98C">
            <w:pPr>
              <w:keepNext w:val="0"/>
              <w:keepLines/>
              <w:pageBreakBefore w:val="0"/>
              <w:kinsoku/>
              <w:overflowPunct/>
              <w:autoSpaceDE/>
              <w:autoSpaceDN/>
              <w:bidi w:val="0"/>
              <w:rPr>
                <w:rFonts w:hint="default"/>
                <w:lang w:val="en-US" w:eastAsia="zh-CN"/>
              </w:rPr>
            </w:pPr>
            <w:r>
              <w:rPr>
                <w:rFonts w:hint="default"/>
                <w:lang w:val="en-US" w:eastAsia="zh-CN"/>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14:paraId="7B32FBE4">
            <w:pPr>
              <w:keepNext w:val="0"/>
              <w:keepLines/>
              <w:pageBreakBefore w:val="0"/>
              <w:kinsoku/>
              <w:overflowPunct/>
              <w:autoSpaceDE/>
              <w:autoSpaceDN/>
              <w:bidi w:val="0"/>
              <w:rPr>
                <w:rFonts w:hint="default"/>
                <w:lang w:val="en-US" w:eastAsia="zh-CN"/>
              </w:rPr>
            </w:pPr>
            <w:r>
              <w:rPr>
                <w:rFonts w:hint="eastAsia"/>
                <w:lang w:val="en-US" w:eastAsia="zh-CN"/>
              </w:rPr>
              <w:t>本项目为在新疆久塔锦晨生物科技股份有限公司现有厂区内酸碱罐区内扩建4座200m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，投产后不改变现有生产工艺及产品规模。</w:t>
            </w:r>
            <w:r>
              <w:rPr>
                <w:rFonts w:hint="default"/>
                <w:lang w:val="en-US" w:eastAsia="zh-CN"/>
              </w:rPr>
              <w:t>本项目投产并采取本报告提出的环保措施后，废气污染物均能做到达标排放；</w:t>
            </w:r>
            <w:r>
              <w:rPr>
                <w:rFonts w:hint="eastAsia"/>
                <w:lang w:val="en-US" w:eastAsia="zh-CN"/>
              </w:rPr>
              <w:t>本次扩建不产生废水、固废，</w:t>
            </w:r>
            <w:r>
              <w:rPr>
                <w:rFonts w:hint="default"/>
                <w:lang w:val="en-US" w:eastAsia="zh-CN"/>
              </w:rPr>
              <w:t>采取环境风险防控措施后项目风险可控；项目建成后不会改变区域环境功能区划，不会突破所在地的环境质量底线，因此项目的建设符合环境质量底线要求。</w:t>
            </w:r>
          </w:p>
          <w:p w14:paraId="6D743BA3">
            <w:pPr>
              <w:pStyle w:val="4"/>
              <w:keepNext w:val="0"/>
              <w:keepLines/>
              <w:pageBreakBefore w:val="0"/>
              <w:kinsoku/>
              <w:overflowPunct/>
              <w:autoSpaceDE/>
              <w:autoSpaceDN/>
              <w:bidi w:val="0"/>
              <w:rPr>
                <w:rFonts w:hint="default"/>
                <w:lang w:val="en-US" w:eastAsia="zh-CN"/>
              </w:rPr>
            </w:pPr>
            <w:r>
              <w:rPr>
                <w:rFonts w:hint="eastAsia"/>
                <w:lang w:val="en-US" w:eastAsia="zh-CN"/>
              </w:rPr>
              <w:t>3.3</w:t>
            </w:r>
            <w:r>
              <w:rPr>
                <w:rFonts w:hint="default"/>
                <w:lang w:val="en-US" w:eastAsia="zh-CN"/>
              </w:rPr>
              <w:t>与资源利用上线的符合性分析</w:t>
            </w:r>
          </w:p>
          <w:p w14:paraId="39665F36">
            <w:pPr>
              <w:keepNext w:val="0"/>
              <w:keepLines/>
              <w:pageBreakBefore w:val="0"/>
              <w:kinsoku/>
              <w:overflowPunct/>
              <w:autoSpaceDE/>
              <w:autoSpaceDN/>
              <w:bidi w:val="0"/>
              <w:rPr>
                <w:rFonts w:hint="default"/>
                <w:lang w:val="en-US" w:eastAsia="zh-CN"/>
              </w:rPr>
            </w:pPr>
            <w:r>
              <w:rPr>
                <w:rFonts w:hint="default"/>
                <w:lang w:val="en-US" w:eastAsia="zh-CN"/>
              </w:rPr>
              <w:t>资源是环境的载体，资源利用上线是各区能源、水、土地等资源消耗不得突破的“天花板”。</w:t>
            </w:r>
          </w:p>
          <w:p w14:paraId="1DC2281C">
            <w:pPr>
              <w:keepNext w:val="0"/>
              <w:keepLines/>
              <w:pageBreakBefore w:val="0"/>
              <w:kinsoku/>
              <w:overflowPunct/>
              <w:autoSpaceDE/>
              <w:autoSpaceDN/>
              <w:bidi w:val="0"/>
              <w:rPr>
                <w:rFonts w:hint="default"/>
                <w:lang w:val="en-US" w:eastAsia="zh-CN"/>
              </w:rPr>
            </w:pPr>
            <w:r>
              <w:rPr>
                <w:rFonts w:hint="default"/>
                <w:lang w:val="en-US" w:eastAsia="zh-CN"/>
              </w:rPr>
              <w:t>本项目位于新疆胡杨河市胡杨河经济技术开发区新疆久塔锦晨生物科技股份有限公司</w:t>
            </w:r>
            <w:r>
              <w:rPr>
                <w:rFonts w:hint="eastAsia"/>
                <w:lang w:val="en-US" w:eastAsia="zh-CN"/>
              </w:rPr>
              <w:t>内酸碱罐区</w:t>
            </w:r>
            <w:r>
              <w:rPr>
                <w:rFonts w:hint="default"/>
                <w:lang w:val="en-US" w:eastAsia="zh-CN"/>
              </w:rPr>
              <w:t>预留空地，建设用地属于园区工业用地，不属于新增工业用地，不会改变目前的土地资源利用结构；</w:t>
            </w:r>
            <w:r>
              <w:rPr>
                <w:rFonts w:hint="eastAsia"/>
                <w:lang w:val="en-US" w:eastAsia="zh-CN"/>
              </w:rPr>
              <w:t>全厂</w:t>
            </w:r>
            <w:r>
              <w:rPr>
                <w:rFonts w:hint="default"/>
                <w:lang w:val="en-US" w:eastAsia="zh-CN"/>
              </w:rPr>
              <w:t>生产、生活用水均由新疆胡杨河市胡杨河经济技术开发区统一供给；供电由新疆胡杨河市胡杨河经济技术开发区统一供给。因此，本项目的建设不会突破当地的资源利用上线。</w:t>
            </w:r>
          </w:p>
          <w:p w14:paraId="34900F25">
            <w:pPr>
              <w:pStyle w:val="4"/>
              <w:keepNext w:val="0"/>
              <w:keepLines/>
              <w:pageBreakBefore w:val="0"/>
              <w:kinsoku/>
              <w:overflowPunct/>
              <w:autoSpaceDE/>
              <w:autoSpaceDN/>
              <w:bidi w:val="0"/>
              <w:rPr>
                <w:rFonts w:hint="eastAsia"/>
                <w:lang w:val="en-US" w:eastAsia="zh-CN"/>
              </w:rPr>
            </w:pPr>
            <w:r>
              <w:rPr>
                <w:rFonts w:hint="eastAsia"/>
                <w:lang w:val="en-US" w:eastAsia="zh-CN"/>
              </w:rPr>
              <w:t>3.4与生态环境管控单元及生态环境准入清单的符合性分析</w:t>
            </w:r>
          </w:p>
          <w:p w14:paraId="64793844">
            <w:pPr>
              <w:pStyle w:val="5"/>
              <w:keepNext w:val="0"/>
              <w:keepLines/>
              <w:pageBreakBefore w:val="0"/>
              <w:kinsoku/>
              <w:overflowPunct/>
              <w:autoSpaceDE/>
              <w:autoSpaceDN/>
              <w:bidi w:val="0"/>
              <w:rPr>
                <w:rFonts w:hint="eastAsia"/>
                <w:lang w:val="en-US" w:eastAsia="zh-CN"/>
              </w:rPr>
            </w:pPr>
            <w:r>
              <w:rPr>
                <w:rFonts w:hint="eastAsia"/>
                <w:lang w:val="en-US" w:eastAsia="zh-CN"/>
              </w:rPr>
              <w:t>3.4.1与《新疆生产建设兵团“三线一单”生态环境分区管控方案》符合性分析</w:t>
            </w:r>
          </w:p>
          <w:p w14:paraId="270894BA">
            <w:pPr>
              <w:keepNext w:val="0"/>
              <w:keepLines/>
              <w:pageBreakBefore w:val="0"/>
              <w:kinsoku/>
              <w:overflowPunct/>
              <w:autoSpaceDE/>
              <w:autoSpaceDN/>
              <w:bidi w:val="0"/>
              <w:rPr>
                <w:rFonts w:hint="eastAsia"/>
                <w:lang w:val="en-US" w:eastAsia="zh-CN"/>
              </w:rPr>
            </w:pPr>
            <w:r>
              <w:rPr>
                <w:rFonts w:hint="eastAsia"/>
                <w:lang w:val="en-US" w:eastAsia="zh-CN"/>
              </w:rPr>
              <w:t>2021年4月14日，新疆生产建设兵团发布了《新疆生产建设兵团“三线一单”生态环境分区管控方案》（新兵发〔2021〕16号），2024年12月，新疆生产建设兵团生态环境局发布《新疆生产建设兵团2023年度生态环境分区管控动态更新成果公告》。</w:t>
            </w:r>
          </w:p>
          <w:p w14:paraId="216C9A58">
            <w:pPr>
              <w:keepNext w:val="0"/>
              <w:keepLines/>
              <w:pageBreakBefore w:val="0"/>
              <w:kinsoku/>
              <w:overflowPunct/>
              <w:autoSpaceDE/>
              <w:autoSpaceDN/>
              <w:bidi w:val="0"/>
              <w:rPr>
                <w:rFonts w:hint="eastAsia"/>
                <w:lang w:val="en-US" w:eastAsia="zh-CN"/>
              </w:rPr>
            </w:pPr>
            <w:r>
              <w:rPr>
                <w:rFonts w:hint="eastAsia"/>
                <w:lang w:val="en-US" w:eastAsia="zh-CN"/>
              </w:rPr>
              <w:t>根据2023年度动态更新后的《新疆生产建设兵团“三线一单”生态环境分区管控方案》，第七师胡杨河市共划定了59个管控单元，包括优先保护16个、重点管控31个、一般管控12个。</w:t>
            </w:r>
          </w:p>
          <w:p w14:paraId="3175254A">
            <w:pPr>
              <w:keepNext w:val="0"/>
              <w:keepLines/>
              <w:pageBreakBefore w:val="0"/>
              <w:kinsoku/>
              <w:overflowPunct/>
              <w:autoSpaceDE/>
              <w:autoSpaceDN/>
              <w:bidi w:val="0"/>
              <w:rPr>
                <w:rFonts w:hint="eastAsia"/>
                <w:lang w:val="en-US" w:eastAsia="zh-CN"/>
              </w:rPr>
            </w:pPr>
            <w:r>
              <w:rPr>
                <w:rFonts w:hint="eastAsia"/>
                <w:lang w:val="en-US" w:eastAsia="zh-CN"/>
              </w:rPr>
              <w:t>本项目位于胡杨河经济技术开发区南园区，对照新疆生产建设兵团环境管控单元图可知，本项目属于第七师胡杨河市重点管控单元，根据文件要求，重点管控单元应优化空间布局，加强污染物排放控制和环境风险防控，不断提升资源利用效率，重点解决突出生态环境问题，切实推动生态环境质量持续改善。</w:t>
            </w:r>
          </w:p>
          <w:p w14:paraId="69EEFD85">
            <w:pPr>
              <w:pStyle w:val="5"/>
              <w:keepNext w:val="0"/>
              <w:keepLines/>
              <w:pageBreakBefore w:val="0"/>
              <w:kinsoku/>
              <w:overflowPunct/>
              <w:autoSpaceDE/>
              <w:autoSpaceDN/>
              <w:bidi w:val="0"/>
              <w:rPr>
                <w:rFonts w:hint="eastAsia"/>
                <w:lang w:val="en-US" w:eastAsia="zh-CN"/>
              </w:rPr>
            </w:pPr>
            <w:r>
              <w:rPr>
                <w:rFonts w:hint="eastAsia"/>
                <w:lang w:val="en-US" w:eastAsia="zh-CN"/>
              </w:rPr>
              <w:t>3.4.2与《新疆生产建设兵团第七师胡杨河市生态环境分区管控更新成果（2023版）》符合性分析</w:t>
            </w:r>
          </w:p>
          <w:p w14:paraId="75CBFDB0">
            <w:pPr>
              <w:keepNext w:val="0"/>
              <w:keepLines/>
              <w:pageBreakBefore w:val="0"/>
              <w:kinsoku/>
              <w:overflowPunct/>
              <w:autoSpaceDE/>
              <w:autoSpaceDN/>
              <w:bidi w:val="0"/>
              <w:rPr>
                <w:rFonts w:hint="eastAsia"/>
                <w:lang w:val="en-US" w:eastAsia="zh-CN"/>
              </w:rPr>
            </w:pPr>
            <w:r>
              <w:rPr>
                <w:rFonts w:hint="eastAsia"/>
                <w:lang w:val="en-US" w:eastAsia="zh-CN"/>
              </w:rPr>
              <w:t>根据《关于公布新疆生产建设兵团第七师胡杨河市生态环境分区管控更新成果（2023版）的通知》（师市环委办发〔2024〕2号），本项目区位于新疆胡杨河市胡杨河经济技术开发区，胡杨河经济技术开发区—五五工业园区南区，属于划定的重点管控单元（编号：ZH65771220001），本项目与其符合性分析见下表4。</w:t>
            </w:r>
          </w:p>
          <w:p w14:paraId="3D106173">
            <w:pPr>
              <w:pStyle w:val="16"/>
              <w:keepNext w:val="0"/>
              <w:keepLines/>
              <w:pageBreakBefore w:val="0"/>
              <w:kinsoku/>
              <w:overflowPunct/>
              <w:autoSpaceDE/>
              <w:autoSpaceDN/>
              <w:bidi w:val="0"/>
              <w:rPr>
                <w:rFonts w:hint="default"/>
                <w:lang w:val="en-US" w:eastAsia="zh-CN"/>
              </w:rPr>
            </w:pPr>
            <w:r>
              <w:t xml:space="preserve">表 </w:t>
            </w:r>
            <w:r>
              <w:fldChar w:fldCharType="begin"/>
            </w:r>
            <w:r>
              <w:instrText xml:space="preserve"> SEQ 表 \* ARABIC </w:instrText>
            </w:r>
            <w:r>
              <w:fldChar w:fldCharType="separate"/>
            </w:r>
            <w:r>
              <w:t>4</w:t>
            </w:r>
            <w:r>
              <w:fldChar w:fldCharType="end"/>
            </w:r>
            <w:r>
              <w:rPr>
                <w:rFonts w:hint="eastAsia"/>
                <w:lang w:val="en-US" w:eastAsia="zh-CN"/>
              </w:rPr>
              <w:t xml:space="preserve">  </w:t>
            </w:r>
            <w:r>
              <w:rPr>
                <w:rFonts w:hint="default"/>
                <w:lang w:val="en-US" w:eastAsia="zh-CN"/>
              </w:rPr>
              <w:t>本项目与《新疆生产建设兵团第七师胡杨河市生态环境分区管控更新成果（2023版）》符合性分析一览表</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
              <w:gridCol w:w="3833"/>
              <w:gridCol w:w="2141"/>
              <w:gridCol w:w="644"/>
            </w:tblGrid>
            <w:tr w14:paraId="674DC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991" w:type="pct"/>
                  <w:gridSpan w:val="2"/>
                  <w:tcBorders>
                    <w:tl2br w:val="nil"/>
                    <w:tr2bl w:val="nil"/>
                  </w:tcBorders>
                  <w:tcMar>
                    <w:top w:w="0" w:type="dxa"/>
                    <w:left w:w="0" w:type="dxa"/>
                    <w:bottom w:w="0" w:type="dxa"/>
                    <w:right w:w="0" w:type="dxa"/>
                  </w:tcMar>
                  <w:vAlign w:val="center"/>
                </w:tcPr>
                <w:p w14:paraId="423DCA4B">
                  <w:pPr>
                    <w:pStyle w:val="15"/>
                    <w:keepNext w:val="0"/>
                    <w:keepLines/>
                    <w:pageBreakBefore w:val="0"/>
                    <w:widowControl w:val="0"/>
                    <w:kinsoku/>
                    <w:overflowPunct/>
                    <w:autoSpaceDE/>
                    <w:autoSpaceDN/>
                    <w:bidi w:val="0"/>
                    <w:jc w:val="center"/>
                    <w:rPr>
                      <w:rFonts w:hint="default"/>
                      <w:lang w:val="en-US" w:eastAsia="zh-CN"/>
                    </w:rPr>
                  </w:pPr>
                  <w:r>
                    <w:rPr>
                      <w:rFonts w:hint="eastAsia"/>
                      <w:lang w:val="en-US" w:eastAsia="zh-CN"/>
                    </w:rPr>
                    <w:t>管控要求</w:t>
                  </w:r>
                </w:p>
              </w:tc>
              <w:tc>
                <w:tcPr>
                  <w:tcW w:w="1544" w:type="pct"/>
                  <w:tcBorders>
                    <w:tl2br w:val="nil"/>
                    <w:tr2bl w:val="nil"/>
                  </w:tcBorders>
                  <w:tcMar>
                    <w:top w:w="0" w:type="dxa"/>
                    <w:left w:w="0" w:type="dxa"/>
                    <w:bottom w:w="0" w:type="dxa"/>
                    <w:right w:w="0" w:type="dxa"/>
                  </w:tcMar>
                  <w:vAlign w:val="center"/>
                </w:tcPr>
                <w:p w14:paraId="0F3CFCAF">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本项目情况</w:t>
                  </w:r>
                </w:p>
              </w:tc>
              <w:tc>
                <w:tcPr>
                  <w:tcW w:w="464" w:type="pct"/>
                  <w:tcBorders>
                    <w:tl2br w:val="nil"/>
                    <w:tr2bl w:val="nil"/>
                  </w:tcBorders>
                  <w:tcMar>
                    <w:top w:w="0" w:type="dxa"/>
                    <w:left w:w="0" w:type="dxa"/>
                    <w:bottom w:w="0" w:type="dxa"/>
                    <w:right w:w="0" w:type="dxa"/>
                  </w:tcMar>
                  <w:vAlign w:val="center"/>
                </w:tcPr>
                <w:p w14:paraId="6B47C07D">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符合性</w:t>
                  </w:r>
                </w:p>
              </w:tc>
            </w:tr>
            <w:tr w14:paraId="108A6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tcBorders>
                    <w:tl2br w:val="nil"/>
                    <w:tr2bl w:val="nil"/>
                  </w:tcBorders>
                  <w:tcMar>
                    <w:top w:w="0" w:type="dxa"/>
                    <w:left w:w="0" w:type="dxa"/>
                    <w:bottom w:w="0" w:type="dxa"/>
                    <w:right w:w="0" w:type="dxa"/>
                  </w:tcMar>
                  <w:vAlign w:val="center"/>
                </w:tcPr>
                <w:p w14:paraId="05902A70">
                  <w:pPr>
                    <w:pStyle w:val="15"/>
                    <w:keepNext w:val="0"/>
                    <w:keepLines/>
                    <w:pageBreakBefore w:val="0"/>
                    <w:widowControl w:val="0"/>
                    <w:kinsoku/>
                    <w:overflowPunct/>
                    <w:autoSpaceDE/>
                    <w:autoSpaceDN/>
                    <w:bidi w:val="0"/>
                    <w:jc w:val="both"/>
                    <w:rPr>
                      <w:rFonts w:hint="default"/>
                      <w:lang w:val="en-US" w:eastAsia="zh-CN"/>
                    </w:rPr>
                  </w:pPr>
                  <w:r>
                    <w:rPr>
                      <w:rFonts w:hint="eastAsia"/>
                      <w:lang w:val="en-US" w:eastAsia="zh-CN"/>
                    </w:rPr>
                    <w:t>空间布局约束</w:t>
                  </w:r>
                </w:p>
              </w:tc>
              <w:tc>
                <w:tcPr>
                  <w:tcW w:w="2763" w:type="pct"/>
                  <w:tcBorders>
                    <w:tl2br w:val="nil"/>
                    <w:tr2bl w:val="nil"/>
                  </w:tcBorders>
                  <w:tcMar>
                    <w:top w:w="0" w:type="dxa"/>
                    <w:left w:w="0" w:type="dxa"/>
                    <w:bottom w:w="0" w:type="dxa"/>
                    <w:right w:w="0" w:type="dxa"/>
                  </w:tcMar>
                  <w:vAlign w:val="center"/>
                </w:tcPr>
                <w:p w14:paraId="35810204">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南园区规划产业定位以精细化工、新材料为主导产业，新型建材、仓储物流业为辅助产业，装备制造业、创新科技产业、农产品加工、电子元器件产业作为淮安援疆产城融合发展产业。北园区规划重点发展生物医药、化工及新材料产业，配套发展仓储物流业。胡杨河纺织工业园区规划布局纺织、电子元器件产业。各园区以主导产业及其下游产业链为主要方向发展产业。准入产业需符合《产业结构调整指导目录（2019年本）》相关要求。</w:t>
                  </w:r>
                </w:p>
                <w:p w14:paraId="633A715D">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【禁止类】</w:t>
                  </w:r>
                </w:p>
                <w:p w14:paraId="6958D082">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1.1.1）严格治理园区现有化工项目，提高化工项目入驻标准，重点发展精细化工、新材料等新兴产业。禁止类产业有：《指导目录》中的淘汰类和《清单草案》中的禁止准入类，以及不具备区域资源禀赋条件、不符合所处重点生态功能区开发管制原则的限制类、允许类、鼓励类产业。</w:t>
                  </w:r>
                </w:p>
                <w:p w14:paraId="1C48012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1.1.2）禁止新建或扩建棉浆粕生产项目；禁止在《关于促进新疆纺织服装产业健康可持续发展的指导意见》（新政发环境〔2017〕155号）布局要求以外建设印染项目；禁止新建使用禁用的直接染料（冰染色基包括C.I.冰染色基11、C.I.冰染色基48、C.I.冰染色基112、C.I冰染色基113等）进行棉印染精加工的印染项目。</w:t>
                  </w:r>
                </w:p>
                <w:p w14:paraId="165BD9F0">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（1.1.3）劳动力密集型的非化工企业不得与化工企业混建在同一园区内。</w:t>
                  </w:r>
                </w:p>
                <w:p w14:paraId="65A562BA">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1.1.4）在城市规划区边界外2千米（现有城市居民供气项目和钢铁生产企业厂区内配套项目除外）以内，主要河流两岸、高速公路两旁和其他严防污染的食品、药品等企业周边1千米以内禁止建设焦化项目，已在上述区域内投产运营的焦化企业，要根据该区域规划要求，在一定期限内，通过“搬迁、转产”等方式逐步退出。</w:t>
                  </w:r>
                </w:p>
                <w:p w14:paraId="5D292DA8">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1.1.5）兰炭产能过剩地区不得批准新建兰炭项目，除了在原有基础上进行技改以及煤化工配套的兰炭项目以外，对新建没有后续产业的兰炭项目原则上一律不予审批，另外自治区划定的大气污染联防联控区内严禁建设任何性质焦化项目。</w:t>
                  </w:r>
                </w:p>
                <w:p w14:paraId="3350ECFF">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1.1.6）城市规划区边界外2千米以内，主要河流两岸、公路、铁路、水路干线两侧和其他严防污染的食品、药品、精密制造产品等企业周边1千米以内及大气污染防治重点控制区内，禁止新增电石生产装置、电石法聚氯乙烯和烧碱生产装置。</w:t>
                  </w:r>
                </w:p>
                <w:p w14:paraId="527B7BC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1.1.7）严格按照规划产业布局入驻企业，结合区域发展定位、开发布局、生态环境保护目标，实行入园企业环保准入审核制度，不符合产业政策、行业准入条件、生态环境准入清单及自治区党委明令禁止的“三高”项目一律不得入驻园区。</w:t>
                  </w:r>
                </w:p>
                <w:p w14:paraId="21D4A3F4">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（1.1.8）南园区不再布局资源型源头加工类产业，禁止新建、扩建以原煤、原油、重油等为原料的化工产业项目，通过产业链引导化工区块向精细化工、新材料产业方向发展。</w:t>
                  </w:r>
                </w:p>
                <w:p w14:paraId="515E2EDC">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【限制类】</w:t>
                  </w:r>
                </w:p>
                <w:p w14:paraId="21F1930B">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（1.2.1）限制类产业有：《指导目录》中的限制类和《清单草案》中的限制准入类（已列入清单禁止类的产业除外），以及与所处重点生态功能区发展方向和开发管制原则不相符合的允许类、鼓励类产业。</w:t>
                  </w:r>
                </w:p>
                <w:p w14:paraId="04E73E29">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（1.2.2）劳动力密集型的非化工企业与化工企业应分区建设。</w:t>
                  </w:r>
                </w:p>
                <w:p w14:paraId="0737A521">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（1.2.3）合理产业布局，优化资源配置，将污染相对较大的工业项目布局在北区，远离胡杨河市。</w:t>
                  </w:r>
                </w:p>
                <w:p w14:paraId="658E7B80">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（1.2.4）棉浆粕、粘胶纤维项目卫生防护距离通过环境影响评价计算确定，棉纺、印染项目卫生防护距离执行《纺织业卫生防护距离第1部分：棉、化纤纺织及印染精加工业》（GB 18080.1）。项目卫生防护距离内不得规划、建设居民区、学校、医院等环境敏感目标，对于已存在的环境敏感目标要采取合理措施加以保护。</w:t>
                  </w:r>
                </w:p>
                <w:p w14:paraId="60932AE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1.2.5）严格电子铝箔企业准入建议南园区内铝箔企业应对标国内先进企业，在酸回收、废水回用环节继续加大技术改造力度，适度延长产业链，使废酸、废水得到充分综合利用，力争南园区内所有电子铝箔企业排水中氯离子、硫酸盐、溶解性总固体等因子稳定满足师市环发〔2021〕7号标准限值要求。</w:t>
                  </w:r>
                </w:p>
                <w:p w14:paraId="15B8BE1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【鼓励类】</w:t>
                  </w:r>
                </w:p>
                <w:p w14:paraId="49E0D69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（1.3.1）围绕交通运输、轻工纺织、化学建材、电子信息产业等行业积极开发化工新材料；发展精细化工产业。</w:t>
                  </w:r>
                </w:p>
                <w:p w14:paraId="07840090">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（1.3.2）加快发展合成纤维。积极发展多功能纤维和生物质纤维。全力发展服装、家纺、针织产业，加快培育产业用纺织品产业。</w:t>
                  </w:r>
                </w:p>
                <w:p w14:paraId="1C8DD938">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（1.3.3）鼓励七师胡杨河市发展煤化工及氯碱化工深加工项目、纺织服装深加工项目和碳、铝、硅基新材料项目。</w:t>
                  </w:r>
                </w:p>
                <w:p w14:paraId="1A7ECC79">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1.3.4）支持企业充分利用新疆石油、煤炭和盐3大优势资源向下游产业发展。延伸烯烃、芳烃产业链，围绕交通运输、轻工纺织、化学建材、电子信息产业等行业积极开发化工新材料；发展精细化工产业。有序发展煤制燃料、煤制烯烃、煤制乙二醇、煤制芳烃（甲醇制芳烃）、煤炭提质转化、煤炭综合利用等现代煤化工项目；推进油煤共炼工艺技术的产业化应用。</w:t>
                  </w:r>
                </w:p>
                <w:p w14:paraId="2C856ED6">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（1.4）化工园区内凡存在重大事故隐患、生产工艺技术落后、不具备安全生产条件的企业，责令停产整顿，整改无望的或整改后仍不能达到要求的企业，应依法予以关闭。</w:t>
                  </w:r>
                </w:p>
                <w:p w14:paraId="1410CC47">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1.5）优化开发区产业结构和布局，坚持绿色发展。坚持以环境质量改善为核心，遵循环保优先和绿色发展原则，结合区域实际及上位规划，依据所在产业区块功能及环保要求，确保产业区块的完整性和延续性，按照新兵函〔2020〕24号文件批复的主导产业，合理确定开发区产业结构和布局，不同功能区之间应设置必要的缓冲带。</w:t>
                  </w:r>
                </w:p>
                <w:p w14:paraId="73DF210C">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1.6）通过积极转变生产和生活方式、调整能源消费结构、加强资源节约，统筹协调推进经济和社会发展。深入开展应对气候变化工作，切实增强控制温室气体排放能力。促进经济绿色低碳可持续发展，引导重点行业向绿色低碳方向转型，针对开发区规划从碳排放产业规模、结构调整、原料替代、能源利用效率提升、绿色清洁能源利用、废物节能与低碳化处置等方面提出节能、减煤和碳减排建议，推动减污治污减碳协同共治。对于生产技术落后、清洁生产水平偏低和不符合开发区规划的现状企业，采取逐步退出机制。</w:t>
                  </w:r>
                </w:p>
                <w:p w14:paraId="25DF620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1.7）引进项目的生产工艺、设备、污染治理技术，以及单位产品能耗、物耗、污染物排放和资源利用效率均需达到同行业国内先进水平，积极推进产业的技术进步和园区循环化改造，构建绿色、低碳园区。开发区水资源利用不得突破《新疆用水总量控制方案》确定的第七师水资源利用上线指标，土地资源利用不得突破第七师国土空间规划确定的新增建设用地规模。</w:t>
                  </w:r>
                </w:p>
              </w:tc>
              <w:tc>
                <w:tcPr>
                  <w:tcW w:w="1544" w:type="pct"/>
                  <w:tcBorders>
                    <w:tl2br w:val="nil"/>
                    <w:tr2bl w:val="nil"/>
                  </w:tcBorders>
                  <w:tcMar>
                    <w:top w:w="0" w:type="dxa"/>
                    <w:left w:w="0" w:type="dxa"/>
                    <w:bottom w:w="0" w:type="dxa"/>
                    <w:right w:w="0" w:type="dxa"/>
                  </w:tcMar>
                  <w:vAlign w:val="center"/>
                </w:tcPr>
                <w:p w14:paraId="5BDB0931">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本项目位于胡杨河经济技术开发区化工园区南园区</w:t>
                  </w:r>
                  <w:r>
                    <w:rPr>
                      <w:rFonts w:hint="default"/>
                    </w:rPr>
                    <w:t>新疆久塔锦晨生物科技股份有限公司</w:t>
                  </w:r>
                  <w:r>
                    <w:rPr>
                      <w:rFonts w:hint="eastAsia"/>
                      <w:lang w:val="en-US" w:eastAsia="zh-CN"/>
                    </w:rPr>
                    <w:t>酸碱罐区内</w:t>
                  </w:r>
                  <w:r>
                    <w:rPr>
                      <w:rFonts w:hint="default"/>
                    </w:rPr>
                    <w:t>预留空地</w:t>
                  </w:r>
                  <w:r>
                    <w:rPr>
                      <w:rFonts w:hint="eastAsia"/>
                      <w:lang w:val="en-US" w:eastAsia="zh-CN"/>
                    </w:rPr>
                    <w:t>，整体项目产品为农药中间体，属于精细化工类项目，符合胡杨河经济技术开发区化工园区产业布局。</w:t>
                  </w:r>
                </w:p>
                <w:p w14:paraId="05733C39">
                  <w:pPr>
                    <w:pStyle w:val="15"/>
                    <w:keepNext w:val="0"/>
                    <w:keepLines/>
                    <w:pageBreakBefore w:val="0"/>
                    <w:widowControl w:val="0"/>
                    <w:kinsoku/>
                    <w:overflowPunct/>
                    <w:autoSpaceDE/>
                    <w:autoSpaceDN/>
                    <w:bidi w:val="0"/>
                    <w:rPr>
                      <w:rFonts w:hint="default"/>
                      <w:lang w:val="en-US" w:eastAsia="zh-CN"/>
                    </w:rPr>
                  </w:pPr>
                  <w:r>
                    <w:rPr>
                      <w:rFonts w:hint="default"/>
                      <w:lang w:val="en-US" w:eastAsia="zh-CN"/>
                    </w:rPr>
                    <w:t>根据</w:t>
                  </w:r>
                  <w:r>
                    <w:rPr>
                      <w:rFonts w:hint="eastAsia"/>
                      <w:lang w:val="en-US" w:eastAsia="zh-CN"/>
                    </w:rPr>
                    <w:t>《产业结构调整指导目录（2024年本）》</w:t>
                  </w:r>
                  <w:r>
                    <w:rPr>
                      <w:rFonts w:hint="default"/>
                      <w:lang w:val="en-US" w:eastAsia="zh-CN"/>
                    </w:rPr>
                    <w:t>，</w:t>
                  </w:r>
                  <w:r>
                    <w:rPr>
                      <w:rFonts w:hint="eastAsia"/>
                      <w:lang w:val="en-US" w:eastAsia="zh-CN"/>
                    </w:rPr>
                    <w:t>新增盐酸储罐为允许类，整体项目</w:t>
                  </w:r>
                  <w:r>
                    <w:rPr>
                      <w:rFonts w:hint="default"/>
                      <w:lang w:val="en-US" w:eastAsia="zh-CN"/>
                    </w:rPr>
                    <w:t>属于鼓励类；根据《产业转移指导目录（2018年本）》，</w:t>
                  </w:r>
                  <w:r>
                    <w:rPr>
                      <w:rFonts w:hint="eastAsia"/>
                      <w:lang w:val="en-US" w:eastAsia="zh-CN"/>
                    </w:rPr>
                    <w:t>整体</w:t>
                  </w:r>
                  <w:r>
                    <w:rPr>
                      <w:rFonts w:hint="default"/>
                      <w:lang w:val="en-US" w:eastAsia="zh-CN"/>
                    </w:rPr>
                    <w:t>项目未列入不再承接的产业；根据《市场准入负面清单（2025年版）》，</w:t>
                  </w:r>
                  <w:r>
                    <w:rPr>
                      <w:rFonts w:hint="eastAsia"/>
                      <w:lang w:val="en-US" w:eastAsia="zh-CN"/>
                    </w:rPr>
                    <w:t>整体项目</w:t>
                  </w:r>
                  <w:r>
                    <w:rPr>
                      <w:rFonts w:hint="default"/>
                      <w:lang w:val="en-US" w:eastAsia="zh-CN"/>
                    </w:rPr>
                    <w:t>生产工艺和产品均未列入禁止准入类。</w:t>
                  </w:r>
                </w:p>
              </w:tc>
              <w:tc>
                <w:tcPr>
                  <w:tcW w:w="464" w:type="pct"/>
                  <w:tcBorders>
                    <w:tl2br w:val="nil"/>
                    <w:tr2bl w:val="nil"/>
                  </w:tcBorders>
                  <w:tcMar>
                    <w:top w:w="0" w:type="dxa"/>
                    <w:left w:w="0" w:type="dxa"/>
                    <w:bottom w:w="0" w:type="dxa"/>
                    <w:right w:w="0" w:type="dxa"/>
                  </w:tcMar>
                  <w:vAlign w:val="center"/>
                </w:tcPr>
                <w:p w14:paraId="0645336A">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符合</w:t>
                  </w:r>
                </w:p>
              </w:tc>
            </w:tr>
            <w:tr w14:paraId="52116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tcBorders>
                    <w:tl2br w:val="nil"/>
                    <w:tr2bl w:val="nil"/>
                  </w:tcBorders>
                  <w:tcMar>
                    <w:top w:w="0" w:type="dxa"/>
                    <w:left w:w="0" w:type="dxa"/>
                    <w:bottom w:w="0" w:type="dxa"/>
                    <w:right w:w="0" w:type="dxa"/>
                  </w:tcMar>
                  <w:vAlign w:val="center"/>
                </w:tcPr>
                <w:p w14:paraId="38168FDF">
                  <w:pPr>
                    <w:pStyle w:val="15"/>
                    <w:keepNext w:val="0"/>
                    <w:keepLines/>
                    <w:pageBreakBefore w:val="0"/>
                    <w:widowControl w:val="0"/>
                    <w:kinsoku/>
                    <w:overflowPunct/>
                    <w:autoSpaceDE/>
                    <w:autoSpaceDN/>
                    <w:bidi w:val="0"/>
                    <w:jc w:val="both"/>
                    <w:rPr>
                      <w:rFonts w:hint="default"/>
                      <w:lang w:val="en-US" w:eastAsia="zh-CN"/>
                    </w:rPr>
                  </w:pPr>
                  <w:r>
                    <w:rPr>
                      <w:rFonts w:hint="eastAsia"/>
                      <w:lang w:val="en-US" w:eastAsia="zh-CN"/>
                    </w:rPr>
                    <w:t>污染物排放管控</w:t>
                  </w:r>
                </w:p>
              </w:tc>
              <w:tc>
                <w:tcPr>
                  <w:tcW w:w="2763" w:type="pct"/>
                  <w:tcBorders>
                    <w:tl2br w:val="nil"/>
                    <w:tr2bl w:val="nil"/>
                  </w:tcBorders>
                  <w:tcMar>
                    <w:top w:w="0" w:type="dxa"/>
                    <w:left w:w="0" w:type="dxa"/>
                    <w:bottom w:w="0" w:type="dxa"/>
                    <w:right w:w="0" w:type="dxa"/>
                  </w:tcMar>
                  <w:vAlign w:val="center"/>
                </w:tcPr>
                <w:p w14:paraId="220FDB6A">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（2）落实《胡杨河经济技术开发区总体规划（2021—2035年）环境影响报告书》相关要求。</w:t>
                  </w:r>
                </w:p>
                <w:p w14:paraId="54F33A37">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（2.1）废水处理：</w:t>
                  </w:r>
                </w:p>
                <w:p w14:paraId="7C09836A">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（2.1.1）企业预处理达标废水经园区污水处理厂和中水厂处理满足中水回用标准，用于企业循环冷却、园区绿化、洒水降尘等。</w:t>
                  </w:r>
                </w:p>
                <w:p w14:paraId="2934FE60">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（2.1.2）各企业按清污分流原则建立完善的排水系统和事故池，严禁将高浓度废水稀释排放。选择节水工艺，鼓励一水多用，减少废水排放。</w:t>
                  </w:r>
                </w:p>
                <w:p w14:paraId="794D596A">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（2.1.3）园区废水集中收集，分质处理。强化高盐污水处理处置，制定中水回用及处置去向。污水处理装置具体规模的设置应根据园区建设的进程予以协调，设置中水回用装置，减少外排水量。</w:t>
                  </w:r>
                </w:p>
                <w:p w14:paraId="0638A81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（2.1.4）新入驻企业按照国家和行业及地方排放标准，以及污水处理厂纳管汇入污水处理厂集中处理。</w:t>
                  </w:r>
                </w:p>
                <w:p w14:paraId="321101BA">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（2.2）废气处理：</w:t>
                  </w:r>
                </w:p>
                <w:p w14:paraId="71AC5581">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2.2.1）严格控制有毒和有害气体的排放，并对有毒和有害气体排放实施在线自动检测仪监控。各装置反应尾气排放气、紧急事故排放气、罐区低压排放气等视其情况或送入各装置的火炬系统、焚烧炉或进入燃料气系统回收利用。煤化工项目采用高效的除尘设备。</w:t>
                  </w:r>
                </w:p>
                <w:p w14:paraId="36C8F046">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（2.2.2）加强对企业的粉尘、烟尘污染治理。开展金属制品业酸雾等工艺废气污染控制与治理，提升行业装备水平，完善废气收集系统，减少无组织排放，做到工艺废气排放浓度和厂界浓度双达标。</w:t>
                  </w:r>
                </w:p>
                <w:p w14:paraId="019386D4">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（2.2.3）含尘炉气或利用后的再生气必须经除尘处理后达标排放，捕集后的粉尘不能造成二次污染。</w:t>
                  </w:r>
                </w:p>
                <w:p w14:paraId="30E53B18">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（2.2.4）南园区、纺织工业园入园企业应执行大气污染物特别排放限值要求。</w:t>
                  </w:r>
                </w:p>
                <w:p w14:paraId="30CBB21D">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（2.3）固废处理：</w:t>
                  </w:r>
                </w:p>
                <w:p w14:paraId="380F302F">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（2.3.1）按国标《城市环境卫生设施设置标准》（CJJ 27-89）有关标准规定，设置垃圾转运站；为确保垃圾清运率达到100%，环卫部门应配置必要的设备和运输车辆；进一步推广垃圾袋装化，以便后续垃圾分类处理和综合利用，对垃圾中有用的物质（如废纸、金属、玻璃等）应尽可能回收。</w:t>
                  </w:r>
                </w:p>
                <w:p w14:paraId="7C8CCEA0">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2.3.2）一般固体废物实行综合利用，对不可综合利用的一般固体废物，应送往一般工业固体废物处理处置场所，进行安全填埋处置。园区产生的危险固体废弃物主要包括少量废旧催化剂、高沸物，污水处理装置产生的污泥，外送委托有相关危险废物处理资质的企业进行安全处置。在园区内建设危险废物临时贮存库，并进行防渗和排水设计。按照国家有关规定办理危险废物申报转移的“五联单”手续，并在贮运过程中严格执行危险化学品贮存、运输和监管的有关规定。</w:t>
                  </w:r>
                </w:p>
                <w:p w14:paraId="3699B858">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（2.3.3）大力推进一般工业固体废物的减量化、资源化和无害化工作。园区一般固体废物综合利用率不低于60%，对于无法综合利用的固体废物，在区外建设灰渣填埋场填埋。</w:t>
                  </w:r>
                </w:p>
                <w:p w14:paraId="23E32F64">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（2.4）园区开展规划环评，需重点分析园区主要污染物排放对胡杨河市影响，确保胡杨河市环境空气质量稳定达标。</w:t>
                  </w:r>
                </w:p>
                <w:p w14:paraId="7BFAE887">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2.5）开发区南园区、北园区属于兵团认定的化工园区，因此需严格落实《关于加强重点行业建设项目区域削减措施监督管理的通知》（环办环评〔2020〕36号）的要求，落实重点行业区域削减措施，纳入日常环境管理工作，建立考核机制，并与排污许可制度衔接。</w:t>
                  </w:r>
                </w:p>
              </w:tc>
              <w:tc>
                <w:tcPr>
                  <w:tcW w:w="1544" w:type="pct"/>
                  <w:tcBorders>
                    <w:tl2br w:val="nil"/>
                    <w:tr2bl w:val="nil"/>
                  </w:tcBorders>
                  <w:tcMar>
                    <w:top w:w="0" w:type="dxa"/>
                    <w:left w:w="0" w:type="dxa"/>
                    <w:bottom w:w="0" w:type="dxa"/>
                    <w:right w:w="0" w:type="dxa"/>
                  </w:tcMar>
                  <w:vAlign w:val="center"/>
                </w:tcPr>
                <w:p w14:paraId="0F37219E">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本项目已落实《胡杨河经济技术开发区总体规划（2021—2035年）环境影响报告书》中的相关要求。</w:t>
                  </w:r>
                </w:p>
                <w:p w14:paraId="7F2054FF">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本次扩建盐酸储罐运营期无废水产生。</w:t>
                  </w:r>
                </w:p>
                <w:p w14:paraId="3BE9D930">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厂区内酸碱罐区已设置围堰，厂区已设置4572m</w:t>
                  </w:r>
                  <w:r>
                    <w:rPr>
                      <w:rFonts w:hint="eastAsia"/>
                      <w:vertAlign w:val="superscript"/>
                      <w:lang w:val="en-US" w:eastAsia="zh-CN"/>
                    </w:rPr>
                    <w:t>3</w:t>
                  </w:r>
                  <w:r>
                    <w:rPr>
                      <w:rFonts w:hint="eastAsia"/>
                      <w:lang w:val="en-US" w:eastAsia="zh-CN"/>
                    </w:rPr>
                    <w:t>事故水池。</w:t>
                  </w:r>
                </w:p>
                <w:p w14:paraId="09FC885B">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储存及装卸产生的无组织废气污染物主要为HCl，通过管道收集至厂区现有TA002（</w:t>
                  </w:r>
                  <w:r>
                    <w:rPr>
                      <w:rFonts w:hint="eastAsia"/>
                      <w:color w:val="auto"/>
                      <w:lang w:val="en-US" w:eastAsia="zh-CN"/>
                    </w:rPr>
                    <w:t>三级降膜水吸收+三级填料碱吸收+一级碱喷淋</w:t>
                  </w:r>
                  <w:r>
                    <w:rPr>
                      <w:rFonts w:hint="eastAsia"/>
                      <w:lang w:val="en-US" w:eastAsia="zh-CN"/>
                    </w:rPr>
                    <w:t>）废气处理装置合并处理，后通过1根高30m、内径0.4m排气筒DA002排放，并安装HCl、SO</w:t>
                  </w:r>
                  <w:r>
                    <w:rPr>
                      <w:rFonts w:hint="eastAsia"/>
                      <w:vertAlign w:val="subscript"/>
                      <w:lang w:val="en-US" w:eastAsia="zh-CN"/>
                    </w:rPr>
                    <w:t>2</w:t>
                  </w:r>
                  <w:r>
                    <w:rPr>
                      <w:rFonts w:hint="eastAsia"/>
                      <w:lang w:val="en-US" w:eastAsia="zh-CN"/>
                    </w:rPr>
                    <w:t>在线监测设施。</w:t>
                  </w:r>
                </w:p>
                <w:p w14:paraId="7E3DD874">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全厂生产废水依托现有厂区内的污水处理站处理后通过园区污水管网排入胡杨河经济技术开发区一号污水处理厂进一步处理，生活污水依托现有生活污水管网汇集至化粪池，经园区污水管网排入胡杨河经济技术开发区一号污水处理厂进一步处理；全厂已采取地下水防控措施，不会影响区域地下水环境和土壤环境；全厂危险废物经危险废物贮存库分类分区临时贮存，委托有资质的单位进行处置，其他废物均得到妥善处置。</w:t>
                  </w:r>
                </w:p>
              </w:tc>
              <w:tc>
                <w:tcPr>
                  <w:tcW w:w="464" w:type="pct"/>
                  <w:tcBorders>
                    <w:tl2br w:val="nil"/>
                    <w:tr2bl w:val="nil"/>
                  </w:tcBorders>
                  <w:tcMar>
                    <w:top w:w="0" w:type="dxa"/>
                    <w:left w:w="0" w:type="dxa"/>
                    <w:bottom w:w="0" w:type="dxa"/>
                    <w:right w:w="0" w:type="dxa"/>
                  </w:tcMar>
                  <w:vAlign w:val="center"/>
                </w:tcPr>
                <w:p w14:paraId="19EC66E6">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符合</w:t>
                  </w:r>
                </w:p>
              </w:tc>
            </w:tr>
            <w:tr w14:paraId="54B03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tcBorders>
                    <w:tl2br w:val="nil"/>
                    <w:tr2bl w:val="nil"/>
                  </w:tcBorders>
                  <w:tcMar>
                    <w:top w:w="0" w:type="dxa"/>
                    <w:left w:w="0" w:type="dxa"/>
                    <w:bottom w:w="0" w:type="dxa"/>
                    <w:right w:w="0" w:type="dxa"/>
                  </w:tcMar>
                  <w:vAlign w:val="center"/>
                </w:tcPr>
                <w:p w14:paraId="5AAC28BD">
                  <w:pPr>
                    <w:pStyle w:val="15"/>
                    <w:keepNext w:val="0"/>
                    <w:keepLines/>
                    <w:pageBreakBefore w:val="0"/>
                    <w:widowControl w:val="0"/>
                    <w:kinsoku/>
                    <w:overflowPunct/>
                    <w:autoSpaceDE/>
                    <w:autoSpaceDN/>
                    <w:bidi w:val="0"/>
                    <w:jc w:val="both"/>
                    <w:rPr>
                      <w:rFonts w:hint="default"/>
                      <w:lang w:val="en-US" w:eastAsia="zh-CN"/>
                    </w:rPr>
                  </w:pPr>
                  <w:r>
                    <w:rPr>
                      <w:rFonts w:hint="eastAsia"/>
                      <w:lang w:val="en-US" w:eastAsia="zh-CN"/>
                    </w:rPr>
                    <w:t>环境风险防控</w:t>
                  </w:r>
                </w:p>
              </w:tc>
              <w:tc>
                <w:tcPr>
                  <w:tcW w:w="2763" w:type="pct"/>
                  <w:tcBorders>
                    <w:tl2br w:val="nil"/>
                    <w:tr2bl w:val="nil"/>
                  </w:tcBorders>
                  <w:tcMar>
                    <w:top w:w="0" w:type="dxa"/>
                    <w:left w:w="0" w:type="dxa"/>
                    <w:bottom w:w="0" w:type="dxa"/>
                    <w:right w:w="0" w:type="dxa"/>
                  </w:tcMar>
                  <w:vAlign w:val="center"/>
                </w:tcPr>
                <w:p w14:paraId="6F1AF502">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（3）落实《胡杨河经济技术开发区总体规划（2021—2035年）环境影响报告书》相关要求。</w:t>
                  </w:r>
                </w:p>
                <w:p w14:paraId="2D9E82CC">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3.1）加强对风险概率高环节的定期检查、维护工作；定期对消防、消防报警和自控系统、防雷、防爆、防静电、防洪及管道泄漏等安全措施和自动检测报警系统等安全技术设施进行检修。化工园区安全生产管理机构应至少每五年开展一次化工园区整体安全风险评估，评估安全风险，提出消除、降低、管控安全风险的对策措施。</w:t>
                  </w:r>
                </w:p>
                <w:p w14:paraId="4D2A1991">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3.2）建设安全监管和应急救援信息平台，构建基础信息库和风险隐患数据库，至少应接入企业重大危险源（储罐区和库区）实时在线监测监控相关数据，并且化工园区应将接入数据上传至省、市级应急管理部门。</w:t>
                  </w:r>
                </w:p>
                <w:p w14:paraId="55F666E7">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（3.3）处于高安全风险等级的园区，要责令其限期整改提升，整改完成前将实行项目限批，原则上不得新、改、扩建危险化学品建设项目，有效降低安全风险。</w:t>
                  </w:r>
                </w:p>
                <w:p w14:paraId="7B4064CB">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3.4）组织实施精准化安全风险排查评估，分类建立完善安全风险数据库和信息管理系统，区分“红、橙、黄、蓝”四级安全风险，突出一、二级重大危险源和有毒有害、易燃易爆化工企业，按照“一企一策”“一园一策”原则，实施最严格的治理整顿。</w:t>
                  </w:r>
                </w:p>
                <w:p w14:paraId="6C19CDE5">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（3.5）加强地下水跟踪监测工作，观察地下水的污染动态，适时提出保护措施。一旦发生地下水污染，立即启动地下水污染应急预案，采取有效的措施，保证在最短的时间内解决污染事故。</w:t>
                  </w:r>
                </w:p>
                <w:p w14:paraId="3C460F91">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（3.6）易燃易爆的企业，自身要做好防护工作。</w:t>
                  </w:r>
                </w:p>
                <w:p w14:paraId="3642A4B2">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（3.7）企业存在重大安全隐患的，必须立即消除，消除前或消除过程中无法保证安全的，属地应急管理部门应依法责令暂时停产停业或者停止使用相关设施、设备。</w:t>
                  </w:r>
                </w:p>
                <w:p w14:paraId="11A7810E">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（3.8）保障城市人居环境安全和生态环境安全。配备应急物资，建设化工园区事故水池，定期开展应急演习，不断完善环境风险应急预案，防控开发区储运中可能引发的环境风险。</w:t>
                  </w:r>
                </w:p>
                <w:p w14:paraId="327C5E07">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（3.9）各企业应按照《大气有害物质无组织排放卫生防护距离推导技术导则》（GB/T 39499-2020）核定企业卫生防护距离，根据其环境影响评价文件的要求设置相应的大气环境防护距离，在大气环境防护距离和卫生防护距离内不应有长期居住的人群。</w:t>
                  </w:r>
                </w:p>
                <w:p w14:paraId="56704366">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（3.10）加强交通干线的路面防护和两侧绿化隔离，改善路面条件和清洁卫生。在工业用地周边加大绿化隔离带的建设，特别是工业用地和大气环境保护目标之间的绿化隔离带建设。</w:t>
                  </w:r>
                </w:p>
              </w:tc>
              <w:tc>
                <w:tcPr>
                  <w:tcW w:w="1544" w:type="pct"/>
                  <w:tcBorders>
                    <w:tl2br w:val="nil"/>
                    <w:tr2bl w:val="nil"/>
                  </w:tcBorders>
                  <w:tcMar>
                    <w:top w:w="0" w:type="dxa"/>
                    <w:left w:w="0" w:type="dxa"/>
                    <w:bottom w:w="0" w:type="dxa"/>
                    <w:right w:w="0" w:type="dxa"/>
                  </w:tcMar>
                  <w:vAlign w:val="center"/>
                </w:tcPr>
                <w:p w14:paraId="7296FD49">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本项目环评批复后，企业应对突发环境事件应急预案进行修编。发生安全事故和污染事故时，应当及时上报上级环保及相关部门，通报地方行政主管单位，并及时启动应急预案，控制和处理好已发生的事故灾难。</w:t>
                  </w:r>
                </w:p>
                <w:p w14:paraId="13048237">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本项目厂内已建设污水处理站、事故池等应急设施。本项目建成投运后应定期进行风险排查。</w:t>
                  </w:r>
                </w:p>
              </w:tc>
              <w:tc>
                <w:tcPr>
                  <w:tcW w:w="464" w:type="pct"/>
                  <w:tcBorders>
                    <w:tl2br w:val="nil"/>
                    <w:tr2bl w:val="nil"/>
                  </w:tcBorders>
                  <w:tcMar>
                    <w:top w:w="0" w:type="dxa"/>
                    <w:left w:w="0" w:type="dxa"/>
                    <w:bottom w:w="0" w:type="dxa"/>
                    <w:right w:w="0" w:type="dxa"/>
                  </w:tcMar>
                  <w:vAlign w:val="center"/>
                </w:tcPr>
                <w:p w14:paraId="7A3CEACB">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符合</w:t>
                  </w:r>
                </w:p>
              </w:tc>
            </w:tr>
            <w:tr w14:paraId="2D4B8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tcBorders>
                    <w:tl2br w:val="nil"/>
                    <w:tr2bl w:val="nil"/>
                  </w:tcBorders>
                  <w:tcMar>
                    <w:top w:w="0" w:type="dxa"/>
                    <w:left w:w="0" w:type="dxa"/>
                    <w:bottom w:w="0" w:type="dxa"/>
                    <w:right w:w="0" w:type="dxa"/>
                  </w:tcMar>
                  <w:vAlign w:val="center"/>
                </w:tcPr>
                <w:p w14:paraId="1240BFA8">
                  <w:pPr>
                    <w:pStyle w:val="15"/>
                    <w:keepNext w:val="0"/>
                    <w:keepLines/>
                    <w:pageBreakBefore w:val="0"/>
                    <w:widowControl w:val="0"/>
                    <w:kinsoku/>
                    <w:overflowPunct/>
                    <w:autoSpaceDE/>
                    <w:autoSpaceDN/>
                    <w:bidi w:val="0"/>
                    <w:jc w:val="both"/>
                    <w:rPr>
                      <w:rFonts w:hint="default"/>
                      <w:lang w:val="en-US" w:eastAsia="zh-CN"/>
                    </w:rPr>
                  </w:pPr>
                  <w:r>
                    <w:rPr>
                      <w:rFonts w:hint="eastAsia"/>
                      <w:lang w:val="en-US" w:eastAsia="zh-CN"/>
                    </w:rPr>
                    <w:t>资源利用效率</w:t>
                  </w:r>
                </w:p>
              </w:tc>
              <w:tc>
                <w:tcPr>
                  <w:tcW w:w="2763" w:type="pct"/>
                  <w:tcBorders>
                    <w:tl2br w:val="nil"/>
                    <w:tr2bl w:val="nil"/>
                  </w:tcBorders>
                  <w:tcMar>
                    <w:top w:w="0" w:type="dxa"/>
                    <w:left w:w="0" w:type="dxa"/>
                    <w:bottom w:w="0" w:type="dxa"/>
                    <w:right w:w="0" w:type="dxa"/>
                  </w:tcMar>
                  <w:vAlign w:val="center"/>
                </w:tcPr>
                <w:p w14:paraId="75C0595A">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（4）落实《胡杨河经济技术开发区总体规划（2021—2035年）环境影响报告书》相关要求。</w:t>
                  </w:r>
                </w:p>
                <w:p w14:paraId="1ED143DB">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（4.1）到2025年，工业固体废物综合利用率达到70%，工业用水重复利用率达到75%。</w:t>
                  </w:r>
                </w:p>
                <w:p w14:paraId="719C1BF3">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（4.2）合理利用土地，提高土地使用效率。</w:t>
                  </w:r>
                </w:p>
                <w:p w14:paraId="61338936">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（4.3）加大环境保护政策实施力度，到2035年使园区工业用水循环利用率达到80%。</w:t>
                  </w:r>
                </w:p>
                <w:p w14:paraId="1DA9FC1B">
                  <w:pPr>
                    <w:pStyle w:val="15"/>
                    <w:keepNext w:val="0"/>
                    <w:keepLines/>
                    <w:pageBreakBefore w:val="0"/>
                    <w:widowControl w:val="0"/>
                    <w:kinsoku/>
                    <w:overflowPunct/>
                    <w:autoSpaceDE/>
                    <w:autoSpaceDN/>
                    <w:bidi w:val="0"/>
                    <w:jc w:val="both"/>
                    <w:rPr>
                      <w:rFonts w:hint="eastAsia"/>
                      <w:lang w:val="en-US" w:eastAsia="zh-CN"/>
                    </w:rPr>
                  </w:pPr>
                  <w:r>
                    <w:rPr>
                      <w:rFonts w:hint="eastAsia"/>
                      <w:lang w:val="en-US" w:eastAsia="zh-CN"/>
                    </w:rPr>
                    <w:t>（4.4）经济技术开发区内的所有企业必须自行进行污水预处理，之后排入经济技术开发区污水处理厂做进一步处理，出水通过回用水系统用作区内各企业的循环冷却水系统的补充水及绿化和冲洗用水，再生水回用率不低于70%。</w:t>
                  </w:r>
                </w:p>
              </w:tc>
              <w:tc>
                <w:tcPr>
                  <w:tcW w:w="1544" w:type="pct"/>
                  <w:tcBorders>
                    <w:tl2br w:val="nil"/>
                    <w:tr2bl w:val="nil"/>
                  </w:tcBorders>
                  <w:tcMar>
                    <w:top w:w="0" w:type="dxa"/>
                    <w:left w:w="0" w:type="dxa"/>
                    <w:bottom w:w="0" w:type="dxa"/>
                    <w:right w:w="0" w:type="dxa"/>
                  </w:tcMar>
                  <w:vAlign w:val="center"/>
                </w:tcPr>
                <w:p w14:paraId="479458D8">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运营期无生产废水产生。</w:t>
                  </w:r>
                </w:p>
                <w:p w14:paraId="7EE91A7F">
                  <w:pPr>
                    <w:pStyle w:val="15"/>
                    <w:keepNext w:val="0"/>
                    <w:keepLines/>
                    <w:pageBreakBefore w:val="0"/>
                    <w:widowControl w:val="0"/>
                    <w:kinsoku/>
                    <w:overflowPunct/>
                    <w:autoSpaceDE/>
                    <w:autoSpaceDN/>
                    <w:bidi w:val="0"/>
                    <w:rPr>
                      <w:rFonts w:hint="eastAsia"/>
                      <w:lang w:val="en-US" w:eastAsia="zh-CN"/>
                    </w:rPr>
                  </w:pPr>
                  <w:r>
                    <w:rPr>
                      <w:rFonts w:hint="eastAsia"/>
                      <w:lang w:val="en-US" w:eastAsia="zh-CN"/>
                    </w:rPr>
                    <w:t>全厂生产废水依托现有厂区内的污水处理站处理后通过园区污水管网排入胡杨河经济技术开发区一号污水处理厂进一步处理；生活污水依托现有生活污水管网汇集至化粪池，经园区污水管网排入胡杨河经济技术开发区一号污水处理厂进一步处理。</w:t>
                  </w:r>
                </w:p>
              </w:tc>
              <w:tc>
                <w:tcPr>
                  <w:tcW w:w="464" w:type="pct"/>
                  <w:tcBorders>
                    <w:tl2br w:val="nil"/>
                    <w:tr2bl w:val="nil"/>
                  </w:tcBorders>
                  <w:tcMar>
                    <w:top w:w="0" w:type="dxa"/>
                    <w:left w:w="0" w:type="dxa"/>
                    <w:bottom w:w="0" w:type="dxa"/>
                    <w:right w:w="0" w:type="dxa"/>
                  </w:tcMar>
                  <w:vAlign w:val="center"/>
                </w:tcPr>
                <w:p w14:paraId="409D006A">
                  <w:pPr>
                    <w:pStyle w:val="15"/>
                    <w:keepNext w:val="0"/>
                    <w:keepLines/>
                    <w:pageBreakBefore w:val="0"/>
                    <w:widowControl w:val="0"/>
                    <w:kinsoku/>
                    <w:overflowPunct/>
                    <w:autoSpaceDE/>
                    <w:autoSpaceDN/>
                    <w:bidi w:val="0"/>
                    <w:rPr>
                      <w:rFonts w:hint="default"/>
                      <w:lang w:val="en-US" w:eastAsia="zh-CN"/>
                    </w:rPr>
                  </w:pPr>
                  <w:r>
                    <w:rPr>
                      <w:rFonts w:hint="eastAsia"/>
                      <w:lang w:val="en-US" w:eastAsia="zh-CN"/>
                    </w:rPr>
                    <w:t>符合</w:t>
                  </w:r>
                </w:p>
              </w:tc>
            </w:tr>
          </w:tbl>
          <w:p w14:paraId="04460BBF">
            <w:pPr>
              <w:keepNext w:val="0"/>
              <w:keepLines/>
              <w:pageBreakBefore w:val="0"/>
              <w:kinsoku/>
              <w:overflowPunct/>
              <w:autoSpaceDE/>
              <w:autoSpaceDN/>
              <w:bidi w:val="0"/>
              <w:rPr>
                <w:rFonts w:hint="eastAsia"/>
                <w:lang w:val="en-US" w:eastAsia="zh-CN"/>
              </w:rPr>
            </w:pPr>
            <w:r>
              <w:rPr>
                <w:rFonts w:hint="eastAsia"/>
                <w:lang w:val="en-US" w:eastAsia="zh-CN"/>
              </w:rPr>
              <w:t>综上所述，本项目符合《新疆生产建设兵团第七师胡杨河市生态环境分区管控更新成果（2023版）》的相关要求。</w:t>
            </w:r>
          </w:p>
          <w:p w14:paraId="032D7105">
            <w:pPr>
              <w:pStyle w:val="3"/>
              <w:keepNext w:val="0"/>
              <w:keepLines/>
              <w:pageBreakBefore w:val="0"/>
              <w:kinsoku/>
              <w:overflowPunct/>
              <w:autoSpaceDE/>
              <w:autoSpaceDN/>
              <w:bidi w:val="0"/>
              <w:rPr>
                <w:rFonts w:hint="eastAsia"/>
                <w:lang w:val="en-US" w:eastAsia="zh-CN"/>
              </w:rPr>
            </w:pPr>
            <w:r>
              <w:rPr>
                <w:rFonts w:hint="eastAsia"/>
                <w:lang w:val="en-US" w:eastAsia="zh-CN"/>
              </w:rPr>
              <w:t>4.与《新疆生产建设兵团“十四五”生态环境保护规划》的符合性分析</w:t>
            </w:r>
          </w:p>
          <w:p w14:paraId="7F132097">
            <w:pPr>
              <w:keepNext w:val="0"/>
              <w:keepLines/>
              <w:pageBreakBefore w:val="0"/>
              <w:kinsoku/>
              <w:overflowPunct/>
              <w:autoSpaceDE/>
              <w:autoSpaceDN/>
              <w:bidi w:val="0"/>
              <w:rPr>
                <w:rFonts w:hint="eastAsia"/>
                <w:lang w:val="en-US" w:eastAsia="zh-CN"/>
              </w:rPr>
            </w:pPr>
            <w:r>
              <w:rPr>
                <w:rFonts w:hint="eastAsia"/>
                <w:lang w:val="en-US" w:eastAsia="zh-CN"/>
              </w:rPr>
              <w:t>严格环境准入，推动工业绿色转型。建立以“三线一单”为核心全覆盖的生态环境分区管控体系，完善管控单元环境准入清单，深化高耗能、高排放项目环境准入及管控要求，建立动态更新和调整机制。加强“三线一单”在政策制定、环境准入、园区管理、执法监管等方面的应用。持续推进区域和行业规划环境影响评价，严禁“三高”项目进兵团，严格落实钢铁、有色、煤炭、电力、石油化工、建材、印染等行业新、改、扩建项目的环境准入。有序承接精细化工产业转移，推进化工产业高质量发展；环境已超载或易引发次生环境风险的地区，限制承接化工产业。</w:t>
            </w:r>
          </w:p>
          <w:p w14:paraId="4812DD81">
            <w:pPr>
              <w:keepNext w:val="0"/>
              <w:keepLines/>
              <w:pageBreakBefore w:val="0"/>
              <w:kinsoku/>
              <w:overflowPunct/>
              <w:autoSpaceDE/>
              <w:autoSpaceDN/>
              <w:bidi w:val="0"/>
              <w:rPr>
                <w:rFonts w:hint="eastAsia"/>
                <w:lang w:val="en-US" w:eastAsia="zh-CN"/>
              </w:rPr>
            </w:pPr>
            <w:r>
              <w:rPr>
                <w:rFonts w:hint="eastAsia"/>
                <w:lang w:val="en-US" w:eastAsia="zh-CN"/>
              </w:rPr>
              <w:t>深化工业污染源头治理。以“乌—昌—石”和“奎—独—乌”区域内师市为重点，开展工业污染深度治理，全面执行大气污染物特别排放限值要求，实现工业行业污染物排放总量进一步下降。</w:t>
            </w:r>
          </w:p>
          <w:p w14:paraId="529ED01F">
            <w:pPr>
              <w:keepNext w:val="0"/>
              <w:keepLines/>
              <w:pageBreakBefore w:val="0"/>
              <w:kinsoku/>
              <w:overflowPunct/>
              <w:autoSpaceDE/>
              <w:autoSpaceDN/>
              <w:bidi w:val="0"/>
              <w:rPr>
                <w:rFonts w:hint="eastAsia"/>
                <w:lang w:val="en-US" w:eastAsia="zh-CN"/>
              </w:rPr>
            </w:pPr>
            <w:r>
              <w:rPr>
                <w:rFonts w:hint="eastAsia"/>
                <w:lang w:val="en-US" w:eastAsia="zh-CN"/>
              </w:rPr>
              <w:t>加强重点行业VOCs污染治理。重点推进石化、化工、包装印刷、工业涂装等重点行业以及机动车、油品储运销等交通源VOCs污染防治，加强VOCs排放总量控制。全面推进VOCs清洁排放改造，使用水性、紫外光固等低VOCs含量涂料替代溶剂型涂料，推广处理效率高、可重复利用活性炭的VOCs治理技术。</w:t>
            </w:r>
          </w:p>
          <w:p w14:paraId="5393D918">
            <w:pPr>
              <w:keepNext w:val="0"/>
              <w:keepLines/>
              <w:pageBreakBefore w:val="0"/>
              <w:kinsoku/>
              <w:overflowPunct/>
              <w:autoSpaceDE/>
              <w:autoSpaceDN/>
              <w:bidi w:val="0"/>
              <w:rPr>
                <w:rFonts w:hint="eastAsia"/>
                <w:lang w:val="en-US" w:eastAsia="zh-CN"/>
              </w:rPr>
            </w:pPr>
            <w:r>
              <w:rPr>
                <w:rFonts w:hint="eastAsia"/>
                <w:lang w:val="en-US" w:eastAsia="zh-CN"/>
              </w:rPr>
              <w:t>新疆久塔锦晨生物科技股份有限公司符合生态保护红线、环境质量底线、资源利用上线及《新疆生产建设兵团第七师胡杨河市生态环境分区管控更新成果（2023版）》的相关要求；新疆久塔锦晨生物科技股份有限公司现有工程为化学农药制造，属于精细化工产业，不属于“三高”项目；本项目位于“奎—独—乌”区域，大气污染物执行特别排放限值要求。</w:t>
            </w:r>
          </w:p>
          <w:p w14:paraId="5B084B73">
            <w:pPr>
              <w:keepNext w:val="0"/>
              <w:keepLines/>
              <w:pageBreakBefore w:val="0"/>
              <w:kinsoku/>
              <w:overflowPunct/>
              <w:autoSpaceDE/>
              <w:autoSpaceDN/>
              <w:bidi w:val="0"/>
              <w:rPr>
                <w:rFonts w:hint="default" w:ascii="Times New Roman" w:hAnsi="Times New Roman" w:eastAsia="华文中宋" w:cs="Times New Roman"/>
                <w:color w:val="auto"/>
                <w:highlight w:val="none"/>
              </w:rPr>
            </w:pPr>
            <w:r>
              <w:rPr>
                <w:rFonts w:hint="eastAsia"/>
                <w:lang w:val="en-US" w:eastAsia="zh-CN"/>
              </w:rPr>
              <w:t>综上所述，本项目符合《新疆生产建设兵团“十四五”生态环境保护规划》的相关要求。</w:t>
            </w:r>
          </w:p>
        </w:tc>
      </w:tr>
    </w:tbl>
    <w:p w14:paraId="1B5D0941">
      <w:pPr>
        <w:pStyle w:val="2"/>
        <w:numPr>
          <w:ilvl w:val="0"/>
          <w:numId w:val="2"/>
        </w:numPr>
        <w:bidi w:val="0"/>
        <w:rPr>
          <w:rFonts w:hint="eastAsia"/>
        </w:rPr>
      </w:pPr>
      <w:r>
        <w:rPr>
          <w:rFonts w:hint="eastAsia"/>
        </w:rPr>
        <w:t>建设项目工程分析</w:t>
      </w:r>
    </w:p>
    <w:tbl>
      <w:tblPr>
        <w:tblStyle w:val="17"/>
        <w:tblW w:w="867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5"/>
        <w:gridCol w:w="7932"/>
      </w:tblGrid>
      <w:tr w14:paraId="4EBE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45" w:type="dxa"/>
            <w:vAlign w:val="center"/>
          </w:tcPr>
          <w:p w14:paraId="540460CC">
            <w:pPr>
              <w:pStyle w:val="3"/>
              <w:keepNext w:val="0"/>
              <w:keepLines/>
              <w:pageBreakBefore w:val="0"/>
              <w:widowControl/>
              <w:kinsoku/>
              <w:wordWrap/>
              <w:overflowPunct/>
              <w:topLinePunct w:val="0"/>
              <w:autoSpaceDE w:val="0"/>
              <w:autoSpaceDN w:val="0"/>
              <w:bidi w:val="0"/>
              <w:adjustRightInd w:val="0"/>
              <w:snapToGrid w:val="0"/>
              <w:spacing w:line="240" w:lineRule="auto"/>
              <w:jc w:val="center"/>
              <w:textAlignment w:val="baseline"/>
            </w:pPr>
            <w:r>
              <w:t>建</w:t>
            </w:r>
          </w:p>
          <w:p w14:paraId="2C1CC3A8">
            <w:pPr>
              <w:pStyle w:val="3"/>
              <w:keepNext w:val="0"/>
              <w:keepLines/>
              <w:pageBreakBefore w:val="0"/>
              <w:widowControl/>
              <w:kinsoku/>
              <w:wordWrap/>
              <w:overflowPunct/>
              <w:topLinePunct w:val="0"/>
              <w:autoSpaceDE w:val="0"/>
              <w:autoSpaceDN w:val="0"/>
              <w:bidi w:val="0"/>
              <w:adjustRightInd w:val="0"/>
              <w:snapToGrid w:val="0"/>
              <w:spacing w:line="240" w:lineRule="auto"/>
              <w:jc w:val="center"/>
              <w:textAlignment w:val="baseline"/>
            </w:pPr>
            <w:r>
              <w:t>设</w:t>
            </w:r>
          </w:p>
          <w:p w14:paraId="50487291">
            <w:pPr>
              <w:pStyle w:val="3"/>
              <w:keepNext w:val="0"/>
              <w:keepLines/>
              <w:pageBreakBefore w:val="0"/>
              <w:widowControl/>
              <w:kinsoku/>
              <w:wordWrap/>
              <w:overflowPunct/>
              <w:topLinePunct w:val="0"/>
              <w:autoSpaceDE w:val="0"/>
              <w:autoSpaceDN w:val="0"/>
              <w:bidi w:val="0"/>
              <w:adjustRightInd w:val="0"/>
              <w:snapToGrid w:val="0"/>
              <w:spacing w:line="240" w:lineRule="auto"/>
              <w:jc w:val="center"/>
              <w:textAlignment w:val="baseline"/>
            </w:pPr>
            <w:r>
              <w:t>内</w:t>
            </w:r>
          </w:p>
          <w:p w14:paraId="3398260B">
            <w:pPr>
              <w:pStyle w:val="3"/>
              <w:keepNext w:val="0"/>
              <w:keepLines/>
              <w:pageBreakBefore w:val="0"/>
              <w:widowControl/>
              <w:kinsoku/>
              <w:wordWrap/>
              <w:overflowPunct/>
              <w:topLinePunct w:val="0"/>
              <w:autoSpaceDE w:val="0"/>
              <w:autoSpaceDN w:val="0"/>
              <w:bidi w:val="0"/>
              <w:adjustRightInd w:val="0"/>
              <w:snapToGrid w:val="0"/>
              <w:spacing w:line="240" w:lineRule="auto"/>
              <w:jc w:val="center"/>
              <w:textAlignment w:val="baseline"/>
            </w:pPr>
            <w:r>
              <w:t>容</w:t>
            </w:r>
          </w:p>
        </w:tc>
        <w:tc>
          <w:tcPr>
            <w:tcW w:w="7932" w:type="dxa"/>
            <w:vAlign w:val="top"/>
          </w:tcPr>
          <w:p w14:paraId="5E737E09">
            <w:pPr>
              <w:pStyle w:val="3"/>
              <w:keepNext w:val="0"/>
              <w:keepLines/>
              <w:pageBreakBefore w:val="0"/>
              <w:widowControl/>
              <w:numPr>
                <w:ilvl w:val="0"/>
                <w:numId w:val="3"/>
              </w:numPr>
              <w:kinsoku/>
              <w:wordWrap/>
              <w:overflowPunct/>
              <w:topLinePunct/>
              <w:autoSpaceDE w:val="0"/>
              <w:autoSpaceDN w:val="0"/>
              <w:bidi w:val="0"/>
              <w:adjustRightInd w:val="0"/>
              <w:snapToGrid w:val="0"/>
              <w:textAlignment w:val="baseline"/>
            </w:pPr>
            <w:r>
              <w:t>项目由来</w:t>
            </w:r>
          </w:p>
          <w:p w14:paraId="5C261A61">
            <w:pPr>
              <w:keepNext w:val="0"/>
              <w:keepLines/>
              <w:pageBreakBefore w:val="0"/>
              <w:widowControl/>
              <w:kinsoku/>
              <w:wordWrap/>
              <w:overflowPunct/>
              <w:topLinePunct/>
              <w:autoSpaceDE w:val="0"/>
              <w:autoSpaceDN w:val="0"/>
              <w:bidi w:val="0"/>
              <w:adjustRightInd w:val="0"/>
              <w:snapToGrid w:val="0"/>
              <w:textAlignment w:val="baseline"/>
              <w:rPr>
                <w:rFonts w:hint="eastAsia"/>
              </w:rPr>
            </w:pPr>
            <w:r>
              <w:rPr>
                <w:rFonts w:hint="eastAsia"/>
              </w:rPr>
              <w:t>新疆久塔锦晨生物科技股份有限公司为上海久塔化工集团（以下简称久塔集团）全资子公司</w:t>
            </w:r>
            <w:r>
              <w:rPr>
                <w:rFonts w:hint="eastAsia"/>
                <w:lang w:eastAsia="zh-CN"/>
              </w:rPr>
              <w:t>，</w:t>
            </w:r>
            <w:r>
              <w:rPr>
                <w:rFonts w:hint="eastAsia"/>
              </w:rPr>
              <w:t>位于新疆胡杨河市胡杨河经济技术开发区车排子东路002号。经营范围主要是化工产品生产及销售。</w:t>
            </w:r>
          </w:p>
          <w:p w14:paraId="7870FD94">
            <w:pPr>
              <w:keepNext w:val="0"/>
              <w:keepLines/>
              <w:pageBreakBefore w:val="0"/>
              <w:widowControl/>
              <w:kinsoku/>
              <w:wordWrap/>
              <w:overflowPunct/>
              <w:topLinePunct/>
              <w:autoSpaceDE w:val="0"/>
              <w:autoSpaceDN w:val="0"/>
              <w:bidi w:val="0"/>
              <w:adjustRightInd w:val="0"/>
              <w:snapToGrid w:val="0"/>
              <w:textAlignment w:val="baseline"/>
              <w:rPr>
                <w:rFonts w:hint="eastAsia"/>
              </w:rPr>
            </w:pPr>
            <w:r>
              <w:rPr>
                <w:rFonts w:hint="eastAsia"/>
              </w:rPr>
              <w:t>2018年5月，新疆久塔锦晨生物科技股份有限公司委托新疆化工设计研究院有限责任公司编制《新疆久塔锦晨生物科技股份有限公司精细化工项目（一期）环境影响报告书》，2019年3月，新疆生产建设兵团生态环境局（原新疆生产建设兵团环境保护局）以《关于新疆久塔锦晨生物科技股份有限公司精细化工项目（一期）环境影响报告书的批复》（兵环审〔2019〕2号）予以批复。</w:t>
            </w:r>
          </w:p>
          <w:p w14:paraId="1C3A874A">
            <w:pPr>
              <w:keepNext w:val="0"/>
              <w:keepLines/>
              <w:pageBreakBefore w:val="0"/>
              <w:widowControl/>
              <w:kinsoku/>
              <w:overflowPunct/>
              <w:bidi w:val="0"/>
              <w:adjustRightInd w:val="0"/>
              <w:snapToGrid w:val="0"/>
              <w:textAlignment w:val="baseline"/>
              <w:rPr>
                <w:rFonts w:hint="eastAsia"/>
              </w:rPr>
            </w:pPr>
            <w:r>
              <w:rPr>
                <w:rFonts w:hint="eastAsia"/>
              </w:rPr>
              <w:t>2019年3月获得批复后，新疆久塔锦晨生物科技股份有限公司受疫情影响，未能启动建设工作。同时，该公司对建设内容进行了调整，一期工程规划建设6500吨/年S-2氯丙酸甲酯、8000吨/年2-（4-羟基苯氧基）D（+）丙酸及配套工程；5000吨/年2-（4-羟基苯氧基）3-D（+）丙酸甲酯在后期调整后未实施建设。</w:t>
            </w:r>
          </w:p>
          <w:p w14:paraId="7EFA8686">
            <w:pPr>
              <w:keepNext w:val="0"/>
              <w:keepLines/>
              <w:pageBreakBefore w:val="0"/>
              <w:widowControl/>
              <w:kinsoku/>
              <w:wordWrap/>
              <w:overflowPunct/>
              <w:topLinePunct/>
              <w:autoSpaceDE w:val="0"/>
              <w:autoSpaceDN w:val="0"/>
              <w:bidi w:val="0"/>
              <w:adjustRightInd w:val="0"/>
              <w:snapToGrid w:val="0"/>
              <w:textAlignment w:val="baseline"/>
            </w:pPr>
            <w:r>
              <w:rPr>
                <w:rFonts w:hint="eastAsia"/>
              </w:rPr>
              <w:t>2023年9月，新疆久塔锦晨生物科技股份有限公司开始筹建。2024年3月，完成主体工程及配套设施的建设。2024年3月30日，取得第七师胡杨河市生态环境局核发的排污许可证（证书编号为91610000684765337U001P）后，开展设备调试工作。2026年</w:t>
            </w:r>
            <w:r>
              <w:rPr>
                <w:rFonts w:hint="eastAsia"/>
                <w:lang w:val="en-US" w:eastAsia="zh-CN"/>
              </w:rPr>
              <w:t>4</w:t>
            </w:r>
            <w:r>
              <w:rPr>
                <w:rFonts w:hint="eastAsia"/>
              </w:rPr>
              <w:t>月，开展</w:t>
            </w:r>
            <w:r>
              <w:rPr>
                <w:rFonts w:hint="eastAsia"/>
                <w:lang w:val="en-US" w:eastAsia="zh-CN"/>
              </w:rPr>
              <w:t>并通过</w:t>
            </w:r>
            <w:r>
              <w:rPr>
                <w:rFonts w:hint="eastAsia"/>
              </w:rPr>
              <w:t>竣工环境保护验收。</w:t>
            </w:r>
          </w:p>
          <w:p w14:paraId="35A6E47F">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rPr>
              <w:t>新疆久塔锦晨生物科技股份有限公司</w:t>
            </w:r>
            <w:r>
              <w:rPr>
                <w:rFonts w:hint="eastAsia"/>
                <w:lang w:val="en-US" w:eastAsia="zh-CN"/>
              </w:rPr>
              <w:t>根据实际运行情况，</w:t>
            </w:r>
            <w:r>
              <w:rPr>
                <w:rFonts w:hint="eastAsia"/>
              </w:rPr>
              <w:t>《新疆久塔锦晨生物科技股份有限公司精细化工项目（一期）环境影响报告书》</w:t>
            </w:r>
            <w:r>
              <w:rPr>
                <w:rFonts w:hint="eastAsia"/>
                <w:lang w:val="en-US" w:eastAsia="zh-CN"/>
              </w:rPr>
              <w:t>及批复中规划酸碱罐区内建设2座200m</w:t>
            </w:r>
            <w:r>
              <w:rPr>
                <w:rFonts w:hint="eastAsia"/>
                <w:vertAlign w:val="superscript"/>
                <w:lang w:val="en-US" w:eastAsia="zh-CN"/>
              </w:rPr>
              <w:t>3</w:t>
            </w:r>
            <w:r>
              <w:rPr>
                <w:rFonts w:hint="eastAsia"/>
                <w:vertAlign w:val="baseline"/>
                <w:lang w:val="en-US" w:eastAsia="zh-CN"/>
              </w:rPr>
              <w:t>31%</w:t>
            </w:r>
            <w:r>
              <w:rPr>
                <w:rFonts w:hint="eastAsia"/>
                <w:lang w:val="en-US" w:eastAsia="zh-CN"/>
              </w:rPr>
              <w:t>盐酸储罐无法满足实际运行中盐酸的储存需求，拟在酸碱罐区内预留空地扩建4座200m³立式固定顶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p>
          <w:p w14:paraId="4B14A0C7">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本次扩建已取得胡杨河经济技术开发区经济发展局备案（项目代码：2604-660791-04-01-420053）</w:t>
            </w:r>
          </w:p>
          <w:p w14:paraId="1347A30D">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default"/>
                <w:color w:val="auto"/>
                <w:lang w:val="en-US" w:eastAsia="zh-CN"/>
              </w:rPr>
              <w:t>对照《建设项目环境影响评价分类管理名录（2021版）》，</w:t>
            </w:r>
            <w:r>
              <w:rPr>
                <w:rFonts w:hint="eastAsia"/>
                <w:color w:val="auto"/>
                <w:lang w:val="en-US" w:eastAsia="zh-CN"/>
              </w:rPr>
              <w:t>本项目属于五十三、装卸搬运和仓储业59 危险品仓储 594（不含加油站的油库；不含加气站的气库）中其他（含有毒、有害、危险品的仓储；含液化天然气库），应编制环境影响报告表。</w:t>
            </w:r>
          </w:p>
          <w:p w14:paraId="7CC998A3">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color w:val="auto"/>
                <w:lang w:val="en-US" w:eastAsia="zh-CN"/>
              </w:rPr>
              <w:t>据此，</w:t>
            </w:r>
            <w:r>
              <w:rPr>
                <w:rFonts w:hint="eastAsia"/>
              </w:rPr>
              <w:t>新疆久塔锦晨生物科技股份有限公司</w:t>
            </w:r>
            <w:r>
              <w:rPr>
                <w:rFonts w:hint="eastAsia"/>
                <w:lang w:val="en-US" w:eastAsia="zh-CN"/>
              </w:rPr>
              <w:t>委托乌鲁木齐恒达蓝天环保科技有限公司承担《新疆久塔锦晨生物科技股份有限公司盐酸储罐扩容项目环境影响报告表》的编制工作。</w:t>
            </w:r>
          </w:p>
          <w:p w14:paraId="7ABB5BF1">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接受委托后，根据新疆久塔锦晨生物科技股份有限公司提供的相关文件和技术资料，评价单位组织有关环评人员赴现场进行实地踏勘，对评价区范围的自然环境情况进行了调查，收集了当地水文、地质、气象以及环境现状等资料，提出了相关的污染治理措施，对建设项目进行了认真细致的工程分析，在此基础上编制完成了</w:t>
            </w:r>
            <w:r>
              <w:rPr>
                <w:rFonts w:hint="eastAsia"/>
                <w:lang w:val="en-US" w:eastAsia="zh-CN"/>
              </w:rPr>
              <w:t>《新疆久塔锦晨生物科技股份有限公司盐酸储罐扩容项目环境影响报告表》。</w:t>
            </w:r>
          </w:p>
          <w:p w14:paraId="4DE195A7">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2.建设项目基本情况</w:t>
            </w:r>
          </w:p>
          <w:p w14:paraId="57649897">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项目名称：新疆久塔锦晨生物科技股份有限公司盐酸储罐扩容项目</w:t>
            </w:r>
            <w:r>
              <w:rPr>
                <w:rFonts w:hint="eastAsia"/>
                <w:lang w:val="en-US" w:eastAsia="zh-CN"/>
              </w:rPr>
              <w:t>；</w:t>
            </w:r>
          </w:p>
          <w:p w14:paraId="3401772E">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建设单位：新疆久塔锦晨生物科技股份有限公司</w:t>
            </w:r>
            <w:r>
              <w:rPr>
                <w:rFonts w:hint="eastAsia"/>
                <w:lang w:val="en-US" w:eastAsia="zh-CN"/>
              </w:rPr>
              <w:t>；</w:t>
            </w:r>
          </w:p>
          <w:p w14:paraId="58D93EE6">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建设地点：新疆生产建设兵团第七师胡杨河市胡杨河经济技术开发区车排子路002号</w:t>
            </w:r>
            <w:r>
              <w:rPr>
                <w:rFonts w:hint="eastAsia"/>
                <w:lang w:val="en-US" w:eastAsia="zh-CN"/>
              </w:rPr>
              <w:t>现有厂区酸碱罐区内预留空地。</w:t>
            </w:r>
          </w:p>
          <w:p w14:paraId="3DE23E75">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项目性质：</w:t>
            </w:r>
            <w:r>
              <w:rPr>
                <w:rFonts w:hint="eastAsia"/>
                <w:lang w:val="en-US" w:eastAsia="zh-CN"/>
              </w:rPr>
              <w:t>扩建；</w:t>
            </w:r>
          </w:p>
          <w:p w14:paraId="349FA93C">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项目投资：总投资</w:t>
            </w:r>
            <w:r>
              <w:rPr>
                <w:rFonts w:hint="eastAsia"/>
                <w:lang w:val="en-US" w:eastAsia="zh-CN"/>
              </w:rPr>
              <w:t>540</w:t>
            </w:r>
            <w:r>
              <w:rPr>
                <w:rFonts w:hint="default"/>
                <w:lang w:val="en-US" w:eastAsia="zh-CN"/>
              </w:rPr>
              <w:t>万元，其中环保投资</w:t>
            </w:r>
            <w:r>
              <w:rPr>
                <w:rFonts w:hint="eastAsia"/>
                <w:lang w:val="en-US" w:eastAsia="zh-CN"/>
              </w:rPr>
              <w:t>0</w:t>
            </w:r>
            <w:r>
              <w:rPr>
                <w:rFonts w:hint="default"/>
                <w:lang w:val="en-US" w:eastAsia="zh-CN"/>
              </w:rPr>
              <w:t>万元</w:t>
            </w:r>
            <w:r>
              <w:rPr>
                <w:rFonts w:hint="eastAsia"/>
                <w:lang w:val="en-US" w:eastAsia="zh-CN"/>
              </w:rPr>
              <w:t>；</w:t>
            </w:r>
          </w:p>
          <w:p w14:paraId="1FDC6A19">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default"/>
                <w:lang w:val="en-US" w:eastAsia="zh-CN"/>
              </w:rPr>
              <w:t>项目占地：</w:t>
            </w:r>
            <w:r>
              <w:rPr>
                <w:rFonts w:hint="eastAsia"/>
                <w:lang w:val="en-US" w:eastAsia="zh-CN"/>
              </w:rPr>
              <w:t>预留空地长50m，宽14.9m，占地面积约745m</w:t>
            </w:r>
            <w:r>
              <w:rPr>
                <w:rFonts w:hint="eastAsia"/>
                <w:vertAlign w:val="superscript"/>
                <w:lang w:val="en-US" w:eastAsia="zh-CN"/>
              </w:rPr>
              <w:t>2</w:t>
            </w:r>
            <w:r>
              <w:rPr>
                <w:rFonts w:hint="eastAsia"/>
                <w:lang w:val="en-US" w:eastAsia="zh-CN"/>
              </w:rPr>
              <w:t>；</w:t>
            </w:r>
          </w:p>
          <w:p w14:paraId="239D70F8">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default"/>
                <w:lang w:val="en-US" w:eastAsia="zh-CN"/>
              </w:rPr>
              <w:t>项目建设期：</w:t>
            </w:r>
            <w:r>
              <w:rPr>
                <w:rFonts w:hint="eastAsia"/>
                <w:lang w:val="en-US" w:eastAsia="zh-CN"/>
              </w:rPr>
              <w:t>7</w:t>
            </w:r>
            <w:r>
              <w:rPr>
                <w:rFonts w:hint="default"/>
                <w:lang w:val="en-US" w:eastAsia="zh-CN"/>
              </w:rPr>
              <w:t>个月</w:t>
            </w:r>
            <w:r>
              <w:rPr>
                <w:rFonts w:hint="eastAsia"/>
                <w:lang w:val="en-US" w:eastAsia="zh-CN"/>
              </w:rPr>
              <w:t>；</w:t>
            </w:r>
          </w:p>
          <w:p w14:paraId="6F6BB867">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劳动定员：不新增劳动定员。</w:t>
            </w:r>
          </w:p>
          <w:p w14:paraId="4F7C25CB">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3.建设内容</w:t>
            </w:r>
          </w:p>
          <w:p w14:paraId="474FA4F7">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p>
          <w:p w14:paraId="246C69EF">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扩建内容仅涉及4座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盐酸储罐，配套工程依托厂区现有工程，具体内容见下表5。</w:t>
            </w:r>
          </w:p>
          <w:p w14:paraId="5E7FA5D8">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p>
          <w:p w14:paraId="3A4FFAAD">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p>
          <w:p w14:paraId="259659B3">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p>
          <w:p w14:paraId="1F92494F">
            <w:pPr>
              <w:pStyle w:val="16"/>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t xml:space="preserve">表 </w:t>
            </w:r>
            <w:r>
              <w:fldChar w:fldCharType="begin"/>
            </w:r>
            <w:r>
              <w:instrText xml:space="preserve"> SEQ 表 \* ARABIC </w:instrText>
            </w:r>
            <w:r>
              <w:fldChar w:fldCharType="separate"/>
            </w:r>
            <w:r>
              <w:t>5</w:t>
            </w:r>
            <w:r>
              <w:fldChar w:fldCharType="end"/>
            </w:r>
            <w:r>
              <w:rPr>
                <w:rFonts w:hint="eastAsia"/>
                <w:lang w:val="en-US" w:eastAsia="zh-CN"/>
              </w:rPr>
              <w:t xml:space="preserve">  </w:t>
            </w:r>
            <w:r>
              <w:rPr>
                <w:rFonts w:hint="default"/>
                <w:lang w:val="en-US" w:eastAsia="zh-CN"/>
              </w:rPr>
              <w:t>扩建工程建设内容组成情况一览表</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082"/>
              <w:gridCol w:w="3239"/>
              <w:gridCol w:w="1387"/>
              <w:gridCol w:w="1387"/>
              <w:gridCol w:w="281"/>
            </w:tblGrid>
            <w:tr w14:paraId="09BCF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09" w:type="pct"/>
                  <w:gridSpan w:val="2"/>
                  <w:tcBorders>
                    <w:tl2br w:val="nil"/>
                    <w:tr2bl w:val="nil"/>
                  </w:tcBorders>
                  <w:tcMar>
                    <w:top w:w="0" w:type="dxa"/>
                    <w:left w:w="0" w:type="dxa"/>
                    <w:bottom w:w="0" w:type="dxa"/>
                    <w:right w:w="0" w:type="dxa"/>
                  </w:tcMar>
                  <w:vAlign w:val="center"/>
                </w:tcPr>
                <w:p w14:paraId="2DB3EA6B">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工程类别</w:t>
                  </w:r>
                </w:p>
              </w:tc>
              <w:tc>
                <w:tcPr>
                  <w:tcW w:w="2053" w:type="pct"/>
                  <w:tcBorders>
                    <w:tl2br w:val="nil"/>
                    <w:tr2bl w:val="nil"/>
                  </w:tcBorders>
                  <w:tcMar>
                    <w:top w:w="0" w:type="dxa"/>
                    <w:left w:w="0" w:type="dxa"/>
                    <w:bottom w:w="0" w:type="dxa"/>
                    <w:right w:w="0" w:type="dxa"/>
                  </w:tcMar>
                  <w:vAlign w:val="center"/>
                </w:tcPr>
                <w:p w14:paraId="772018C2">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现有建设内容</w:t>
                  </w:r>
                </w:p>
              </w:tc>
              <w:tc>
                <w:tcPr>
                  <w:tcW w:w="879" w:type="pct"/>
                  <w:tcBorders>
                    <w:tl2br w:val="nil"/>
                    <w:tr2bl w:val="nil"/>
                  </w:tcBorders>
                  <w:tcMar>
                    <w:top w:w="0" w:type="dxa"/>
                    <w:left w:w="0" w:type="dxa"/>
                    <w:bottom w:w="0" w:type="dxa"/>
                    <w:right w:w="0" w:type="dxa"/>
                  </w:tcMar>
                  <w:vAlign w:val="center"/>
                </w:tcPr>
                <w:p w14:paraId="5085EB43">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本次扩建内容</w:t>
                  </w:r>
                </w:p>
              </w:tc>
              <w:tc>
                <w:tcPr>
                  <w:tcW w:w="879" w:type="pct"/>
                  <w:tcBorders>
                    <w:tl2br w:val="nil"/>
                    <w:tr2bl w:val="nil"/>
                  </w:tcBorders>
                  <w:tcMar>
                    <w:top w:w="0" w:type="dxa"/>
                    <w:left w:w="0" w:type="dxa"/>
                    <w:bottom w:w="0" w:type="dxa"/>
                    <w:right w:w="0" w:type="dxa"/>
                  </w:tcMar>
                  <w:vAlign w:val="center"/>
                </w:tcPr>
                <w:p w14:paraId="6800FE69">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扩建后全厂建设内容</w:t>
                  </w:r>
                </w:p>
              </w:tc>
              <w:tc>
                <w:tcPr>
                  <w:tcW w:w="178" w:type="pct"/>
                  <w:tcBorders>
                    <w:tl2br w:val="nil"/>
                    <w:tr2bl w:val="nil"/>
                  </w:tcBorders>
                  <w:tcMar>
                    <w:top w:w="0" w:type="dxa"/>
                    <w:left w:w="0" w:type="dxa"/>
                    <w:bottom w:w="0" w:type="dxa"/>
                    <w:right w:w="0" w:type="dxa"/>
                  </w:tcMar>
                  <w:vAlign w:val="center"/>
                </w:tcPr>
                <w:p w14:paraId="6ABCA677">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备注</w:t>
                  </w:r>
                </w:p>
              </w:tc>
            </w:tr>
            <w:tr w14:paraId="1E19F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tcBorders>
                    <w:tl2br w:val="nil"/>
                    <w:tr2bl w:val="nil"/>
                  </w:tcBorders>
                  <w:tcMar>
                    <w:top w:w="0" w:type="dxa"/>
                    <w:left w:w="0" w:type="dxa"/>
                    <w:bottom w:w="0" w:type="dxa"/>
                    <w:right w:w="0" w:type="dxa"/>
                  </w:tcMar>
                  <w:vAlign w:val="center"/>
                </w:tcPr>
                <w:p w14:paraId="35E42982">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储运工程</w:t>
                  </w:r>
                </w:p>
              </w:tc>
              <w:tc>
                <w:tcPr>
                  <w:tcW w:w="686" w:type="pct"/>
                  <w:tcBorders>
                    <w:tl2br w:val="nil"/>
                    <w:tr2bl w:val="nil"/>
                  </w:tcBorders>
                  <w:tcMar>
                    <w:top w:w="0" w:type="dxa"/>
                    <w:left w:w="0" w:type="dxa"/>
                    <w:bottom w:w="0" w:type="dxa"/>
                    <w:right w:w="0" w:type="dxa"/>
                  </w:tcMar>
                  <w:vAlign w:val="center"/>
                </w:tcPr>
                <w:p w14:paraId="4FAC16BE">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酸碱罐区</w:t>
                  </w:r>
                </w:p>
              </w:tc>
              <w:tc>
                <w:tcPr>
                  <w:tcW w:w="2053" w:type="pct"/>
                  <w:tcBorders>
                    <w:tl2br w:val="nil"/>
                    <w:tr2bl w:val="nil"/>
                  </w:tcBorders>
                  <w:tcMar>
                    <w:top w:w="0" w:type="dxa"/>
                    <w:left w:w="0" w:type="dxa"/>
                    <w:bottom w:w="0" w:type="dxa"/>
                    <w:right w:w="0" w:type="dxa"/>
                  </w:tcMar>
                  <w:vAlign w:val="center"/>
                </w:tcPr>
                <w:p w14:paraId="1C933FF7">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lang w:val="en-US" w:eastAsia="zh-CN"/>
                    </w:rPr>
                  </w:pPr>
                  <w:r>
                    <w:rPr>
                      <w:rFonts w:hint="eastAsia"/>
                      <w:lang w:val="en-US" w:eastAsia="zh-CN"/>
                    </w:rPr>
                    <w:t>2座200m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w:t>
                  </w:r>
                </w:p>
                <w:p w14:paraId="29D22089">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color w:val="auto"/>
                      <w:lang w:val="en-US" w:eastAsia="zh-CN"/>
                    </w:rPr>
                    <w:t>1台</w:t>
                  </w:r>
                  <w:r>
                    <w:rPr>
                      <w:rFonts w:hint="eastAsia" w:eastAsia="宋体"/>
                      <w:color w:val="auto"/>
                      <w:lang w:val="en-US" w:eastAsia="zh-CN"/>
                    </w:rPr>
                    <w:t>400</w:t>
                  </w:r>
                  <w:r>
                    <w:rPr>
                      <w:rFonts w:hint="eastAsia"/>
                      <w:color w:val="auto"/>
                      <w:lang w:eastAsia="zh-CN"/>
                    </w:rPr>
                    <w:t>m³</w:t>
                  </w:r>
                  <w:r>
                    <w:rPr>
                      <w:rFonts w:hint="eastAsia" w:eastAsia="宋体"/>
                      <w:color w:val="auto"/>
                      <w:lang w:val="en-US" w:eastAsia="zh-CN"/>
                    </w:rPr>
                    <w:t>固定顶液碱储罐</w:t>
                  </w:r>
                </w:p>
              </w:tc>
              <w:tc>
                <w:tcPr>
                  <w:tcW w:w="879" w:type="pct"/>
                  <w:tcBorders>
                    <w:tl2br w:val="nil"/>
                    <w:tr2bl w:val="nil"/>
                  </w:tcBorders>
                  <w:tcMar>
                    <w:top w:w="0" w:type="dxa"/>
                    <w:left w:w="0" w:type="dxa"/>
                    <w:bottom w:w="0" w:type="dxa"/>
                    <w:right w:w="0" w:type="dxa"/>
                  </w:tcMar>
                  <w:vAlign w:val="center"/>
                </w:tcPr>
                <w:p w14:paraId="019542DE">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p>
              </w:tc>
              <w:tc>
                <w:tcPr>
                  <w:tcW w:w="879" w:type="pct"/>
                  <w:tcBorders>
                    <w:tl2br w:val="nil"/>
                    <w:tr2bl w:val="nil"/>
                  </w:tcBorders>
                  <w:tcMar>
                    <w:top w:w="0" w:type="dxa"/>
                    <w:left w:w="0" w:type="dxa"/>
                    <w:bottom w:w="0" w:type="dxa"/>
                    <w:right w:w="0" w:type="dxa"/>
                  </w:tcMar>
                  <w:vAlign w:val="center"/>
                </w:tcPr>
                <w:p w14:paraId="2EA16D0E">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color w:val="auto"/>
                      <w:lang w:val="en-US" w:eastAsia="zh-CN"/>
                    </w:rPr>
                  </w:pPr>
                  <w:r>
                    <w:rPr>
                      <w:rFonts w:hint="eastAsia"/>
                      <w:color w:val="auto"/>
                      <w:lang w:val="en-US" w:eastAsia="zh-CN"/>
                    </w:rPr>
                    <w:t>6座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p>
                <w:p w14:paraId="604EF007">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color w:val="auto"/>
                      <w:lang w:val="en-US" w:eastAsia="zh-CN"/>
                    </w:rPr>
                  </w:pPr>
                  <w:r>
                    <w:rPr>
                      <w:rFonts w:hint="eastAsia"/>
                      <w:color w:val="auto"/>
                      <w:lang w:val="en-US" w:eastAsia="zh-CN"/>
                    </w:rPr>
                    <w:t>1台</w:t>
                  </w:r>
                  <w:r>
                    <w:rPr>
                      <w:rFonts w:hint="eastAsia" w:eastAsia="宋体"/>
                      <w:color w:val="auto"/>
                      <w:lang w:val="en-US" w:eastAsia="zh-CN"/>
                    </w:rPr>
                    <w:t>400</w:t>
                  </w:r>
                  <w:r>
                    <w:rPr>
                      <w:rFonts w:hint="eastAsia"/>
                      <w:color w:val="auto"/>
                      <w:lang w:eastAsia="zh-CN"/>
                    </w:rPr>
                    <w:t>m³</w:t>
                  </w:r>
                  <w:r>
                    <w:rPr>
                      <w:rFonts w:hint="eastAsia" w:eastAsia="宋体"/>
                      <w:color w:val="auto"/>
                      <w:lang w:val="en-US" w:eastAsia="zh-CN"/>
                    </w:rPr>
                    <w:t>固定顶液碱储罐</w:t>
                  </w:r>
                </w:p>
              </w:tc>
              <w:tc>
                <w:tcPr>
                  <w:tcW w:w="178" w:type="pct"/>
                  <w:tcBorders>
                    <w:tl2br w:val="nil"/>
                    <w:tr2bl w:val="nil"/>
                  </w:tcBorders>
                  <w:tcMar>
                    <w:top w:w="0" w:type="dxa"/>
                    <w:left w:w="0" w:type="dxa"/>
                    <w:bottom w:w="0" w:type="dxa"/>
                    <w:right w:w="0" w:type="dxa"/>
                  </w:tcMar>
                  <w:vAlign w:val="center"/>
                </w:tcPr>
                <w:p w14:paraId="3F7A4529">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扩建</w:t>
                  </w:r>
                </w:p>
              </w:tc>
            </w:tr>
            <w:tr w14:paraId="42109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restart"/>
                  <w:tcBorders>
                    <w:tl2br w:val="nil"/>
                    <w:tr2bl w:val="nil"/>
                  </w:tcBorders>
                  <w:tcMar>
                    <w:top w:w="0" w:type="dxa"/>
                    <w:left w:w="0" w:type="dxa"/>
                    <w:bottom w:w="0" w:type="dxa"/>
                    <w:right w:w="0" w:type="dxa"/>
                  </w:tcMar>
                  <w:vAlign w:val="center"/>
                </w:tcPr>
                <w:p w14:paraId="555FA54D">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公用工程</w:t>
                  </w:r>
                </w:p>
              </w:tc>
              <w:tc>
                <w:tcPr>
                  <w:tcW w:w="686" w:type="pct"/>
                  <w:tcBorders>
                    <w:tl2br w:val="nil"/>
                    <w:tr2bl w:val="nil"/>
                  </w:tcBorders>
                  <w:tcMar>
                    <w:top w:w="0" w:type="dxa"/>
                    <w:left w:w="0" w:type="dxa"/>
                    <w:bottom w:w="0" w:type="dxa"/>
                    <w:right w:w="0" w:type="dxa"/>
                  </w:tcMar>
                  <w:vAlign w:val="center"/>
                </w:tcPr>
                <w:p w14:paraId="78BE8504">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lang w:val="en-US" w:eastAsia="zh-CN"/>
                    </w:rPr>
                  </w:pPr>
                  <w:r>
                    <w:rPr>
                      <w:color w:val="auto"/>
                    </w:rPr>
                    <w:t>供电工程</w:t>
                  </w:r>
                </w:p>
              </w:tc>
              <w:tc>
                <w:tcPr>
                  <w:tcW w:w="2053" w:type="pct"/>
                  <w:tcBorders>
                    <w:tl2br w:val="nil"/>
                    <w:tr2bl w:val="nil"/>
                  </w:tcBorders>
                  <w:tcMar>
                    <w:top w:w="0" w:type="dxa"/>
                    <w:left w:w="0" w:type="dxa"/>
                    <w:bottom w:w="0" w:type="dxa"/>
                    <w:right w:w="0" w:type="dxa"/>
                  </w:tcMar>
                  <w:vAlign w:val="center"/>
                </w:tcPr>
                <w:p w14:paraId="7333BBCA">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color w:val="auto"/>
                      <w:lang w:val="en-US" w:eastAsia="zh-CN"/>
                    </w:rPr>
                  </w:pPr>
                  <w:r>
                    <w:rPr>
                      <w:rFonts w:ascii="Times New Roman" w:hAnsi="Times New Roman"/>
                      <w:color w:val="auto"/>
                      <w:kern w:val="0"/>
                      <w:sz w:val="21"/>
                      <w:szCs w:val="21"/>
                    </w:rPr>
                    <w:t>供电由园区现有五五中心站提供一条35kV架空专线至本项目总变配电室，为一二期共用，另由五五北站提供1条10kV电源线，接入变配电室，满足双电源供电。</w:t>
                  </w:r>
                </w:p>
              </w:tc>
              <w:tc>
                <w:tcPr>
                  <w:tcW w:w="879" w:type="pct"/>
                  <w:tcBorders>
                    <w:tl2br w:val="nil"/>
                    <w:tr2bl w:val="nil"/>
                  </w:tcBorders>
                  <w:tcMar>
                    <w:top w:w="0" w:type="dxa"/>
                    <w:left w:w="0" w:type="dxa"/>
                    <w:bottom w:w="0" w:type="dxa"/>
                    <w:right w:w="0" w:type="dxa"/>
                  </w:tcMar>
                  <w:vAlign w:val="center"/>
                </w:tcPr>
                <w:p w14:paraId="50FB34D0">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color w:val="auto"/>
                      <w:lang w:val="en-US" w:eastAsia="zh-CN"/>
                    </w:rPr>
                  </w:pPr>
                  <w:r>
                    <w:rPr>
                      <w:rFonts w:hint="eastAsia"/>
                      <w:color w:val="auto"/>
                      <w:lang w:val="en-US" w:eastAsia="zh-CN"/>
                    </w:rPr>
                    <w:t>/</w:t>
                  </w:r>
                </w:p>
              </w:tc>
              <w:tc>
                <w:tcPr>
                  <w:tcW w:w="879" w:type="pct"/>
                  <w:tcBorders>
                    <w:tl2br w:val="nil"/>
                    <w:tr2bl w:val="nil"/>
                  </w:tcBorders>
                  <w:tcMar>
                    <w:top w:w="0" w:type="dxa"/>
                    <w:left w:w="0" w:type="dxa"/>
                    <w:bottom w:w="0" w:type="dxa"/>
                    <w:right w:w="0" w:type="dxa"/>
                  </w:tcMar>
                  <w:vAlign w:val="center"/>
                </w:tcPr>
                <w:p w14:paraId="1478A574">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color w:val="auto"/>
                      <w:lang w:val="en-US" w:eastAsia="zh-CN"/>
                    </w:rPr>
                  </w:pPr>
                  <w:r>
                    <w:rPr>
                      <w:rFonts w:hint="eastAsia"/>
                      <w:color w:val="auto"/>
                      <w:lang w:val="en-US" w:eastAsia="zh-CN"/>
                    </w:rPr>
                    <w:t>不发生变化</w:t>
                  </w:r>
                </w:p>
              </w:tc>
              <w:tc>
                <w:tcPr>
                  <w:tcW w:w="178" w:type="pct"/>
                  <w:tcBorders>
                    <w:tl2br w:val="nil"/>
                    <w:tr2bl w:val="nil"/>
                  </w:tcBorders>
                  <w:tcMar>
                    <w:top w:w="0" w:type="dxa"/>
                    <w:left w:w="0" w:type="dxa"/>
                    <w:bottom w:w="0" w:type="dxa"/>
                    <w:right w:w="0" w:type="dxa"/>
                  </w:tcMar>
                  <w:vAlign w:val="center"/>
                </w:tcPr>
                <w:p w14:paraId="14031C32">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w:t>
                  </w:r>
                </w:p>
              </w:tc>
            </w:tr>
            <w:tr w14:paraId="29634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continue"/>
                  <w:tcBorders>
                    <w:tl2br w:val="nil"/>
                    <w:tr2bl w:val="nil"/>
                  </w:tcBorders>
                  <w:tcMar>
                    <w:top w:w="0" w:type="dxa"/>
                    <w:left w:w="0" w:type="dxa"/>
                    <w:bottom w:w="0" w:type="dxa"/>
                    <w:right w:w="0" w:type="dxa"/>
                  </w:tcMar>
                  <w:vAlign w:val="center"/>
                </w:tcPr>
                <w:p w14:paraId="0A590B83">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lang w:val="en-US" w:eastAsia="zh-CN"/>
                    </w:rPr>
                  </w:pPr>
                </w:p>
              </w:tc>
              <w:tc>
                <w:tcPr>
                  <w:tcW w:w="686" w:type="pct"/>
                  <w:tcBorders>
                    <w:tl2br w:val="nil"/>
                    <w:tr2bl w:val="nil"/>
                  </w:tcBorders>
                  <w:tcMar>
                    <w:top w:w="0" w:type="dxa"/>
                    <w:left w:w="0" w:type="dxa"/>
                    <w:bottom w:w="0" w:type="dxa"/>
                    <w:right w:w="0" w:type="dxa"/>
                  </w:tcMar>
                  <w:vAlign w:val="center"/>
                </w:tcPr>
                <w:p w14:paraId="09B8FD12">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lang w:val="en-US" w:eastAsia="zh-CN"/>
                    </w:rPr>
                  </w:pPr>
                  <w:r>
                    <w:rPr>
                      <w:color w:val="auto"/>
                    </w:rPr>
                    <w:t>供气工程</w:t>
                  </w:r>
                </w:p>
              </w:tc>
              <w:tc>
                <w:tcPr>
                  <w:tcW w:w="2053" w:type="pct"/>
                  <w:tcBorders>
                    <w:tl2br w:val="nil"/>
                    <w:tr2bl w:val="nil"/>
                  </w:tcBorders>
                  <w:tcMar>
                    <w:top w:w="0" w:type="dxa"/>
                    <w:left w:w="0" w:type="dxa"/>
                    <w:bottom w:w="0" w:type="dxa"/>
                    <w:right w:w="0" w:type="dxa"/>
                  </w:tcMar>
                  <w:vAlign w:val="center"/>
                </w:tcPr>
                <w:p w14:paraId="62F23139">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color w:val="auto"/>
                      <w:lang w:val="en-US" w:eastAsia="zh-CN"/>
                    </w:rPr>
                  </w:pPr>
                  <w:r>
                    <w:rPr>
                      <w:rFonts w:hint="eastAsia"/>
                      <w:color w:val="auto"/>
                      <w:lang w:val="en-US" w:eastAsia="zh-CN"/>
                    </w:rPr>
                    <w:t>空压机2000</w:t>
                  </w:r>
                  <w:r>
                    <w:rPr>
                      <w:color w:val="auto"/>
                    </w:rPr>
                    <w:t>N</w:t>
                  </w:r>
                  <w:r>
                    <w:rPr>
                      <w:rFonts w:hint="eastAsia"/>
                      <w:color w:val="auto"/>
                      <w:lang w:eastAsia="zh-CN"/>
                    </w:rPr>
                    <w:t>m³</w:t>
                  </w:r>
                  <w:r>
                    <w:rPr>
                      <w:color w:val="auto"/>
                    </w:rPr>
                    <w:t>/</w:t>
                  </w:r>
                  <w:r>
                    <w:rPr>
                      <w:rFonts w:hint="eastAsia"/>
                      <w:color w:val="auto"/>
                      <w:lang w:val="en-US" w:eastAsia="zh-CN"/>
                    </w:rPr>
                    <w:t>h，制氮机1套200</w:t>
                  </w:r>
                  <w:r>
                    <w:rPr>
                      <w:color w:val="auto"/>
                    </w:rPr>
                    <w:t>N</w:t>
                  </w:r>
                  <w:r>
                    <w:rPr>
                      <w:rFonts w:hint="eastAsia"/>
                      <w:color w:val="auto"/>
                      <w:lang w:eastAsia="zh-CN"/>
                    </w:rPr>
                    <w:t>m³</w:t>
                  </w:r>
                  <w:r>
                    <w:rPr>
                      <w:color w:val="auto"/>
                    </w:rPr>
                    <w:t>/</w:t>
                  </w:r>
                  <w:r>
                    <w:rPr>
                      <w:rFonts w:hint="eastAsia"/>
                      <w:color w:val="auto"/>
                      <w:lang w:val="en-US" w:eastAsia="zh-CN"/>
                    </w:rPr>
                    <w:t>h、1套330</w:t>
                  </w:r>
                  <w:r>
                    <w:rPr>
                      <w:color w:val="auto"/>
                    </w:rPr>
                    <w:t>N</w:t>
                  </w:r>
                  <w:r>
                    <w:rPr>
                      <w:rFonts w:hint="eastAsia"/>
                      <w:color w:val="auto"/>
                      <w:lang w:eastAsia="zh-CN"/>
                    </w:rPr>
                    <w:t>m³</w:t>
                  </w:r>
                  <w:r>
                    <w:rPr>
                      <w:color w:val="auto"/>
                    </w:rPr>
                    <w:t>/</w:t>
                  </w:r>
                  <w:r>
                    <w:rPr>
                      <w:rFonts w:hint="eastAsia"/>
                      <w:color w:val="auto"/>
                      <w:lang w:val="en-US" w:eastAsia="zh-CN"/>
                    </w:rPr>
                    <w:t>h制氮机</w:t>
                  </w:r>
                </w:p>
              </w:tc>
              <w:tc>
                <w:tcPr>
                  <w:tcW w:w="879" w:type="pct"/>
                  <w:tcBorders>
                    <w:tl2br w:val="nil"/>
                    <w:tr2bl w:val="nil"/>
                  </w:tcBorders>
                  <w:tcMar>
                    <w:top w:w="0" w:type="dxa"/>
                    <w:left w:w="0" w:type="dxa"/>
                    <w:bottom w:w="0" w:type="dxa"/>
                    <w:right w:w="0" w:type="dxa"/>
                  </w:tcMar>
                  <w:vAlign w:val="center"/>
                </w:tcPr>
                <w:p w14:paraId="6416A03F">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color w:val="auto"/>
                      <w:lang w:val="en-US" w:eastAsia="zh-CN"/>
                    </w:rPr>
                  </w:pPr>
                  <w:r>
                    <w:rPr>
                      <w:rFonts w:hint="eastAsia"/>
                      <w:color w:val="auto"/>
                      <w:lang w:val="en-US" w:eastAsia="zh-CN"/>
                    </w:rPr>
                    <w:t>/</w:t>
                  </w:r>
                </w:p>
              </w:tc>
              <w:tc>
                <w:tcPr>
                  <w:tcW w:w="879" w:type="pct"/>
                  <w:tcBorders>
                    <w:tl2br w:val="nil"/>
                    <w:tr2bl w:val="nil"/>
                  </w:tcBorders>
                  <w:shd w:val="clear" w:color="auto" w:fill="auto"/>
                  <w:tcMar>
                    <w:top w:w="0" w:type="dxa"/>
                    <w:left w:w="0" w:type="dxa"/>
                    <w:bottom w:w="0" w:type="dxa"/>
                    <w:right w:w="0" w:type="dxa"/>
                  </w:tcMar>
                  <w:vAlign w:val="center"/>
                </w:tcPr>
                <w:p w14:paraId="57398AB1">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ascii="Times New Roman" w:hAnsi="Times New Roman" w:eastAsia="宋体" w:cs="Times New Roman"/>
                      <w:snapToGrid w:val="0"/>
                      <w:color w:val="auto"/>
                      <w:kern w:val="0"/>
                      <w:sz w:val="21"/>
                      <w:szCs w:val="21"/>
                      <w:lang w:val="en-US" w:eastAsia="zh-CN" w:bidi="ar-SA"/>
                    </w:rPr>
                  </w:pPr>
                  <w:r>
                    <w:rPr>
                      <w:rFonts w:hint="eastAsia"/>
                      <w:color w:val="auto"/>
                      <w:lang w:val="en-US" w:eastAsia="zh-CN"/>
                    </w:rPr>
                    <w:t>不发生变化</w:t>
                  </w:r>
                </w:p>
              </w:tc>
              <w:tc>
                <w:tcPr>
                  <w:tcW w:w="178" w:type="pct"/>
                  <w:tcBorders>
                    <w:tl2br w:val="nil"/>
                    <w:tr2bl w:val="nil"/>
                  </w:tcBorders>
                  <w:shd w:val="clear" w:color="auto" w:fill="auto"/>
                  <w:tcMar>
                    <w:top w:w="0" w:type="dxa"/>
                    <w:left w:w="0" w:type="dxa"/>
                    <w:bottom w:w="0" w:type="dxa"/>
                    <w:right w:w="0" w:type="dxa"/>
                  </w:tcMar>
                  <w:vAlign w:val="center"/>
                </w:tcPr>
                <w:p w14:paraId="28CE911E">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ascii="Times New Roman" w:hAnsi="Times New Roman" w:eastAsia="宋体" w:cs="Times New Roman"/>
                      <w:snapToGrid w:val="0"/>
                      <w:color w:val="000000"/>
                      <w:kern w:val="0"/>
                      <w:sz w:val="21"/>
                      <w:szCs w:val="21"/>
                      <w:lang w:val="en-US" w:eastAsia="zh-CN" w:bidi="ar-SA"/>
                    </w:rPr>
                  </w:pPr>
                  <w:r>
                    <w:rPr>
                      <w:rFonts w:hint="eastAsia"/>
                      <w:lang w:val="en-US" w:eastAsia="zh-CN"/>
                    </w:rPr>
                    <w:t>依托现有</w:t>
                  </w:r>
                </w:p>
              </w:tc>
            </w:tr>
            <w:tr w14:paraId="0785B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restart"/>
                  <w:tcBorders>
                    <w:tl2br w:val="nil"/>
                    <w:tr2bl w:val="nil"/>
                  </w:tcBorders>
                  <w:tcMar>
                    <w:top w:w="0" w:type="dxa"/>
                    <w:left w:w="0" w:type="dxa"/>
                    <w:bottom w:w="0" w:type="dxa"/>
                    <w:right w:w="0" w:type="dxa"/>
                  </w:tcMar>
                  <w:vAlign w:val="center"/>
                </w:tcPr>
                <w:p w14:paraId="616E43FC">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lang w:val="en-US" w:eastAsia="zh-CN"/>
                    </w:rPr>
                  </w:pPr>
                  <w:r>
                    <w:rPr>
                      <w:rFonts w:hint="eastAsia"/>
                      <w:lang w:val="en-US" w:eastAsia="zh-CN"/>
                    </w:rPr>
                    <w:t>环保工程</w:t>
                  </w:r>
                </w:p>
              </w:tc>
              <w:tc>
                <w:tcPr>
                  <w:tcW w:w="686" w:type="pct"/>
                  <w:tcBorders>
                    <w:tl2br w:val="nil"/>
                    <w:tr2bl w:val="nil"/>
                  </w:tcBorders>
                  <w:tcMar>
                    <w:top w:w="0" w:type="dxa"/>
                    <w:left w:w="0" w:type="dxa"/>
                    <w:bottom w:w="0" w:type="dxa"/>
                    <w:right w:w="0" w:type="dxa"/>
                  </w:tcMar>
                  <w:vAlign w:val="center"/>
                </w:tcPr>
                <w:p w14:paraId="748FB1CE">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eastAsia="宋体"/>
                      <w:color w:val="auto"/>
                      <w:lang w:val="en-US" w:eastAsia="zh-CN"/>
                    </w:rPr>
                  </w:pPr>
                  <w:r>
                    <w:rPr>
                      <w:rFonts w:hint="eastAsia"/>
                      <w:color w:val="auto"/>
                      <w:lang w:val="en-US" w:eastAsia="zh-CN"/>
                    </w:rPr>
                    <w:t>废气</w:t>
                  </w:r>
                </w:p>
              </w:tc>
              <w:tc>
                <w:tcPr>
                  <w:tcW w:w="2053" w:type="pct"/>
                  <w:tcBorders>
                    <w:tl2br w:val="nil"/>
                    <w:tr2bl w:val="nil"/>
                  </w:tcBorders>
                  <w:tcMar>
                    <w:top w:w="0" w:type="dxa"/>
                    <w:left w:w="0" w:type="dxa"/>
                    <w:bottom w:w="0" w:type="dxa"/>
                    <w:right w:w="0" w:type="dxa"/>
                  </w:tcMar>
                  <w:vAlign w:val="center"/>
                </w:tcPr>
                <w:p w14:paraId="1904CA94">
                  <w:pPr>
                    <w:pStyle w:val="15"/>
                    <w:keepNext w:val="0"/>
                    <w:keepLines/>
                    <w:pageBreakBefore w:val="0"/>
                    <w:widowControl/>
                    <w:kinsoku/>
                    <w:wordWrap/>
                    <w:overflowPunct/>
                    <w:topLinePunct/>
                    <w:autoSpaceDE w:val="0"/>
                    <w:autoSpaceDN w:val="0"/>
                    <w:bidi w:val="0"/>
                    <w:adjustRightInd w:val="0"/>
                    <w:snapToGrid w:val="0"/>
                    <w:jc w:val="both"/>
                    <w:textAlignment w:val="baseline"/>
                    <w:rPr>
                      <w:color w:val="auto"/>
                    </w:rPr>
                  </w:pPr>
                  <w:r>
                    <w:rPr>
                      <w:rFonts w:hint="eastAsia"/>
                      <w:color w:val="auto"/>
                      <w:lang w:val="en-US" w:eastAsia="zh-CN"/>
                    </w:rPr>
                    <w:t>酸碱罐区内2座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盐酸储罐产生的无组织废气通过管道收集至TA002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w:t>
                  </w:r>
                </w:p>
              </w:tc>
              <w:tc>
                <w:tcPr>
                  <w:tcW w:w="879" w:type="pct"/>
                  <w:tcBorders>
                    <w:tl2br w:val="nil"/>
                    <w:tr2bl w:val="nil"/>
                  </w:tcBorders>
                  <w:shd w:val="clear" w:color="auto" w:fill="auto"/>
                  <w:tcMar>
                    <w:top w:w="0" w:type="dxa"/>
                    <w:left w:w="0" w:type="dxa"/>
                    <w:bottom w:w="0" w:type="dxa"/>
                    <w:right w:w="0" w:type="dxa"/>
                  </w:tcMar>
                  <w:vAlign w:val="center"/>
                </w:tcPr>
                <w:p w14:paraId="15FDD10D">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color w:val="auto"/>
                      <w:lang w:val="en-US" w:eastAsia="zh-CN"/>
                    </w:rPr>
                  </w:pP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盐酸储罐产生的无组织废气通过管道收集至TA002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w:t>
                  </w:r>
                </w:p>
              </w:tc>
              <w:tc>
                <w:tcPr>
                  <w:tcW w:w="879" w:type="pct"/>
                  <w:tcBorders>
                    <w:tl2br w:val="nil"/>
                    <w:tr2bl w:val="nil"/>
                  </w:tcBorders>
                  <w:shd w:val="clear" w:color="auto" w:fill="auto"/>
                  <w:tcMar>
                    <w:top w:w="0" w:type="dxa"/>
                    <w:left w:w="0" w:type="dxa"/>
                    <w:bottom w:w="0" w:type="dxa"/>
                    <w:right w:w="0" w:type="dxa"/>
                  </w:tcMar>
                  <w:vAlign w:val="center"/>
                </w:tcPr>
                <w:p w14:paraId="13154CF2">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color w:val="auto"/>
                      <w:lang w:val="en-US" w:eastAsia="zh-CN"/>
                    </w:rPr>
                  </w:pPr>
                  <w:r>
                    <w:rPr>
                      <w:rFonts w:hint="eastAsia"/>
                      <w:color w:val="auto"/>
                      <w:lang w:val="en-US" w:eastAsia="zh-CN"/>
                    </w:rPr>
                    <w:t>6座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盐酸储罐产生的无组织废气通过管道收集至TA002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w:t>
                  </w:r>
                </w:p>
              </w:tc>
              <w:tc>
                <w:tcPr>
                  <w:tcW w:w="178" w:type="pct"/>
                  <w:tcBorders>
                    <w:tl2br w:val="nil"/>
                    <w:tr2bl w:val="nil"/>
                  </w:tcBorders>
                  <w:shd w:val="clear" w:color="auto" w:fill="auto"/>
                  <w:tcMar>
                    <w:top w:w="0" w:type="dxa"/>
                    <w:left w:w="0" w:type="dxa"/>
                    <w:bottom w:w="0" w:type="dxa"/>
                    <w:right w:w="0" w:type="dxa"/>
                  </w:tcMar>
                  <w:vAlign w:val="center"/>
                </w:tcPr>
                <w:p w14:paraId="1243A833">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ascii="Times New Roman" w:hAnsi="Times New Roman" w:eastAsia="宋体" w:cs="Times New Roman"/>
                      <w:snapToGrid w:val="0"/>
                      <w:color w:val="000000"/>
                      <w:kern w:val="0"/>
                      <w:sz w:val="21"/>
                      <w:szCs w:val="21"/>
                      <w:lang w:val="en-US" w:eastAsia="zh-CN" w:bidi="ar-SA"/>
                    </w:rPr>
                  </w:pPr>
                  <w:r>
                    <w:rPr>
                      <w:rFonts w:hint="eastAsia"/>
                      <w:lang w:val="en-US" w:eastAsia="zh-CN"/>
                    </w:rPr>
                    <w:t>依托现有</w:t>
                  </w:r>
                </w:p>
              </w:tc>
            </w:tr>
            <w:tr w14:paraId="00295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continue"/>
                  <w:tcBorders>
                    <w:tl2br w:val="nil"/>
                    <w:tr2bl w:val="nil"/>
                  </w:tcBorders>
                  <w:tcMar>
                    <w:top w:w="0" w:type="dxa"/>
                    <w:left w:w="0" w:type="dxa"/>
                    <w:bottom w:w="0" w:type="dxa"/>
                    <w:right w:w="0" w:type="dxa"/>
                  </w:tcMar>
                  <w:vAlign w:val="center"/>
                </w:tcPr>
                <w:p w14:paraId="68AD627D">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eastAsia"/>
                      <w:lang w:val="en-US" w:eastAsia="zh-CN"/>
                    </w:rPr>
                  </w:pPr>
                </w:p>
              </w:tc>
              <w:tc>
                <w:tcPr>
                  <w:tcW w:w="686" w:type="pct"/>
                  <w:tcBorders>
                    <w:tl2br w:val="nil"/>
                    <w:tr2bl w:val="nil"/>
                  </w:tcBorders>
                  <w:tcMar>
                    <w:top w:w="0" w:type="dxa"/>
                    <w:left w:w="0" w:type="dxa"/>
                    <w:bottom w:w="0" w:type="dxa"/>
                    <w:right w:w="0" w:type="dxa"/>
                  </w:tcMar>
                  <w:vAlign w:val="center"/>
                </w:tcPr>
                <w:p w14:paraId="2D58E71C">
                  <w:pPr>
                    <w:pStyle w:val="15"/>
                    <w:keepNext w:val="0"/>
                    <w:keepLines/>
                    <w:pageBreakBefore w:val="0"/>
                    <w:widowControl/>
                    <w:kinsoku/>
                    <w:wordWrap/>
                    <w:overflowPunct/>
                    <w:topLinePunct/>
                    <w:autoSpaceDE w:val="0"/>
                    <w:autoSpaceDN w:val="0"/>
                    <w:bidi w:val="0"/>
                    <w:adjustRightInd w:val="0"/>
                    <w:snapToGrid w:val="0"/>
                    <w:jc w:val="center"/>
                    <w:textAlignment w:val="baseline"/>
                    <w:rPr>
                      <w:rFonts w:hint="default"/>
                      <w:color w:val="auto"/>
                      <w:lang w:val="en-US" w:eastAsia="zh-CN"/>
                    </w:rPr>
                  </w:pPr>
                  <w:r>
                    <w:rPr>
                      <w:rFonts w:hint="eastAsia"/>
                      <w:color w:val="auto"/>
                      <w:lang w:val="en-US" w:eastAsia="zh-CN"/>
                    </w:rPr>
                    <w:t>环境风险</w:t>
                  </w:r>
                </w:p>
              </w:tc>
              <w:tc>
                <w:tcPr>
                  <w:tcW w:w="2053" w:type="pct"/>
                  <w:tcBorders>
                    <w:tl2br w:val="nil"/>
                    <w:tr2bl w:val="nil"/>
                  </w:tcBorders>
                  <w:tcMar>
                    <w:top w:w="0" w:type="dxa"/>
                    <w:left w:w="0" w:type="dxa"/>
                    <w:bottom w:w="0" w:type="dxa"/>
                    <w:right w:w="0" w:type="dxa"/>
                  </w:tcMar>
                  <w:vAlign w:val="center"/>
                </w:tcPr>
                <w:p w14:paraId="52D381A0">
                  <w:pPr>
                    <w:pStyle w:val="15"/>
                    <w:keepNext w:val="0"/>
                    <w:keepLines/>
                    <w:pageBreakBefore w:val="0"/>
                    <w:widowControl/>
                    <w:kinsoku/>
                    <w:wordWrap/>
                    <w:overflowPunct/>
                    <w:topLinePunct/>
                    <w:autoSpaceDE w:val="0"/>
                    <w:autoSpaceDN w:val="0"/>
                    <w:bidi w:val="0"/>
                    <w:adjustRightInd w:val="0"/>
                    <w:snapToGrid w:val="0"/>
                    <w:jc w:val="both"/>
                    <w:textAlignment w:val="baseline"/>
                    <w:rPr>
                      <w:rFonts w:hint="eastAsia"/>
                      <w:color w:val="auto"/>
                      <w:lang w:val="en-US" w:eastAsia="zh-CN"/>
                    </w:rPr>
                  </w:pPr>
                  <w:r>
                    <w:rPr>
                      <w:rFonts w:hint="eastAsia"/>
                      <w:color w:val="auto"/>
                      <w:lang w:val="en-US" w:eastAsia="zh-CN"/>
                    </w:rPr>
                    <w:t>1座事故水池，设计有效容积4572m³</w:t>
                  </w:r>
                </w:p>
              </w:tc>
              <w:tc>
                <w:tcPr>
                  <w:tcW w:w="879" w:type="pct"/>
                  <w:tcBorders>
                    <w:tl2br w:val="nil"/>
                    <w:tr2bl w:val="nil"/>
                  </w:tcBorders>
                  <w:shd w:val="clear" w:color="auto" w:fill="auto"/>
                  <w:tcMar>
                    <w:top w:w="0" w:type="dxa"/>
                    <w:left w:w="0" w:type="dxa"/>
                    <w:bottom w:w="0" w:type="dxa"/>
                    <w:right w:w="0" w:type="dxa"/>
                  </w:tcMar>
                  <w:vAlign w:val="center"/>
                </w:tcPr>
                <w:p w14:paraId="62130B6F">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default"/>
                      <w:color w:val="auto"/>
                      <w:lang w:val="en-US" w:eastAsia="zh-CN"/>
                    </w:rPr>
                  </w:pPr>
                  <w:r>
                    <w:rPr>
                      <w:rFonts w:hint="eastAsia"/>
                      <w:color w:val="auto"/>
                      <w:lang w:val="en-US" w:eastAsia="zh-CN"/>
                    </w:rPr>
                    <w:t>/</w:t>
                  </w:r>
                </w:p>
              </w:tc>
              <w:tc>
                <w:tcPr>
                  <w:tcW w:w="879" w:type="pct"/>
                  <w:tcBorders>
                    <w:tl2br w:val="nil"/>
                    <w:tr2bl w:val="nil"/>
                  </w:tcBorders>
                  <w:shd w:val="clear" w:color="auto" w:fill="auto"/>
                  <w:tcMar>
                    <w:top w:w="0" w:type="dxa"/>
                    <w:left w:w="0" w:type="dxa"/>
                    <w:bottom w:w="0" w:type="dxa"/>
                    <w:right w:w="0" w:type="dxa"/>
                  </w:tcMar>
                  <w:vAlign w:val="center"/>
                </w:tcPr>
                <w:p w14:paraId="242C44D7">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color w:val="auto"/>
                      <w:lang w:val="en-US" w:eastAsia="zh-CN"/>
                    </w:rPr>
                  </w:pPr>
                  <w:r>
                    <w:rPr>
                      <w:rFonts w:hint="eastAsia"/>
                      <w:color w:val="auto"/>
                      <w:lang w:val="en-US" w:eastAsia="zh-CN"/>
                    </w:rPr>
                    <w:t>不发生变化</w:t>
                  </w:r>
                </w:p>
              </w:tc>
              <w:tc>
                <w:tcPr>
                  <w:tcW w:w="178" w:type="pct"/>
                  <w:tcBorders>
                    <w:tl2br w:val="nil"/>
                    <w:tr2bl w:val="nil"/>
                  </w:tcBorders>
                  <w:shd w:val="clear" w:color="auto" w:fill="auto"/>
                  <w:tcMar>
                    <w:top w:w="0" w:type="dxa"/>
                    <w:left w:w="0" w:type="dxa"/>
                    <w:bottom w:w="0" w:type="dxa"/>
                    <w:right w:w="0" w:type="dxa"/>
                  </w:tcMar>
                  <w:vAlign w:val="center"/>
                </w:tcPr>
                <w:p w14:paraId="1E78EB4D">
                  <w:pPr>
                    <w:pStyle w:val="15"/>
                    <w:keepNext w:val="0"/>
                    <w:keepLines/>
                    <w:pageBreakBefore w:val="0"/>
                    <w:widowControl/>
                    <w:kinsoku/>
                    <w:wordWrap/>
                    <w:overflowPunct/>
                    <w:topLinePunct/>
                    <w:autoSpaceDE w:val="0"/>
                    <w:autoSpaceDN w:val="0"/>
                    <w:bidi w:val="0"/>
                    <w:adjustRightInd w:val="0"/>
                    <w:snapToGrid w:val="0"/>
                    <w:ind w:left="0" w:leftChars="0" w:firstLine="0" w:firstLineChars="0"/>
                    <w:jc w:val="center"/>
                    <w:textAlignment w:val="baseline"/>
                    <w:rPr>
                      <w:rFonts w:hint="eastAsia"/>
                      <w:lang w:val="en-US" w:eastAsia="zh-CN"/>
                    </w:rPr>
                  </w:pPr>
                  <w:r>
                    <w:rPr>
                      <w:rFonts w:hint="eastAsia"/>
                      <w:lang w:val="en-US" w:eastAsia="zh-CN"/>
                    </w:rPr>
                    <w:t>依托现有</w:t>
                  </w:r>
                </w:p>
              </w:tc>
            </w:tr>
          </w:tbl>
          <w:p w14:paraId="22082085">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4.扩建盐酸储量</w:t>
            </w:r>
          </w:p>
          <w:p w14:paraId="3C4B74FE">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盐酸储罐后，厂区内31%盐酸最大储存量由400m</w:t>
            </w:r>
            <w:r>
              <w:rPr>
                <w:rFonts w:hint="eastAsia"/>
                <w:color w:val="auto"/>
                <w:vertAlign w:val="superscript"/>
                <w:lang w:val="en-US" w:eastAsia="zh-CN"/>
              </w:rPr>
              <w:t>3</w:t>
            </w:r>
            <w:r>
              <w:rPr>
                <w:rFonts w:hint="eastAsia"/>
                <w:color w:val="auto"/>
                <w:lang w:val="en-US" w:eastAsia="zh-CN"/>
              </w:rPr>
              <w:t>扩增至1200m³。</w:t>
            </w:r>
          </w:p>
          <w:p w14:paraId="053D09CA">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color w:val="auto"/>
                <w:lang w:val="en-US" w:eastAsia="zh-CN"/>
              </w:rPr>
              <w:t>盐酸</w:t>
            </w:r>
            <w:r>
              <w:rPr>
                <w:rFonts w:hint="eastAsia"/>
                <w:lang w:val="en-US" w:eastAsia="zh-CN"/>
              </w:rPr>
              <w:t>满足《工业用合成盐酸》（GB/T320-2025）中表1工业用合成盐酸的技术指标。</w:t>
            </w:r>
          </w:p>
          <w:p w14:paraId="51132D50">
            <w:pPr>
              <w:pStyle w:val="16"/>
              <w:keepNext w:val="0"/>
              <w:keepLines/>
              <w:pageBreakBefore w:val="0"/>
              <w:widowControl/>
              <w:kinsoku/>
              <w:overflowPunct/>
              <w:bidi w:val="0"/>
              <w:adjustRightInd w:val="0"/>
              <w:snapToGrid w:val="0"/>
              <w:textAlignment w:val="baseline"/>
              <w:rPr>
                <w:rFonts w:hint="eastAsia"/>
                <w:lang w:val="en-US" w:eastAsia="zh-CN"/>
              </w:rPr>
            </w:pPr>
            <w:r>
              <w:t xml:space="preserve">表 </w:t>
            </w:r>
            <w:r>
              <w:fldChar w:fldCharType="begin"/>
            </w:r>
            <w:r>
              <w:instrText xml:space="preserve"> SEQ 表 \* ARABIC </w:instrText>
            </w:r>
            <w:r>
              <w:fldChar w:fldCharType="separate"/>
            </w:r>
            <w:r>
              <w:t>6</w:t>
            </w:r>
            <w:r>
              <w:fldChar w:fldCharType="end"/>
            </w:r>
            <w:r>
              <w:rPr>
                <w:rFonts w:hint="eastAsia"/>
                <w:lang w:val="en-US" w:eastAsia="zh-CN"/>
              </w:rPr>
              <w:t xml:space="preserve">  《工业用合成盐酸》（GB/T320-2025）中盐酸质量标准</w:t>
            </w:r>
          </w:p>
          <w:tbl>
            <w:tblPr>
              <w:tblStyle w:val="1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29"/>
              <w:gridCol w:w="2055"/>
            </w:tblGrid>
            <w:tr w14:paraId="63DC2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6" w:type="pct"/>
                  <w:tcBorders>
                    <w:tl2br w:val="nil"/>
                    <w:tr2bl w:val="nil"/>
                  </w:tcBorders>
                  <w:tcMar>
                    <w:top w:w="0" w:type="dxa"/>
                    <w:left w:w="0" w:type="dxa"/>
                    <w:bottom w:w="0" w:type="dxa"/>
                    <w:right w:w="0" w:type="dxa"/>
                  </w:tcMar>
                  <w:vAlign w:val="top"/>
                </w:tcPr>
                <w:p w14:paraId="19E8833D">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项目</w:t>
                  </w:r>
                </w:p>
              </w:tc>
              <w:tc>
                <w:tcPr>
                  <w:tcW w:w="1303" w:type="pct"/>
                  <w:tcBorders>
                    <w:tl2br w:val="nil"/>
                    <w:tr2bl w:val="nil"/>
                  </w:tcBorders>
                  <w:tcMar>
                    <w:top w:w="0" w:type="dxa"/>
                    <w:left w:w="0" w:type="dxa"/>
                    <w:bottom w:w="0" w:type="dxa"/>
                    <w:right w:w="0" w:type="dxa"/>
                  </w:tcMar>
                  <w:vAlign w:val="top"/>
                </w:tcPr>
                <w:p w14:paraId="0E3CEA71">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指标</w:t>
                  </w:r>
                </w:p>
              </w:tc>
            </w:tr>
            <w:tr w14:paraId="79C79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96" w:type="pct"/>
                  <w:tcBorders>
                    <w:tl2br w:val="nil"/>
                    <w:tr2bl w:val="nil"/>
                  </w:tcBorders>
                  <w:tcMar>
                    <w:top w:w="0" w:type="dxa"/>
                    <w:left w:w="0" w:type="dxa"/>
                    <w:bottom w:w="0" w:type="dxa"/>
                    <w:right w:w="0" w:type="dxa"/>
                  </w:tcMar>
                  <w:vAlign w:val="top"/>
                </w:tcPr>
                <w:p w14:paraId="6402B7D3">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总酸度（以HCl计）</w:t>
                  </w:r>
                </w:p>
              </w:tc>
              <w:tc>
                <w:tcPr>
                  <w:tcW w:w="1303" w:type="pct"/>
                  <w:tcBorders>
                    <w:tl2br w:val="nil"/>
                    <w:tr2bl w:val="nil"/>
                  </w:tcBorders>
                  <w:tcMar>
                    <w:top w:w="0" w:type="dxa"/>
                    <w:left w:w="0" w:type="dxa"/>
                    <w:bottom w:w="0" w:type="dxa"/>
                    <w:right w:w="0" w:type="dxa"/>
                  </w:tcMar>
                  <w:vAlign w:val="top"/>
                </w:tcPr>
                <w:p w14:paraId="4AD4E27F">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≥31.0</w:t>
                  </w:r>
                </w:p>
              </w:tc>
            </w:tr>
            <w:tr w14:paraId="0CBF3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96" w:type="pct"/>
                  <w:tcBorders>
                    <w:tl2br w:val="nil"/>
                    <w:tr2bl w:val="nil"/>
                  </w:tcBorders>
                  <w:tcMar>
                    <w:top w:w="0" w:type="dxa"/>
                    <w:left w:w="0" w:type="dxa"/>
                    <w:bottom w:w="0" w:type="dxa"/>
                    <w:right w:w="0" w:type="dxa"/>
                  </w:tcMar>
                  <w:vAlign w:val="top"/>
                </w:tcPr>
                <w:p w14:paraId="3E8F9007">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铁（以Fe计）</w:t>
                  </w:r>
                </w:p>
              </w:tc>
              <w:tc>
                <w:tcPr>
                  <w:tcW w:w="1303" w:type="pct"/>
                  <w:tcBorders>
                    <w:tl2br w:val="nil"/>
                    <w:tr2bl w:val="nil"/>
                  </w:tcBorders>
                  <w:tcMar>
                    <w:top w:w="0" w:type="dxa"/>
                    <w:left w:w="0" w:type="dxa"/>
                    <w:bottom w:w="0" w:type="dxa"/>
                    <w:right w:w="0" w:type="dxa"/>
                  </w:tcMar>
                  <w:vAlign w:val="top"/>
                </w:tcPr>
                <w:p w14:paraId="4F234226">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≤0.002</w:t>
                  </w:r>
                </w:p>
              </w:tc>
            </w:tr>
            <w:tr w14:paraId="0E591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96" w:type="pct"/>
                  <w:tcBorders>
                    <w:tl2br w:val="nil"/>
                    <w:tr2bl w:val="nil"/>
                  </w:tcBorders>
                  <w:tcMar>
                    <w:top w:w="0" w:type="dxa"/>
                    <w:left w:w="0" w:type="dxa"/>
                    <w:bottom w:w="0" w:type="dxa"/>
                    <w:right w:w="0" w:type="dxa"/>
                  </w:tcMar>
                  <w:vAlign w:val="top"/>
                </w:tcPr>
                <w:p w14:paraId="26652F00">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灼烧残渣</w:t>
                  </w:r>
                </w:p>
              </w:tc>
              <w:tc>
                <w:tcPr>
                  <w:tcW w:w="1303" w:type="pct"/>
                  <w:tcBorders>
                    <w:tl2br w:val="nil"/>
                    <w:tr2bl w:val="nil"/>
                  </w:tcBorders>
                  <w:tcMar>
                    <w:top w:w="0" w:type="dxa"/>
                    <w:left w:w="0" w:type="dxa"/>
                    <w:bottom w:w="0" w:type="dxa"/>
                    <w:right w:w="0" w:type="dxa"/>
                  </w:tcMar>
                  <w:vAlign w:val="top"/>
                </w:tcPr>
                <w:p w14:paraId="68DDB27D">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≤0.10</w:t>
                  </w:r>
                </w:p>
              </w:tc>
            </w:tr>
            <w:tr w14:paraId="4465A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96" w:type="pct"/>
                  <w:tcBorders>
                    <w:tl2br w:val="nil"/>
                    <w:tr2bl w:val="nil"/>
                  </w:tcBorders>
                  <w:tcMar>
                    <w:top w:w="0" w:type="dxa"/>
                    <w:left w:w="0" w:type="dxa"/>
                    <w:bottom w:w="0" w:type="dxa"/>
                    <w:right w:w="0" w:type="dxa"/>
                  </w:tcMar>
                  <w:vAlign w:val="top"/>
                </w:tcPr>
                <w:p w14:paraId="73991917">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游离氯（以Cl计）</w:t>
                  </w:r>
                </w:p>
              </w:tc>
              <w:tc>
                <w:tcPr>
                  <w:tcW w:w="1303" w:type="pct"/>
                  <w:tcBorders>
                    <w:tl2br w:val="nil"/>
                    <w:tr2bl w:val="nil"/>
                  </w:tcBorders>
                  <w:tcMar>
                    <w:top w:w="0" w:type="dxa"/>
                    <w:left w:w="0" w:type="dxa"/>
                    <w:bottom w:w="0" w:type="dxa"/>
                    <w:right w:w="0" w:type="dxa"/>
                  </w:tcMar>
                  <w:vAlign w:val="top"/>
                </w:tcPr>
                <w:p w14:paraId="180DC012">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≤0.008</w:t>
                  </w:r>
                </w:p>
              </w:tc>
            </w:tr>
            <w:tr w14:paraId="73639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96" w:type="pct"/>
                  <w:tcBorders>
                    <w:tl2br w:val="nil"/>
                    <w:tr2bl w:val="nil"/>
                  </w:tcBorders>
                  <w:tcMar>
                    <w:top w:w="0" w:type="dxa"/>
                    <w:left w:w="0" w:type="dxa"/>
                    <w:bottom w:w="0" w:type="dxa"/>
                    <w:right w:w="0" w:type="dxa"/>
                  </w:tcMar>
                  <w:vAlign w:val="top"/>
                </w:tcPr>
                <w:p w14:paraId="23421A1D">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硫酸盐（以SO</w:t>
                  </w:r>
                  <w:r>
                    <w:rPr>
                      <w:rFonts w:hint="eastAsia" w:cs="Times New Roman"/>
                      <w:vertAlign w:val="subscript"/>
                      <w:lang w:val="en-US" w:eastAsia="zh-CN"/>
                    </w:rPr>
                    <w:t>4</w:t>
                  </w:r>
                  <w:r>
                    <w:rPr>
                      <w:rFonts w:hint="eastAsia" w:cs="Times New Roman"/>
                      <w:vertAlign w:val="superscript"/>
                      <w:lang w:val="en-US" w:eastAsia="zh-CN"/>
                    </w:rPr>
                    <w:t>2-</w:t>
                  </w:r>
                  <w:r>
                    <w:rPr>
                      <w:rFonts w:hint="eastAsia" w:cs="Times New Roman"/>
                      <w:vertAlign w:val="baseline"/>
                      <w:lang w:val="en-US" w:eastAsia="zh-CN"/>
                    </w:rPr>
                    <w:t>计</w:t>
                  </w:r>
                  <w:r>
                    <w:rPr>
                      <w:rFonts w:hint="eastAsia" w:cs="Times New Roman"/>
                      <w:lang w:val="en-US" w:eastAsia="zh-CN"/>
                    </w:rPr>
                    <w:t>）</w:t>
                  </w:r>
                </w:p>
              </w:tc>
              <w:tc>
                <w:tcPr>
                  <w:tcW w:w="1303" w:type="pct"/>
                  <w:tcBorders>
                    <w:tl2br w:val="nil"/>
                    <w:tr2bl w:val="nil"/>
                  </w:tcBorders>
                  <w:tcMar>
                    <w:top w:w="0" w:type="dxa"/>
                    <w:left w:w="0" w:type="dxa"/>
                    <w:bottom w:w="0" w:type="dxa"/>
                    <w:right w:w="0" w:type="dxa"/>
                  </w:tcMar>
                  <w:vAlign w:val="top"/>
                </w:tcPr>
                <w:p w14:paraId="647497BA">
                  <w:pPr>
                    <w:pStyle w:val="15"/>
                    <w:keepNext w:val="0"/>
                    <w:keepLines/>
                    <w:pageBreakBefore w:val="0"/>
                    <w:widowControl/>
                    <w:suppressLineNumbers w:val="0"/>
                    <w:kinsoku/>
                    <w:wordWrap/>
                    <w:overflowPunct/>
                    <w:topLinePunct/>
                    <w:autoSpaceDE w:val="0"/>
                    <w:autoSpaceDN w:val="0"/>
                    <w:bidi w:val="0"/>
                    <w:adjustRightInd w:val="0"/>
                    <w:snapToGrid w:val="0"/>
                    <w:spacing w:before="0" w:after="0"/>
                    <w:ind w:right="0"/>
                    <w:textAlignment w:val="baseline"/>
                    <w:rPr>
                      <w:rFonts w:hint="default" w:cs="Times New Roman"/>
                      <w:lang w:val="en-US" w:eastAsia="zh-CN"/>
                    </w:rPr>
                  </w:pPr>
                  <w:r>
                    <w:rPr>
                      <w:rFonts w:hint="eastAsia" w:cs="Times New Roman"/>
                      <w:lang w:val="en-US" w:eastAsia="zh-CN"/>
                    </w:rPr>
                    <w:t>≤0.03</w:t>
                  </w:r>
                </w:p>
              </w:tc>
            </w:tr>
          </w:tbl>
          <w:p w14:paraId="0DD9C61E">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5.扩建工程主要生产设施及设施参数</w:t>
            </w:r>
          </w:p>
          <w:p w14:paraId="322EB92B">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盐酸储罐主要设备清单见下表7。</w:t>
            </w:r>
          </w:p>
          <w:p w14:paraId="5977951A">
            <w:pPr>
              <w:pStyle w:val="16"/>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t xml:space="preserve">表 </w:t>
            </w:r>
            <w:r>
              <w:fldChar w:fldCharType="begin"/>
            </w:r>
            <w:r>
              <w:instrText xml:space="preserve"> SEQ 表 \* ARABIC </w:instrText>
            </w:r>
            <w:r>
              <w:fldChar w:fldCharType="separate"/>
            </w:r>
            <w:r>
              <w:t>7</w:t>
            </w:r>
            <w:r>
              <w:fldChar w:fldCharType="end"/>
            </w:r>
            <w:r>
              <w:rPr>
                <w:rFonts w:hint="eastAsia"/>
                <w:lang w:val="en-US" w:eastAsia="zh-CN"/>
              </w:rPr>
              <w:t xml:space="preserve">  </w:t>
            </w:r>
            <w:r>
              <w:rPr>
                <w:rFonts w:hint="default"/>
                <w:lang w:val="en-US" w:eastAsia="zh-CN"/>
              </w:rPr>
              <w:t>扩建工程</w:t>
            </w:r>
            <w:r>
              <w:rPr>
                <w:rFonts w:hint="eastAsia"/>
                <w:lang w:val="en-US" w:eastAsia="zh-CN"/>
              </w:rPr>
              <w:t>主要设备清单</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5"/>
              <w:gridCol w:w="888"/>
              <w:gridCol w:w="1938"/>
              <w:gridCol w:w="468"/>
              <w:gridCol w:w="347"/>
              <w:gridCol w:w="1093"/>
              <w:gridCol w:w="1651"/>
              <w:gridCol w:w="664"/>
              <w:gridCol w:w="482"/>
            </w:tblGrid>
            <w:tr w14:paraId="5071F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 w:hRule="atLeast"/>
                <w:tblHeader/>
                <w:jc w:val="center"/>
              </w:trPr>
              <w:tc>
                <w:tcPr>
                  <w:tcW w:w="225" w:type="pct"/>
                  <w:noWrap w:val="0"/>
                  <w:tcMar>
                    <w:top w:w="0" w:type="dxa"/>
                    <w:left w:w="0" w:type="dxa"/>
                    <w:bottom w:w="0" w:type="dxa"/>
                    <w:right w:w="0" w:type="dxa"/>
                  </w:tcMar>
                  <w:vAlign w:val="center"/>
                </w:tcPr>
                <w:p w14:paraId="7CD3AA54">
                  <w:pPr>
                    <w:pStyle w:val="15"/>
                    <w:keepNext w:val="0"/>
                    <w:keepLines/>
                    <w:pageBreakBefore w:val="0"/>
                    <w:widowControl/>
                    <w:kinsoku/>
                    <w:wordWrap/>
                    <w:overflowPunct/>
                    <w:topLinePunct/>
                    <w:autoSpaceDE w:val="0"/>
                    <w:autoSpaceDN w:val="0"/>
                    <w:bidi w:val="0"/>
                    <w:adjustRightInd w:val="0"/>
                    <w:snapToGrid w:val="0"/>
                    <w:textAlignment w:val="baseline"/>
                  </w:pPr>
                  <w:r>
                    <w:t>序号</w:t>
                  </w:r>
                </w:p>
              </w:tc>
              <w:tc>
                <w:tcPr>
                  <w:tcW w:w="563" w:type="pct"/>
                  <w:noWrap w:val="0"/>
                  <w:tcMar>
                    <w:top w:w="0" w:type="dxa"/>
                    <w:left w:w="0" w:type="dxa"/>
                    <w:bottom w:w="0" w:type="dxa"/>
                    <w:right w:w="0" w:type="dxa"/>
                  </w:tcMar>
                  <w:vAlign w:val="center"/>
                </w:tcPr>
                <w:p w14:paraId="5BC85C53">
                  <w:pPr>
                    <w:pStyle w:val="15"/>
                    <w:keepNext w:val="0"/>
                    <w:keepLines/>
                    <w:pageBreakBefore w:val="0"/>
                    <w:widowControl/>
                    <w:kinsoku/>
                    <w:wordWrap/>
                    <w:overflowPunct/>
                    <w:topLinePunct/>
                    <w:autoSpaceDE w:val="0"/>
                    <w:autoSpaceDN w:val="0"/>
                    <w:bidi w:val="0"/>
                    <w:adjustRightInd w:val="0"/>
                    <w:snapToGrid w:val="0"/>
                    <w:textAlignment w:val="baseline"/>
                  </w:pPr>
                  <w:r>
                    <w:t>设备名称</w:t>
                  </w:r>
                </w:p>
              </w:tc>
              <w:tc>
                <w:tcPr>
                  <w:tcW w:w="1229" w:type="pct"/>
                  <w:noWrap w:val="0"/>
                  <w:tcMar>
                    <w:top w:w="0" w:type="dxa"/>
                    <w:left w:w="0" w:type="dxa"/>
                    <w:bottom w:w="0" w:type="dxa"/>
                    <w:right w:w="0" w:type="dxa"/>
                  </w:tcMar>
                  <w:vAlign w:val="center"/>
                </w:tcPr>
                <w:p w14:paraId="6A019594">
                  <w:pPr>
                    <w:pStyle w:val="15"/>
                    <w:keepNext w:val="0"/>
                    <w:keepLines/>
                    <w:pageBreakBefore w:val="0"/>
                    <w:widowControl/>
                    <w:kinsoku/>
                    <w:wordWrap/>
                    <w:overflowPunct/>
                    <w:topLinePunct/>
                    <w:autoSpaceDE w:val="0"/>
                    <w:autoSpaceDN w:val="0"/>
                    <w:bidi w:val="0"/>
                    <w:adjustRightInd w:val="0"/>
                    <w:snapToGrid w:val="0"/>
                    <w:textAlignment w:val="baseline"/>
                  </w:pPr>
                  <w:r>
                    <w:t>规格型号</w:t>
                  </w:r>
                </w:p>
              </w:tc>
              <w:tc>
                <w:tcPr>
                  <w:tcW w:w="297" w:type="pct"/>
                  <w:noWrap w:val="0"/>
                  <w:tcMar>
                    <w:top w:w="0" w:type="dxa"/>
                    <w:left w:w="0" w:type="dxa"/>
                    <w:bottom w:w="0" w:type="dxa"/>
                    <w:right w:w="0" w:type="dxa"/>
                  </w:tcMar>
                  <w:vAlign w:val="center"/>
                </w:tcPr>
                <w:p w14:paraId="4BC63EBE">
                  <w:pPr>
                    <w:pStyle w:val="15"/>
                    <w:keepNext w:val="0"/>
                    <w:keepLines/>
                    <w:pageBreakBefore w:val="0"/>
                    <w:widowControl/>
                    <w:kinsoku/>
                    <w:wordWrap/>
                    <w:overflowPunct/>
                    <w:topLinePunct/>
                    <w:autoSpaceDE w:val="0"/>
                    <w:autoSpaceDN w:val="0"/>
                    <w:bidi w:val="0"/>
                    <w:adjustRightInd w:val="0"/>
                    <w:snapToGrid w:val="0"/>
                    <w:textAlignment w:val="baseline"/>
                  </w:pPr>
                  <w:r>
                    <w:t>材质</w:t>
                  </w:r>
                </w:p>
              </w:tc>
              <w:tc>
                <w:tcPr>
                  <w:tcW w:w="220" w:type="pct"/>
                  <w:noWrap w:val="0"/>
                  <w:tcMar>
                    <w:top w:w="0" w:type="dxa"/>
                    <w:left w:w="0" w:type="dxa"/>
                    <w:bottom w:w="0" w:type="dxa"/>
                    <w:right w:w="0" w:type="dxa"/>
                  </w:tcMar>
                  <w:vAlign w:val="center"/>
                </w:tcPr>
                <w:p w14:paraId="5BDECFCA">
                  <w:pPr>
                    <w:pStyle w:val="15"/>
                    <w:keepNext w:val="0"/>
                    <w:keepLines/>
                    <w:pageBreakBefore w:val="0"/>
                    <w:widowControl/>
                    <w:kinsoku/>
                    <w:wordWrap/>
                    <w:overflowPunct/>
                    <w:topLinePunct/>
                    <w:autoSpaceDE w:val="0"/>
                    <w:autoSpaceDN w:val="0"/>
                    <w:bidi w:val="0"/>
                    <w:adjustRightInd w:val="0"/>
                    <w:snapToGrid w:val="0"/>
                    <w:textAlignment w:val="baseline"/>
                  </w:pPr>
                  <w:r>
                    <w:t>数量</w:t>
                  </w:r>
                </w:p>
              </w:tc>
              <w:tc>
                <w:tcPr>
                  <w:tcW w:w="693" w:type="pct"/>
                  <w:noWrap w:val="0"/>
                  <w:tcMar>
                    <w:top w:w="0" w:type="dxa"/>
                    <w:left w:w="0" w:type="dxa"/>
                    <w:bottom w:w="0" w:type="dxa"/>
                    <w:right w:w="0" w:type="dxa"/>
                  </w:tcMar>
                  <w:vAlign w:val="center"/>
                </w:tcPr>
                <w:p w14:paraId="13819304">
                  <w:pPr>
                    <w:pStyle w:val="15"/>
                    <w:keepNext w:val="0"/>
                    <w:keepLines/>
                    <w:pageBreakBefore w:val="0"/>
                    <w:widowControl/>
                    <w:kinsoku/>
                    <w:wordWrap/>
                    <w:overflowPunct/>
                    <w:topLinePunct/>
                    <w:autoSpaceDE w:val="0"/>
                    <w:autoSpaceDN w:val="0"/>
                    <w:bidi w:val="0"/>
                    <w:adjustRightInd w:val="0"/>
                    <w:snapToGrid w:val="0"/>
                    <w:textAlignment w:val="baseline"/>
                  </w:pPr>
                  <w:r>
                    <w:t>工作温度/</w:t>
                  </w:r>
                </w:p>
                <w:p w14:paraId="62D382B8">
                  <w:pPr>
                    <w:pStyle w:val="15"/>
                    <w:keepNext w:val="0"/>
                    <w:keepLines/>
                    <w:pageBreakBefore w:val="0"/>
                    <w:widowControl/>
                    <w:kinsoku/>
                    <w:wordWrap/>
                    <w:overflowPunct/>
                    <w:topLinePunct/>
                    <w:autoSpaceDE w:val="0"/>
                    <w:autoSpaceDN w:val="0"/>
                    <w:bidi w:val="0"/>
                    <w:adjustRightInd w:val="0"/>
                    <w:snapToGrid w:val="0"/>
                    <w:textAlignment w:val="baseline"/>
                  </w:pPr>
                  <w:r>
                    <w:t>设计温度（℃）</w:t>
                  </w:r>
                </w:p>
              </w:tc>
              <w:tc>
                <w:tcPr>
                  <w:tcW w:w="1047" w:type="pct"/>
                  <w:noWrap w:val="0"/>
                  <w:tcMar>
                    <w:top w:w="0" w:type="dxa"/>
                    <w:left w:w="0" w:type="dxa"/>
                    <w:bottom w:w="0" w:type="dxa"/>
                    <w:right w:w="0" w:type="dxa"/>
                  </w:tcMar>
                  <w:vAlign w:val="center"/>
                </w:tcPr>
                <w:p w14:paraId="748AC331">
                  <w:pPr>
                    <w:pStyle w:val="15"/>
                    <w:keepNext w:val="0"/>
                    <w:keepLines/>
                    <w:pageBreakBefore w:val="0"/>
                    <w:widowControl/>
                    <w:kinsoku/>
                    <w:wordWrap/>
                    <w:overflowPunct/>
                    <w:topLinePunct/>
                    <w:autoSpaceDE w:val="0"/>
                    <w:autoSpaceDN w:val="0"/>
                    <w:bidi w:val="0"/>
                    <w:adjustRightInd w:val="0"/>
                    <w:snapToGrid w:val="0"/>
                    <w:textAlignment w:val="baseline"/>
                  </w:pPr>
                  <w:r>
                    <w:t>工作压力/</w:t>
                  </w:r>
                </w:p>
                <w:p w14:paraId="31DAD454">
                  <w:pPr>
                    <w:pStyle w:val="15"/>
                    <w:keepNext w:val="0"/>
                    <w:keepLines/>
                    <w:pageBreakBefore w:val="0"/>
                    <w:widowControl/>
                    <w:kinsoku/>
                    <w:wordWrap/>
                    <w:overflowPunct/>
                    <w:topLinePunct/>
                    <w:autoSpaceDE w:val="0"/>
                    <w:autoSpaceDN w:val="0"/>
                    <w:bidi w:val="0"/>
                    <w:adjustRightInd w:val="0"/>
                    <w:snapToGrid w:val="0"/>
                    <w:textAlignment w:val="baseline"/>
                  </w:pPr>
                  <w:r>
                    <w:t>设计压力（</w:t>
                  </w:r>
                  <w:r>
                    <w:rPr>
                      <w:rFonts w:hint="eastAsia"/>
                    </w:rPr>
                    <w:t>MPa</w:t>
                  </w:r>
                  <w:r>
                    <w:t>）</w:t>
                  </w:r>
                </w:p>
              </w:tc>
              <w:tc>
                <w:tcPr>
                  <w:tcW w:w="421" w:type="pct"/>
                  <w:noWrap w:val="0"/>
                  <w:tcMar>
                    <w:top w:w="0" w:type="dxa"/>
                    <w:left w:w="0" w:type="dxa"/>
                    <w:bottom w:w="0" w:type="dxa"/>
                    <w:right w:w="0" w:type="dxa"/>
                  </w:tcMar>
                  <w:vAlign w:val="center"/>
                </w:tcPr>
                <w:p w14:paraId="33FBBC91">
                  <w:pPr>
                    <w:pStyle w:val="15"/>
                    <w:keepNext w:val="0"/>
                    <w:keepLines/>
                    <w:pageBreakBefore w:val="0"/>
                    <w:widowControl/>
                    <w:kinsoku/>
                    <w:wordWrap/>
                    <w:overflowPunct/>
                    <w:topLinePunct/>
                    <w:autoSpaceDE w:val="0"/>
                    <w:autoSpaceDN w:val="0"/>
                    <w:bidi w:val="0"/>
                    <w:adjustRightInd w:val="0"/>
                    <w:snapToGrid w:val="0"/>
                    <w:textAlignment w:val="baseline"/>
                  </w:pPr>
                  <w:r>
                    <w:t>工作介质</w:t>
                  </w:r>
                </w:p>
              </w:tc>
              <w:tc>
                <w:tcPr>
                  <w:tcW w:w="301" w:type="pct"/>
                  <w:noWrap w:val="0"/>
                  <w:tcMar>
                    <w:top w:w="0" w:type="dxa"/>
                    <w:left w:w="0" w:type="dxa"/>
                    <w:bottom w:w="0" w:type="dxa"/>
                    <w:right w:w="0" w:type="dxa"/>
                  </w:tcMar>
                  <w:vAlign w:val="center"/>
                </w:tcPr>
                <w:p w14:paraId="79F25364">
                  <w:pPr>
                    <w:pStyle w:val="15"/>
                    <w:keepNext w:val="0"/>
                    <w:keepLines/>
                    <w:pageBreakBefore w:val="0"/>
                    <w:widowControl/>
                    <w:kinsoku/>
                    <w:wordWrap/>
                    <w:overflowPunct/>
                    <w:topLinePunct/>
                    <w:autoSpaceDE w:val="0"/>
                    <w:autoSpaceDN w:val="0"/>
                    <w:bidi w:val="0"/>
                    <w:adjustRightInd w:val="0"/>
                    <w:snapToGrid w:val="0"/>
                    <w:textAlignment w:val="baseline"/>
                  </w:pPr>
                  <w:r>
                    <w:t>备注</w:t>
                  </w:r>
                </w:p>
              </w:tc>
            </w:tr>
            <w:tr w14:paraId="4FE0A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9"/>
                  <w:noWrap w:val="0"/>
                  <w:tcMar>
                    <w:top w:w="0" w:type="dxa"/>
                    <w:left w:w="0" w:type="dxa"/>
                    <w:bottom w:w="0" w:type="dxa"/>
                    <w:right w:w="0" w:type="dxa"/>
                  </w:tcMar>
                  <w:vAlign w:val="center"/>
                </w:tcPr>
                <w:p w14:paraId="779377E3">
                  <w:pPr>
                    <w:pStyle w:val="15"/>
                    <w:keepNext w:val="0"/>
                    <w:keepLines/>
                    <w:pageBreakBefore w:val="0"/>
                    <w:widowControl/>
                    <w:kinsoku/>
                    <w:wordWrap/>
                    <w:overflowPunct/>
                    <w:topLinePunct/>
                    <w:autoSpaceDE w:val="0"/>
                    <w:autoSpaceDN w:val="0"/>
                    <w:bidi w:val="0"/>
                    <w:adjustRightInd w:val="0"/>
                    <w:snapToGrid w:val="0"/>
                    <w:textAlignment w:val="baseline"/>
                  </w:pPr>
                  <w:r>
                    <w:t>储罐区</w:t>
                  </w:r>
                </w:p>
              </w:tc>
            </w:tr>
            <w:tr w14:paraId="2B887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5" w:type="pct"/>
                  <w:noWrap w:val="0"/>
                  <w:tcMar>
                    <w:top w:w="0" w:type="dxa"/>
                    <w:left w:w="0" w:type="dxa"/>
                    <w:bottom w:w="0" w:type="dxa"/>
                    <w:right w:w="0" w:type="dxa"/>
                  </w:tcMar>
                  <w:vAlign w:val="center"/>
                </w:tcPr>
                <w:p w14:paraId="31CF2598">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lang w:val="en-US" w:eastAsia="zh-CN"/>
                    </w:rPr>
                  </w:pPr>
                  <w:r>
                    <w:rPr>
                      <w:rFonts w:hint="eastAsia"/>
                      <w:lang w:val="en-US" w:eastAsia="zh-CN"/>
                    </w:rPr>
                    <w:t>1</w:t>
                  </w:r>
                </w:p>
              </w:tc>
              <w:tc>
                <w:tcPr>
                  <w:tcW w:w="563" w:type="pct"/>
                  <w:noWrap w:val="0"/>
                  <w:tcMar>
                    <w:top w:w="0" w:type="dxa"/>
                    <w:left w:w="0" w:type="dxa"/>
                    <w:bottom w:w="0" w:type="dxa"/>
                    <w:right w:w="0" w:type="dxa"/>
                  </w:tcMar>
                  <w:vAlign w:val="center"/>
                </w:tcPr>
                <w:p w14:paraId="3150460B">
                  <w:pPr>
                    <w:pStyle w:val="15"/>
                    <w:keepNext w:val="0"/>
                    <w:keepLines/>
                    <w:pageBreakBefore w:val="0"/>
                    <w:widowControl/>
                    <w:kinsoku/>
                    <w:wordWrap/>
                    <w:overflowPunct/>
                    <w:topLinePunct/>
                    <w:autoSpaceDE w:val="0"/>
                    <w:autoSpaceDN w:val="0"/>
                    <w:bidi w:val="0"/>
                    <w:adjustRightInd w:val="0"/>
                    <w:snapToGrid w:val="0"/>
                    <w:textAlignment w:val="baseline"/>
                  </w:pPr>
                  <w:r>
                    <w:t>31%盐酸储罐</w:t>
                  </w:r>
                </w:p>
              </w:tc>
              <w:tc>
                <w:tcPr>
                  <w:tcW w:w="1229" w:type="pct"/>
                  <w:noWrap w:val="0"/>
                  <w:tcMar>
                    <w:top w:w="0" w:type="dxa"/>
                    <w:left w:w="0" w:type="dxa"/>
                    <w:bottom w:w="0" w:type="dxa"/>
                    <w:right w:w="0" w:type="dxa"/>
                  </w:tcMar>
                  <w:vAlign w:val="center"/>
                </w:tcPr>
                <w:p w14:paraId="72B85238">
                  <w:pPr>
                    <w:pStyle w:val="15"/>
                    <w:keepNext w:val="0"/>
                    <w:keepLines/>
                    <w:pageBreakBefore w:val="0"/>
                    <w:widowControl/>
                    <w:kinsoku/>
                    <w:wordWrap/>
                    <w:overflowPunct/>
                    <w:topLinePunct/>
                    <w:autoSpaceDE w:val="0"/>
                    <w:autoSpaceDN w:val="0"/>
                    <w:bidi w:val="0"/>
                    <w:adjustRightInd w:val="0"/>
                    <w:snapToGrid w:val="0"/>
                    <w:textAlignment w:val="baseline"/>
                  </w:pPr>
                  <w:r>
                    <w:t>立式，200</w:t>
                  </w:r>
                  <w:r>
                    <w:rPr>
                      <w:rFonts w:hint="eastAsia"/>
                      <w:lang w:eastAsia="zh-CN"/>
                    </w:rPr>
                    <w:t>m³</w:t>
                  </w:r>
                  <w:r>
                    <w:t>，Φ6400*6400</w:t>
                  </w:r>
                </w:p>
              </w:tc>
              <w:tc>
                <w:tcPr>
                  <w:tcW w:w="297" w:type="pct"/>
                  <w:noWrap w:val="0"/>
                  <w:tcMar>
                    <w:top w:w="0" w:type="dxa"/>
                    <w:left w:w="0" w:type="dxa"/>
                    <w:bottom w:w="0" w:type="dxa"/>
                    <w:right w:w="0" w:type="dxa"/>
                  </w:tcMar>
                  <w:vAlign w:val="center"/>
                </w:tcPr>
                <w:p w14:paraId="081C8374">
                  <w:pPr>
                    <w:pStyle w:val="15"/>
                    <w:keepNext w:val="0"/>
                    <w:keepLines/>
                    <w:pageBreakBefore w:val="0"/>
                    <w:widowControl/>
                    <w:kinsoku/>
                    <w:wordWrap/>
                    <w:overflowPunct/>
                    <w:topLinePunct/>
                    <w:autoSpaceDE w:val="0"/>
                    <w:autoSpaceDN w:val="0"/>
                    <w:bidi w:val="0"/>
                    <w:adjustRightInd w:val="0"/>
                    <w:snapToGrid w:val="0"/>
                    <w:textAlignment w:val="baseline"/>
                    <w:rPr>
                      <w:lang w:val="zh-CN"/>
                    </w:rPr>
                  </w:pPr>
                  <w:r>
                    <w:rPr>
                      <w:lang w:val="zh-CN"/>
                    </w:rPr>
                    <w:t>玻璃钢</w:t>
                  </w:r>
                </w:p>
              </w:tc>
              <w:tc>
                <w:tcPr>
                  <w:tcW w:w="220" w:type="pct"/>
                  <w:noWrap w:val="0"/>
                  <w:tcMar>
                    <w:top w:w="0" w:type="dxa"/>
                    <w:left w:w="0" w:type="dxa"/>
                    <w:bottom w:w="0" w:type="dxa"/>
                    <w:right w:w="0" w:type="dxa"/>
                  </w:tcMar>
                  <w:vAlign w:val="center"/>
                </w:tcPr>
                <w:p w14:paraId="26D28012">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eastAsia="zh-CN"/>
                    </w:rPr>
                  </w:pPr>
                  <w:r>
                    <w:rPr>
                      <w:rFonts w:hint="eastAsia"/>
                      <w:lang w:val="en-US" w:eastAsia="zh-CN"/>
                    </w:rPr>
                    <w:t>2</w:t>
                  </w:r>
                </w:p>
              </w:tc>
              <w:tc>
                <w:tcPr>
                  <w:tcW w:w="693" w:type="pct"/>
                  <w:noWrap w:val="0"/>
                  <w:tcMar>
                    <w:top w:w="0" w:type="dxa"/>
                    <w:left w:w="0" w:type="dxa"/>
                    <w:bottom w:w="0" w:type="dxa"/>
                    <w:right w:w="0" w:type="dxa"/>
                  </w:tcMar>
                  <w:vAlign w:val="center"/>
                </w:tcPr>
                <w:p w14:paraId="3DB04FD0">
                  <w:pPr>
                    <w:pStyle w:val="15"/>
                    <w:keepNext w:val="0"/>
                    <w:keepLines/>
                    <w:pageBreakBefore w:val="0"/>
                    <w:widowControl/>
                    <w:kinsoku/>
                    <w:wordWrap/>
                    <w:overflowPunct/>
                    <w:topLinePunct/>
                    <w:autoSpaceDE w:val="0"/>
                    <w:autoSpaceDN w:val="0"/>
                    <w:bidi w:val="0"/>
                    <w:adjustRightInd w:val="0"/>
                    <w:snapToGrid w:val="0"/>
                    <w:textAlignment w:val="baseline"/>
                  </w:pPr>
                  <w:r>
                    <w:t>常温/50</w:t>
                  </w:r>
                </w:p>
              </w:tc>
              <w:tc>
                <w:tcPr>
                  <w:tcW w:w="1047" w:type="pct"/>
                  <w:noWrap w:val="0"/>
                  <w:tcMar>
                    <w:top w:w="0" w:type="dxa"/>
                    <w:left w:w="0" w:type="dxa"/>
                    <w:bottom w:w="0" w:type="dxa"/>
                    <w:right w:w="0" w:type="dxa"/>
                  </w:tcMar>
                  <w:vAlign w:val="center"/>
                </w:tcPr>
                <w:p w14:paraId="54AEEFF1">
                  <w:pPr>
                    <w:pStyle w:val="15"/>
                    <w:keepNext w:val="0"/>
                    <w:keepLines/>
                    <w:pageBreakBefore w:val="0"/>
                    <w:widowControl/>
                    <w:kinsoku/>
                    <w:wordWrap/>
                    <w:overflowPunct/>
                    <w:topLinePunct/>
                    <w:autoSpaceDE w:val="0"/>
                    <w:autoSpaceDN w:val="0"/>
                    <w:bidi w:val="0"/>
                    <w:adjustRightInd w:val="0"/>
                    <w:snapToGrid w:val="0"/>
                    <w:textAlignment w:val="baseline"/>
                    <w:rPr>
                      <w:rFonts w:hint="eastAsia"/>
                    </w:rPr>
                  </w:pPr>
                  <w:r>
                    <w:rPr>
                      <w:rFonts w:hint="eastAsia"/>
                    </w:rPr>
                    <w:t>-0.00006</w:t>
                  </w:r>
                  <w:r>
                    <w:rPr>
                      <w:rFonts w:hint="eastAsia"/>
                      <w:lang w:eastAsia="zh-CN"/>
                    </w:rPr>
                    <w:t>~</w:t>
                  </w:r>
                  <w:r>
                    <w:t>0.00</w:t>
                  </w:r>
                  <w:r>
                    <w:rPr>
                      <w:rFonts w:hint="eastAsia"/>
                    </w:rPr>
                    <w:t>03</w:t>
                  </w:r>
                </w:p>
                <w:p w14:paraId="42AB0976">
                  <w:pPr>
                    <w:pStyle w:val="15"/>
                    <w:keepNext w:val="0"/>
                    <w:keepLines/>
                    <w:pageBreakBefore w:val="0"/>
                    <w:widowControl/>
                    <w:kinsoku/>
                    <w:wordWrap/>
                    <w:overflowPunct/>
                    <w:topLinePunct/>
                    <w:autoSpaceDE w:val="0"/>
                    <w:autoSpaceDN w:val="0"/>
                    <w:bidi w:val="0"/>
                    <w:adjustRightInd w:val="0"/>
                    <w:snapToGrid w:val="0"/>
                    <w:textAlignment w:val="baseline"/>
                  </w:pPr>
                  <w:r>
                    <w:t>/</w:t>
                  </w:r>
                  <w:r>
                    <w:rPr>
                      <w:rFonts w:hint="eastAsia"/>
                    </w:rPr>
                    <w:t>-0.00007</w:t>
                  </w:r>
                  <w:r>
                    <w:rPr>
                      <w:rFonts w:hint="eastAsia"/>
                      <w:lang w:eastAsia="zh-CN"/>
                    </w:rPr>
                    <w:t>~</w:t>
                  </w:r>
                  <w:r>
                    <w:t>0.00</w:t>
                  </w:r>
                  <w:r>
                    <w:rPr>
                      <w:rFonts w:hint="eastAsia"/>
                    </w:rPr>
                    <w:t>033</w:t>
                  </w:r>
                </w:p>
              </w:tc>
              <w:tc>
                <w:tcPr>
                  <w:tcW w:w="421" w:type="pct"/>
                  <w:noWrap w:val="0"/>
                  <w:tcMar>
                    <w:top w:w="0" w:type="dxa"/>
                    <w:left w:w="0" w:type="dxa"/>
                    <w:bottom w:w="0" w:type="dxa"/>
                    <w:right w:w="0" w:type="dxa"/>
                  </w:tcMar>
                  <w:vAlign w:val="center"/>
                </w:tcPr>
                <w:p w14:paraId="2866FBBD">
                  <w:pPr>
                    <w:pStyle w:val="15"/>
                    <w:keepNext w:val="0"/>
                    <w:keepLines/>
                    <w:pageBreakBefore w:val="0"/>
                    <w:widowControl/>
                    <w:kinsoku/>
                    <w:wordWrap/>
                    <w:overflowPunct/>
                    <w:topLinePunct/>
                    <w:autoSpaceDE w:val="0"/>
                    <w:autoSpaceDN w:val="0"/>
                    <w:bidi w:val="0"/>
                    <w:adjustRightInd w:val="0"/>
                    <w:snapToGrid w:val="0"/>
                    <w:textAlignment w:val="baseline"/>
                  </w:pPr>
                  <w:r>
                    <w:t>31%盐酸</w:t>
                  </w:r>
                </w:p>
              </w:tc>
              <w:tc>
                <w:tcPr>
                  <w:tcW w:w="301" w:type="pct"/>
                  <w:noWrap w:val="0"/>
                  <w:tcMar>
                    <w:top w:w="0" w:type="dxa"/>
                    <w:left w:w="0" w:type="dxa"/>
                    <w:bottom w:w="0" w:type="dxa"/>
                    <w:right w:w="0" w:type="dxa"/>
                  </w:tcMar>
                  <w:vAlign w:val="center"/>
                </w:tcPr>
                <w:p w14:paraId="3AF2DD20">
                  <w:pPr>
                    <w:pStyle w:val="15"/>
                    <w:keepNext w:val="0"/>
                    <w:keepLines/>
                    <w:pageBreakBefore w:val="0"/>
                    <w:widowControl/>
                    <w:kinsoku/>
                    <w:wordWrap/>
                    <w:overflowPunct/>
                    <w:topLinePunct/>
                    <w:autoSpaceDE w:val="0"/>
                    <w:autoSpaceDN w:val="0"/>
                    <w:bidi w:val="0"/>
                    <w:adjustRightInd w:val="0"/>
                    <w:snapToGrid w:val="0"/>
                    <w:textAlignment w:val="baseline"/>
                  </w:pPr>
                  <w:r>
                    <w:t>固定顶</w:t>
                  </w:r>
                </w:p>
              </w:tc>
            </w:tr>
          </w:tbl>
          <w:p w14:paraId="58D14705">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6.扩建后主要原辅材料及能源的种类和用量</w:t>
            </w:r>
          </w:p>
          <w:p w14:paraId="26E308E5">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盐酸储罐后，全厂原辅材料及能源消耗不发生变化。</w:t>
            </w:r>
          </w:p>
          <w:p w14:paraId="19D780C4">
            <w:pPr>
              <w:pStyle w:val="4"/>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6.1扩建后全厂主要原辅材料</w:t>
            </w:r>
          </w:p>
          <w:p w14:paraId="510FA31D">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盐酸储罐后，全厂原辅材料消耗未发生变化，具体情况见下表8。</w:t>
            </w:r>
          </w:p>
          <w:p w14:paraId="034A3EAB">
            <w:pPr>
              <w:pStyle w:val="16"/>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t xml:space="preserve">表 </w:t>
            </w:r>
            <w:r>
              <w:fldChar w:fldCharType="begin"/>
            </w:r>
            <w:r>
              <w:instrText xml:space="preserve"> SEQ 表 \* ARABIC </w:instrText>
            </w:r>
            <w:r>
              <w:fldChar w:fldCharType="separate"/>
            </w:r>
            <w:r>
              <w:t>8</w:t>
            </w:r>
            <w:r>
              <w:fldChar w:fldCharType="end"/>
            </w:r>
            <w:r>
              <w:rPr>
                <w:rFonts w:hint="eastAsia"/>
                <w:lang w:val="en-US" w:eastAsia="zh-CN"/>
              </w:rPr>
              <w:t xml:space="preserve">  </w:t>
            </w:r>
            <w:r>
              <w:rPr>
                <w:rFonts w:hint="default"/>
                <w:lang w:val="en-US" w:eastAsia="zh-CN"/>
              </w:rPr>
              <w:t>扩建</w:t>
            </w:r>
            <w:r>
              <w:rPr>
                <w:rFonts w:hint="eastAsia"/>
                <w:lang w:val="en-US" w:eastAsia="zh-CN"/>
              </w:rPr>
              <w:t>后全厂原辅材料消耗情况</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9"/>
              <w:gridCol w:w="1095"/>
              <w:gridCol w:w="350"/>
              <w:gridCol w:w="1692"/>
              <w:gridCol w:w="612"/>
              <w:gridCol w:w="882"/>
              <w:gridCol w:w="620"/>
              <w:gridCol w:w="2276"/>
            </w:tblGrid>
            <w:tr w14:paraId="6C689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228" w:type="pct"/>
                  <w:tcBorders>
                    <w:tl2br w:val="nil"/>
                    <w:tr2bl w:val="nil"/>
                  </w:tcBorders>
                  <w:shd w:val="clear" w:color="auto" w:fill="auto"/>
                  <w:noWrap w:val="0"/>
                  <w:tcMar>
                    <w:top w:w="0" w:type="dxa"/>
                    <w:left w:w="0" w:type="dxa"/>
                    <w:bottom w:w="0" w:type="dxa"/>
                    <w:right w:w="0" w:type="dxa"/>
                  </w:tcMar>
                  <w:vAlign w:val="center"/>
                </w:tcPr>
                <w:p w14:paraId="619F658C">
                  <w:pPr>
                    <w:pStyle w:val="15"/>
                    <w:keepNext w:val="0"/>
                    <w:keepLines/>
                    <w:pageBreakBefore w:val="0"/>
                    <w:widowControl/>
                    <w:kinsoku/>
                    <w:wordWrap/>
                    <w:overflowPunct/>
                    <w:topLinePunct/>
                    <w:autoSpaceDE w:val="0"/>
                    <w:autoSpaceDN w:val="0"/>
                    <w:bidi w:val="0"/>
                    <w:adjustRightInd w:val="0"/>
                    <w:snapToGrid w:val="0"/>
                    <w:ind w:left="0" w:leftChars="0" w:firstLine="0" w:firstLineChars="0"/>
                    <w:textAlignment w:val="baseline"/>
                    <w:rPr>
                      <w:rFonts w:ascii="Times New Roman" w:hAnsi="Times New Roman" w:eastAsia="宋体" w:cs="Times New Roman"/>
                      <w:color w:val="auto"/>
                      <w:sz w:val="21"/>
                      <w:szCs w:val="21"/>
                    </w:rPr>
                  </w:pPr>
                  <w:r>
                    <w:rPr>
                      <w:color w:val="auto"/>
                    </w:rPr>
                    <w:t>序号</w:t>
                  </w:r>
                </w:p>
              </w:tc>
              <w:tc>
                <w:tcPr>
                  <w:tcW w:w="694" w:type="pct"/>
                  <w:tcBorders>
                    <w:tl2br w:val="nil"/>
                    <w:tr2bl w:val="nil"/>
                  </w:tcBorders>
                  <w:noWrap w:val="0"/>
                  <w:tcMar>
                    <w:top w:w="0" w:type="dxa"/>
                    <w:left w:w="0" w:type="dxa"/>
                    <w:bottom w:w="0" w:type="dxa"/>
                    <w:right w:w="0" w:type="dxa"/>
                  </w:tcMar>
                  <w:vAlign w:val="center"/>
                </w:tcPr>
                <w:p w14:paraId="5E8B4B4B">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物料名称</w:t>
                  </w:r>
                </w:p>
              </w:tc>
              <w:tc>
                <w:tcPr>
                  <w:tcW w:w="222" w:type="pct"/>
                  <w:tcBorders>
                    <w:tl2br w:val="nil"/>
                    <w:tr2bl w:val="nil"/>
                  </w:tcBorders>
                  <w:noWrap w:val="0"/>
                  <w:tcMar>
                    <w:top w:w="0" w:type="dxa"/>
                    <w:left w:w="0" w:type="dxa"/>
                    <w:bottom w:w="0" w:type="dxa"/>
                    <w:right w:w="0" w:type="dxa"/>
                  </w:tcMar>
                  <w:vAlign w:val="center"/>
                </w:tcPr>
                <w:p w14:paraId="06000FBB">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形态</w:t>
                  </w:r>
                </w:p>
              </w:tc>
              <w:tc>
                <w:tcPr>
                  <w:tcW w:w="1073" w:type="pct"/>
                  <w:tcBorders>
                    <w:tl2br w:val="nil"/>
                    <w:tr2bl w:val="nil"/>
                  </w:tcBorders>
                  <w:noWrap w:val="0"/>
                  <w:tcMar>
                    <w:top w:w="0" w:type="dxa"/>
                    <w:left w:w="0" w:type="dxa"/>
                    <w:bottom w:w="0" w:type="dxa"/>
                    <w:right w:w="0" w:type="dxa"/>
                  </w:tcMar>
                  <w:vAlign w:val="center"/>
                </w:tcPr>
                <w:p w14:paraId="4E6A5076">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储存</w:t>
                  </w:r>
                  <w:r>
                    <w:rPr>
                      <w:color w:val="auto"/>
                    </w:rPr>
                    <w:t>方式</w:t>
                  </w:r>
                </w:p>
              </w:tc>
              <w:tc>
                <w:tcPr>
                  <w:tcW w:w="388" w:type="pct"/>
                  <w:tcBorders>
                    <w:tl2br w:val="nil"/>
                    <w:tr2bl w:val="nil"/>
                  </w:tcBorders>
                  <w:noWrap w:val="0"/>
                  <w:tcMar>
                    <w:top w:w="0" w:type="dxa"/>
                    <w:left w:w="0" w:type="dxa"/>
                    <w:bottom w:w="0" w:type="dxa"/>
                    <w:right w:w="0" w:type="dxa"/>
                  </w:tcMar>
                  <w:vAlign w:val="center"/>
                </w:tcPr>
                <w:p w14:paraId="656D2778">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运输</w:t>
                  </w:r>
                  <w:r>
                    <w:rPr>
                      <w:color w:val="auto"/>
                    </w:rPr>
                    <w:t>方式</w:t>
                  </w:r>
                </w:p>
              </w:tc>
              <w:tc>
                <w:tcPr>
                  <w:tcW w:w="559" w:type="pct"/>
                  <w:tcBorders>
                    <w:tl2br w:val="nil"/>
                    <w:tr2bl w:val="nil"/>
                  </w:tcBorders>
                  <w:noWrap w:val="0"/>
                  <w:tcMar>
                    <w:top w:w="0" w:type="dxa"/>
                    <w:left w:w="0" w:type="dxa"/>
                    <w:bottom w:w="0" w:type="dxa"/>
                    <w:right w:w="0" w:type="dxa"/>
                  </w:tcMar>
                  <w:vAlign w:val="center"/>
                </w:tcPr>
                <w:p w14:paraId="3301041F">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设计消耗量</w:t>
                  </w:r>
                </w:p>
                <w:p w14:paraId="49C78EB0">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t/a</w:t>
                  </w:r>
                </w:p>
              </w:tc>
              <w:tc>
                <w:tcPr>
                  <w:tcW w:w="393" w:type="pct"/>
                  <w:tcBorders>
                    <w:tl2br w:val="nil"/>
                    <w:tr2bl w:val="nil"/>
                  </w:tcBorders>
                  <w:noWrap w:val="0"/>
                  <w:tcMar>
                    <w:top w:w="0" w:type="dxa"/>
                    <w:left w:w="0" w:type="dxa"/>
                    <w:bottom w:w="0" w:type="dxa"/>
                    <w:right w:w="0" w:type="dxa"/>
                  </w:tcMar>
                  <w:vAlign w:val="center"/>
                </w:tcPr>
                <w:p w14:paraId="3D007181">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储存量</w:t>
                  </w:r>
                </w:p>
                <w:p w14:paraId="215C061C">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t</w:t>
                  </w:r>
                </w:p>
              </w:tc>
              <w:tc>
                <w:tcPr>
                  <w:tcW w:w="1439" w:type="pct"/>
                  <w:tcBorders>
                    <w:tl2br w:val="nil"/>
                    <w:tr2bl w:val="nil"/>
                  </w:tcBorders>
                  <w:noWrap w:val="0"/>
                  <w:tcMar>
                    <w:top w:w="0" w:type="dxa"/>
                    <w:left w:w="0" w:type="dxa"/>
                    <w:bottom w:w="0" w:type="dxa"/>
                    <w:right w:w="0" w:type="dxa"/>
                  </w:tcMar>
                  <w:vAlign w:val="center"/>
                </w:tcPr>
                <w:p w14:paraId="30002537">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来源</w:t>
                  </w:r>
                </w:p>
              </w:tc>
            </w:tr>
            <w:tr w14:paraId="3B395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328CD03E">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1</w:t>
                  </w:r>
                </w:p>
              </w:tc>
              <w:tc>
                <w:tcPr>
                  <w:tcW w:w="694" w:type="pct"/>
                  <w:tcBorders>
                    <w:tl2br w:val="nil"/>
                    <w:tr2bl w:val="nil"/>
                  </w:tcBorders>
                  <w:noWrap w:val="0"/>
                  <w:tcMar>
                    <w:top w:w="0" w:type="dxa"/>
                    <w:left w:w="0" w:type="dxa"/>
                    <w:bottom w:w="0" w:type="dxa"/>
                    <w:right w:w="0" w:type="dxa"/>
                  </w:tcMar>
                  <w:vAlign w:val="center"/>
                </w:tcPr>
                <w:p w14:paraId="31790775">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甲醇</w:t>
                  </w:r>
                </w:p>
              </w:tc>
              <w:tc>
                <w:tcPr>
                  <w:tcW w:w="222" w:type="pct"/>
                  <w:tcBorders>
                    <w:tl2br w:val="nil"/>
                    <w:tr2bl w:val="nil"/>
                  </w:tcBorders>
                  <w:noWrap w:val="0"/>
                  <w:tcMar>
                    <w:top w:w="0" w:type="dxa"/>
                    <w:left w:w="0" w:type="dxa"/>
                    <w:bottom w:w="0" w:type="dxa"/>
                    <w:right w:w="0" w:type="dxa"/>
                  </w:tcMar>
                  <w:vAlign w:val="center"/>
                </w:tcPr>
                <w:p w14:paraId="596555E7">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液态</w:t>
                  </w:r>
                </w:p>
              </w:tc>
              <w:tc>
                <w:tcPr>
                  <w:tcW w:w="1073" w:type="pct"/>
                  <w:tcBorders>
                    <w:tl2br w:val="nil"/>
                    <w:tr2bl w:val="nil"/>
                  </w:tcBorders>
                  <w:noWrap w:val="0"/>
                  <w:tcMar>
                    <w:top w:w="0" w:type="dxa"/>
                    <w:left w:w="0" w:type="dxa"/>
                    <w:bottom w:w="0" w:type="dxa"/>
                    <w:right w:w="0" w:type="dxa"/>
                  </w:tcMar>
                  <w:vAlign w:val="center"/>
                </w:tcPr>
                <w:p w14:paraId="760D614F">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2×</w:t>
                  </w:r>
                  <w:r>
                    <w:rPr>
                      <w:rFonts w:hint="eastAsia"/>
                      <w:color w:val="auto"/>
                      <w:lang w:val="en-US" w:eastAsia="zh-CN"/>
                    </w:rPr>
                    <w:t>1</w:t>
                  </w:r>
                  <w:r>
                    <w:rPr>
                      <w:color w:val="auto"/>
                    </w:rPr>
                    <w:t>00</w:t>
                  </w:r>
                  <w:r>
                    <w:rPr>
                      <w:rFonts w:hint="eastAsia"/>
                      <w:color w:val="auto"/>
                      <w:lang w:eastAsia="zh-CN"/>
                    </w:rPr>
                    <w:t>m³</w:t>
                  </w:r>
                  <w:r>
                    <w:rPr>
                      <w:rFonts w:hint="eastAsia"/>
                      <w:color w:val="auto"/>
                      <w:lang w:val="en-US" w:eastAsia="zh-CN"/>
                    </w:rPr>
                    <w:t>立式固定</w:t>
                  </w:r>
                  <w:r>
                    <w:rPr>
                      <w:color w:val="auto"/>
                    </w:rPr>
                    <w:t>顶罐</w:t>
                  </w:r>
                </w:p>
              </w:tc>
              <w:tc>
                <w:tcPr>
                  <w:tcW w:w="388" w:type="pct"/>
                  <w:tcBorders>
                    <w:tl2br w:val="nil"/>
                    <w:tr2bl w:val="nil"/>
                  </w:tcBorders>
                  <w:noWrap w:val="0"/>
                  <w:tcMar>
                    <w:top w:w="0" w:type="dxa"/>
                    <w:left w:w="0" w:type="dxa"/>
                    <w:bottom w:w="0" w:type="dxa"/>
                    <w:right w:w="0" w:type="dxa"/>
                  </w:tcMar>
                  <w:vAlign w:val="center"/>
                </w:tcPr>
                <w:p w14:paraId="0DDA1BF2">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5CBC1A56">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2187.5</w:t>
                  </w:r>
                </w:p>
              </w:tc>
              <w:tc>
                <w:tcPr>
                  <w:tcW w:w="393" w:type="pct"/>
                  <w:tcBorders>
                    <w:tl2br w:val="nil"/>
                    <w:tr2bl w:val="nil"/>
                  </w:tcBorders>
                  <w:noWrap w:val="0"/>
                  <w:tcMar>
                    <w:top w:w="0" w:type="dxa"/>
                    <w:left w:w="0" w:type="dxa"/>
                    <w:bottom w:w="0" w:type="dxa"/>
                    <w:right w:w="0" w:type="dxa"/>
                  </w:tcMar>
                  <w:vAlign w:val="center"/>
                </w:tcPr>
                <w:p w14:paraId="708F0CD1">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27.94</w:t>
                  </w:r>
                </w:p>
              </w:tc>
              <w:tc>
                <w:tcPr>
                  <w:tcW w:w="1439" w:type="pct"/>
                  <w:tcBorders>
                    <w:tl2br w:val="nil"/>
                    <w:tr2bl w:val="nil"/>
                  </w:tcBorders>
                  <w:noWrap w:val="0"/>
                  <w:tcMar>
                    <w:top w:w="0" w:type="dxa"/>
                    <w:left w:w="0" w:type="dxa"/>
                    <w:bottom w:w="0" w:type="dxa"/>
                    <w:right w:w="0" w:type="dxa"/>
                  </w:tcMar>
                  <w:vAlign w:val="center"/>
                </w:tcPr>
                <w:p w14:paraId="0852BA69">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自产</w:t>
                  </w:r>
                </w:p>
              </w:tc>
            </w:tr>
            <w:tr w14:paraId="2AE5F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6DC5CB34">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2</w:t>
                  </w:r>
                </w:p>
              </w:tc>
              <w:tc>
                <w:tcPr>
                  <w:tcW w:w="694" w:type="pct"/>
                  <w:tcBorders>
                    <w:tl2br w:val="nil"/>
                    <w:tr2bl w:val="nil"/>
                  </w:tcBorders>
                  <w:noWrap w:val="0"/>
                  <w:tcMar>
                    <w:top w:w="0" w:type="dxa"/>
                    <w:left w:w="0" w:type="dxa"/>
                    <w:bottom w:w="0" w:type="dxa"/>
                    <w:right w:w="0" w:type="dxa"/>
                  </w:tcMar>
                  <w:vAlign w:val="center"/>
                </w:tcPr>
                <w:p w14:paraId="0C0FF9DA">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31</w:t>
                  </w:r>
                  <w:r>
                    <w:rPr>
                      <w:color w:val="auto"/>
                    </w:rPr>
                    <w:t>%盐酸</w:t>
                  </w:r>
                </w:p>
              </w:tc>
              <w:tc>
                <w:tcPr>
                  <w:tcW w:w="222" w:type="pct"/>
                  <w:tcBorders>
                    <w:tl2br w:val="nil"/>
                    <w:tr2bl w:val="nil"/>
                  </w:tcBorders>
                  <w:noWrap w:val="0"/>
                  <w:tcMar>
                    <w:top w:w="0" w:type="dxa"/>
                    <w:left w:w="0" w:type="dxa"/>
                    <w:bottom w:w="0" w:type="dxa"/>
                    <w:right w:w="0" w:type="dxa"/>
                  </w:tcMar>
                  <w:vAlign w:val="center"/>
                </w:tcPr>
                <w:p w14:paraId="5990ACB3">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液态</w:t>
                  </w:r>
                </w:p>
              </w:tc>
              <w:tc>
                <w:tcPr>
                  <w:tcW w:w="1073" w:type="pct"/>
                  <w:tcBorders>
                    <w:tl2br w:val="nil"/>
                    <w:tr2bl w:val="nil"/>
                  </w:tcBorders>
                  <w:noWrap w:val="0"/>
                  <w:tcMar>
                    <w:top w:w="0" w:type="dxa"/>
                    <w:left w:w="0" w:type="dxa"/>
                    <w:bottom w:w="0" w:type="dxa"/>
                    <w:right w:w="0" w:type="dxa"/>
                  </w:tcMar>
                  <w:vAlign w:val="center"/>
                </w:tcPr>
                <w:p w14:paraId="257444A9">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6</w:t>
                  </w:r>
                  <w:r>
                    <w:rPr>
                      <w:color w:val="auto"/>
                    </w:rPr>
                    <w:t>×200</w:t>
                  </w:r>
                  <w:r>
                    <w:rPr>
                      <w:rFonts w:hint="eastAsia"/>
                      <w:color w:val="auto"/>
                      <w:lang w:eastAsia="zh-CN"/>
                    </w:rPr>
                    <w:t>m³</w:t>
                  </w:r>
                  <w:r>
                    <w:rPr>
                      <w:rFonts w:hint="eastAsia"/>
                      <w:color w:val="auto"/>
                      <w:lang w:val="en-US" w:eastAsia="zh-CN"/>
                    </w:rPr>
                    <w:t>立式</w:t>
                  </w:r>
                  <w:r>
                    <w:rPr>
                      <w:color w:val="auto"/>
                    </w:rPr>
                    <w:t>固定顶罐</w:t>
                  </w:r>
                </w:p>
              </w:tc>
              <w:tc>
                <w:tcPr>
                  <w:tcW w:w="388" w:type="pct"/>
                  <w:tcBorders>
                    <w:tl2br w:val="nil"/>
                    <w:tr2bl w:val="nil"/>
                  </w:tcBorders>
                  <w:noWrap w:val="0"/>
                  <w:tcMar>
                    <w:top w:w="0" w:type="dxa"/>
                    <w:left w:w="0" w:type="dxa"/>
                    <w:bottom w:w="0" w:type="dxa"/>
                    <w:right w:w="0" w:type="dxa"/>
                  </w:tcMar>
                  <w:vAlign w:val="center"/>
                </w:tcPr>
                <w:p w14:paraId="585AD6DA">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3CBC6F47">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10184</w:t>
                  </w:r>
                </w:p>
              </w:tc>
              <w:tc>
                <w:tcPr>
                  <w:tcW w:w="393" w:type="pct"/>
                  <w:tcBorders>
                    <w:tl2br w:val="nil"/>
                    <w:tr2bl w:val="nil"/>
                  </w:tcBorders>
                  <w:noWrap w:val="0"/>
                  <w:tcMar>
                    <w:top w:w="0" w:type="dxa"/>
                    <w:left w:w="0" w:type="dxa"/>
                    <w:bottom w:w="0" w:type="dxa"/>
                    <w:right w:w="0" w:type="dxa"/>
                  </w:tcMar>
                  <w:vAlign w:val="center"/>
                </w:tcPr>
                <w:p w14:paraId="611C6452">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rPr>
                  </w:pPr>
                  <w:r>
                    <w:rPr>
                      <w:rFonts w:hint="eastAsia"/>
                      <w:color w:val="auto"/>
                      <w:lang w:val="en-US" w:eastAsia="zh-CN"/>
                    </w:rPr>
                    <w:t>1386</w:t>
                  </w:r>
                </w:p>
              </w:tc>
              <w:tc>
                <w:tcPr>
                  <w:tcW w:w="1439" w:type="pct"/>
                  <w:tcBorders>
                    <w:tl2br w:val="nil"/>
                    <w:tr2bl w:val="nil"/>
                  </w:tcBorders>
                  <w:noWrap w:val="0"/>
                  <w:tcMar>
                    <w:top w:w="0" w:type="dxa"/>
                    <w:left w:w="0" w:type="dxa"/>
                    <w:bottom w:w="0" w:type="dxa"/>
                    <w:right w:w="0" w:type="dxa"/>
                  </w:tcMar>
                  <w:vAlign w:val="center"/>
                </w:tcPr>
                <w:p w14:paraId="1B6B395C">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新疆曼海姆肥业有限责任公司</w:t>
                  </w:r>
                </w:p>
              </w:tc>
            </w:tr>
            <w:tr w14:paraId="268DF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593787FA">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3</w:t>
                  </w:r>
                </w:p>
              </w:tc>
              <w:tc>
                <w:tcPr>
                  <w:tcW w:w="694" w:type="pct"/>
                  <w:tcBorders>
                    <w:tl2br w:val="nil"/>
                    <w:tr2bl w:val="nil"/>
                  </w:tcBorders>
                  <w:noWrap w:val="0"/>
                  <w:tcMar>
                    <w:top w:w="0" w:type="dxa"/>
                    <w:left w:w="0" w:type="dxa"/>
                    <w:bottom w:w="0" w:type="dxa"/>
                    <w:right w:w="0" w:type="dxa"/>
                  </w:tcMar>
                  <w:vAlign w:val="center"/>
                </w:tcPr>
                <w:p w14:paraId="25D92411">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ascii="Times New Roman" w:hAnsi="Times New Roman"/>
                      <w:color w:val="auto"/>
                      <w:kern w:val="44"/>
                      <w:sz w:val="21"/>
                      <w:szCs w:val="21"/>
                    </w:rPr>
                    <w:t>48%液碱</w:t>
                  </w:r>
                </w:p>
              </w:tc>
              <w:tc>
                <w:tcPr>
                  <w:tcW w:w="222" w:type="pct"/>
                  <w:tcBorders>
                    <w:tl2br w:val="nil"/>
                    <w:tr2bl w:val="nil"/>
                  </w:tcBorders>
                  <w:noWrap w:val="0"/>
                  <w:tcMar>
                    <w:top w:w="0" w:type="dxa"/>
                    <w:left w:w="0" w:type="dxa"/>
                    <w:bottom w:w="0" w:type="dxa"/>
                    <w:right w:w="0" w:type="dxa"/>
                  </w:tcMar>
                  <w:vAlign w:val="center"/>
                </w:tcPr>
                <w:p w14:paraId="40C5ADA5">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液态</w:t>
                  </w:r>
                </w:p>
              </w:tc>
              <w:tc>
                <w:tcPr>
                  <w:tcW w:w="1073" w:type="pct"/>
                  <w:tcBorders>
                    <w:tl2br w:val="nil"/>
                    <w:tr2bl w:val="nil"/>
                  </w:tcBorders>
                  <w:noWrap w:val="0"/>
                  <w:tcMar>
                    <w:top w:w="0" w:type="dxa"/>
                    <w:left w:w="0" w:type="dxa"/>
                    <w:bottom w:w="0" w:type="dxa"/>
                    <w:right w:w="0" w:type="dxa"/>
                  </w:tcMar>
                  <w:vAlign w:val="center"/>
                </w:tcPr>
                <w:p w14:paraId="29A6EDA3">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2×</w:t>
                  </w:r>
                  <w:r>
                    <w:rPr>
                      <w:rFonts w:hint="eastAsia"/>
                      <w:color w:val="auto"/>
                      <w:lang w:val="en-US" w:eastAsia="zh-CN"/>
                    </w:rPr>
                    <w:t>4</w:t>
                  </w:r>
                  <w:r>
                    <w:rPr>
                      <w:color w:val="auto"/>
                    </w:rPr>
                    <w:t>00</w:t>
                  </w:r>
                  <w:r>
                    <w:rPr>
                      <w:rFonts w:hint="eastAsia"/>
                      <w:color w:val="auto"/>
                      <w:lang w:eastAsia="zh-CN"/>
                    </w:rPr>
                    <w:t>m³</w:t>
                  </w:r>
                  <w:r>
                    <w:rPr>
                      <w:rFonts w:hint="eastAsia"/>
                      <w:color w:val="auto"/>
                      <w:lang w:val="en-US" w:eastAsia="zh-CN"/>
                    </w:rPr>
                    <w:t>立式</w:t>
                  </w:r>
                  <w:r>
                    <w:rPr>
                      <w:color w:val="auto"/>
                    </w:rPr>
                    <w:t>固定顶罐</w:t>
                  </w:r>
                </w:p>
              </w:tc>
              <w:tc>
                <w:tcPr>
                  <w:tcW w:w="388" w:type="pct"/>
                  <w:tcBorders>
                    <w:tl2br w:val="nil"/>
                    <w:tr2bl w:val="nil"/>
                  </w:tcBorders>
                  <w:noWrap w:val="0"/>
                  <w:tcMar>
                    <w:top w:w="0" w:type="dxa"/>
                    <w:left w:w="0" w:type="dxa"/>
                    <w:bottom w:w="0" w:type="dxa"/>
                    <w:right w:w="0" w:type="dxa"/>
                  </w:tcMar>
                  <w:vAlign w:val="center"/>
                </w:tcPr>
                <w:p w14:paraId="65EAC50C">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5BD477B8">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default"/>
                      <w:color w:val="auto"/>
                      <w:lang w:val="en-US" w:eastAsia="zh-CN"/>
                    </w:rPr>
                    <w:t>24043</w:t>
                  </w:r>
                </w:p>
              </w:tc>
              <w:tc>
                <w:tcPr>
                  <w:tcW w:w="393" w:type="pct"/>
                  <w:tcBorders>
                    <w:tl2br w:val="nil"/>
                    <w:tr2bl w:val="nil"/>
                  </w:tcBorders>
                  <w:noWrap w:val="0"/>
                  <w:tcMar>
                    <w:top w:w="0" w:type="dxa"/>
                    <w:left w:w="0" w:type="dxa"/>
                    <w:bottom w:w="0" w:type="dxa"/>
                    <w:right w:w="0" w:type="dxa"/>
                  </w:tcMar>
                  <w:vAlign w:val="center"/>
                </w:tcPr>
                <w:p w14:paraId="0BE8B501">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226.98</w:t>
                  </w:r>
                </w:p>
              </w:tc>
              <w:tc>
                <w:tcPr>
                  <w:tcW w:w="1439" w:type="pct"/>
                  <w:tcBorders>
                    <w:tl2br w:val="nil"/>
                    <w:tr2bl w:val="nil"/>
                  </w:tcBorders>
                  <w:noWrap w:val="0"/>
                  <w:tcMar>
                    <w:top w:w="0" w:type="dxa"/>
                    <w:left w:w="0" w:type="dxa"/>
                    <w:bottom w:w="0" w:type="dxa"/>
                    <w:right w:w="0" w:type="dxa"/>
                  </w:tcMar>
                  <w:vAlign w:val="center"/>
                </w:tcPr>
                <w:p w14:paraId="123001FC">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新疆天业（集团）有限公司</w:t>
                  </w:r>
                </w:p>
              </w:tc>
            </w:tr>
            <w:tr w14:paraId="5E8BE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43DFC69C">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4</w:t>
                  </w:r>
                </w:p>
              </w:tc>
              <w:tc>
                <w:tcPr>
                  <w:tcW w:w="694" w:type="pct"/>
                  <w:tcBorders>
                    <w:tl2br w:val="nil"/>
                    <w:tr2bl w:val="nil"/>
                  </w:tcBorders>
                  <w:noWrap w:val="0"/>
                  <w:tcMar>
                    <w:top w:w="0" w:type="dxa"/>
                    <w:left w:w="0" w:type="dxa"/>
                    <w:bottom w:w="0" w:type="dxa"/>
                    <w:right w:w="0" w:type="dxa"/>
                  </w:tcMar>
                  <w:vAlign w:val="center"/>
                </w:tcPr>
                <w:p w14:paraId="43F77E87">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氯化亚砜</w:t>
                  </w:r>
                </w:p>
              </w:tc>
              <w:tc>
                <w:tcPr>
                  <w:tcW w:w="222" w:type="pct"/>
                  <w:tcBorders>
                    <w:tl2br w:val="nil"/>
                    <w:tr2bl w:val="nil"/>
                  </w:tcBorders>
                  <w:noWrap w:val="0"/>
                  <w:tcMar>
                    <w:top w:w="0" w:type="dxa"/>
                    <w:left w:w="0" w:type="dxa"/>
                    <w:bottom w:w="0" w:type="dxa"/>
                    <w:right w:w="0" w:type="dxa"/>
                  </w:tcMar>
                  <w:vAlign w:val="center"/>
                </w:tcPr>
                <w:p w14:paraId="7162C971">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液态</w:t>
                  </w:r>
                </w:p>
              </w:tc>
              <w:tc>
                <w:tcPr>
                  <w:tcW w:w="1073" w:type="pct"/>
                  <w:tcBorders>
                    <w:tl2br w:val="nil"/>
                    <w:tr2bl w:val="nil"/>
                  </w:tcBorders>
                  <w:noWrap w:val="0"/>
                  <w:tcMar>
                    <w:top w:w="0" w:type="dxa"/>
                    <w:left w:w="0" w:type="dxa"/>
                    <w:bottom w:w="0" w:type="dxa"/>
                    <w:right w:w="0" w:type="dxa"/>
                  </w:tcMar>
                  <w:vAlign w:val="center"/>
                </w:tcPr>
                <w:p w14:paraId="3A14F088">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2×500</w:t>
                  </w:r>
                  <w:r>
                    <w:rPr>
                      <w:rFonts w:hint="eastAsia"/>
                      <w:color w:val="auto"/>
                      <w:lang w:eastAsia="zh-CN"/>
                    </w:rPr>
                    <w:t>m³</w:t>
                  </w:r>
                  <w:r>
                    <w:rPr>
                      <w:rFonts w:hint="eastAsia"/>
                      <w:color w:val="auto"/>
                      <w:lang w:val="en-US" w:eastAsia="zh-CN"/>
                    </w:rPr>
                    <w:t>立式</w:t>
                  </w:r>
                  <w:r>
                    <w:rPr>
                      <w:color w:val="auto"/>
                    </w:rPr>
                    <w:t>固定顶罐</w:t>
                  </w:r>
                </w:p>
              </w:tc>
              <w:tc>
                <w:tcPr>
                  <w:tcW w:w="388" w:type="pct"/>
                  <w:tcBorders>
                    <w:tl2br w:val="nil"/>
                    <w:tr2bl w:val="nil"/>
                  </w:tcBorders>
                  <w:noWrap w:val="0"/>
                  <w:tcMar>
                    <w:top w:w="0" w:type="dxa"/>
                    <w:left w:w="0" w:type="dxa"/>
                    <w:bottom w:w="0" w:type="dxa"/>
                    <w:right w:w="0" w:type="dxa"/>
                  </w:tcMar>
                  <w:vAlign w:val="center"/>
                </w:tcPr>
                <w:p w14:paraId="599C1000">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2B3146B4">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7905</w:t>
                  </w:r>
                </w:p>
              </w:tc>
              <w:tc>
                <w:tcPr>
                  <w:tcW w:w="393" w:type="pct"/>
                  <w:tcBorders>
                    <w:tl2br w:val="nil"/>
                    <w:tr2bl w:val="nil"/>
                  </w:tcBorders>
                  <w:noWrap w:val="0"/>
                  <w:tcMar>
                    <w:top w:w="0" w:type="dxa"/>
                    <w:left w:w="0" w:type="dxa"/>
                    <w:bottom w:w="0" w:type="dxa"/>
                    <w:right w:w="0" w:type="dxa"/>
                  </w:tcMar>
                  <w:vAlign w:val="center"/>
                </w:tcPr>
                <w:p w14:paraId="635169BF">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131.6</w:t>
                  </w:r>
                </w:p>
              </w:tc>
              <w:tc>
                <w:tcPr>
                  <w:tcW w:w="1439" w:type="pct"/>
                  <w:tcBorders>
                    <w:tl2br w:val="nil"/>
                    <w:tr2bl w:val="nil"/>
                  </w:tcBorders>
                  <w:shd w:val="clear" w:color="auto" w:fill="auto"/>
                  <w:noWrap w:val="0"/>
                  <w:tcMar>
                    <w:top w:w="0" w:type="dxa"/>
                    <w:left w:w="0" w:type="dxa"/>
                    <w:bottom w:w="0" w:type="dxa"/>
                    <w:right w:w="0" w:type="dxa"/>
                  </w:tcMar>
                  <w:vAlign w:val="center"/>
                </w:tcPr>
                <w:p w14:paraId="5D2044C5">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内蒙古中和新材料有限责任公司</w:t>
                  </w:r>
                </w:p>
              </w:tc>
            </w:tr>
            <w:tr w14:paraId="4F89E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2602D6DD">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5</w:t>
                  </w:r>
                </w:p>
              </w:tc>
              <w:tc>
                <w:tcPr>
                  <w:tcW w:w="694" w:type="pct"/>
                  <w:tcBorders>
                    <w:tl2br w:val="nil"/>
                    <w:tr2bl w:val="nil"/>
                  </w:tcBorders>
                  <w:noWrap w:val="0"/>
                  <w:tcMar>
                    <w:top w:w="0" w:type="dxa"/>
                    <w:left w:w="0" w:type="dxa"/>
                    <w:bottom w:w="0" w:type="dxa"/>
                    <w:right w:w="0" w:type="dxa"/>
                  </w:tcMar>
                  <w:vAlign w:val="center"/>
                </w:tcPr>
                <w:p w14:paraId="2CA7E723">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ascii="Times New Roman" w:hAnsi="Times New Roman"/>
                      <w:color w:val="auto"/>
                      <w:kern w:val="44"/>
                      <w:sz w:val="21"/>
                      <w:szCs w:val="21"/>
                    </w:rPr>
                    <w:t>MIBK</w:t>
                  </w:r>
                </w:p>
              </w:tc>
              <w:tc>
                <w:tcPr>
                  <w:tcW w:w="222" w:type="pct"/>
                  <w:tcBorders>
                    <w:tl2br w:val="nil"/>
                    <w:tr2bl w:val="nil"/>
                  </w:tcBorders>
                  <w:noWrap w:val="0"/>
                  <w:tcMar>
                    <w:top w:w="0" w:type="dxa"/>
                    <w:left w:w="0" w:type="dxa"/>
                    <w:bottom w:w="0" w:type="dxa"/>
                    <w:right w:w="0" w:type="dxa"/>
                  </w:tcMar>
                  <w:vAlign w:val="center"/>
                </w:tcPr>
                <w:p w14:paraId="431BBF81">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color w:val="auto"/>
                    </w:rPr>
                    <w:t>液态</w:t>
                  </w:r>
                </w:p>
              </w:tc>
              <w:tc>
                <w:tcPr>
                  <w:tcW w:w="1073" w:type="pct"/>
                  <w:tcBorders>
                    <w:tl2br w:val="nil"/>
                    <w:tr2bl w:val="nil"/>
                  </w:tcBorders>
                  <w:noWrap w:val="0"/>
                  <w:tcMar>
                    <w:top w:w="0" w:type="dxa"/>
                    <w:left w:w="0" w:type="dxa"/>
                    <w:bottom w:w="0" w:type="dxa"/>
                    <w:right w:w="0" w:type="dxa"/>
                  </w:tcMar>
                  <w:vAlign w:val="center"/>
                </w:tcPr>
                <w:p w14:paraId="5F258736">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s="Times New Roman"/>
                      <w:color w:val="auto"/>
                      <w:sz w:val="21"/>
                      <w:lang w:val="en-US" w:eastAsia="zh-CN"/>
                    </w:rPr>
                    <w:t>1×1</w:t>
                  </w:r>
                  <w:r>
                    <w:rPr>
                      <w:rFonts w:ascii="Times New Roman" w:hAnsi="Times New Roman" w:cs="Times New Roman"/>
                      <w:color w:val="auto"/>
                      <w:sz w:val="21"/>
                    </w:rPr>
                    <w:t>00</w:t>
                  </w:r>
                  <w:r>
                    <w:rPr>
                      <w:rFonts w:hint="eastAsia" w:cs="Times New Roman"/>
                      <w:color w:val="auto"/>
                      <w:sz w:val="21"/>
                      <w:lang w:eastAsia="zh-CN"/>
                    </w:rPr>
                    <w:t>m³</w:t>
                  </w:r>
                  <w:r>
                    <w:rPr>
                      <w:rFonts w:hint="eastAsia"/>
                      <w:color w:val="auto"/>
                      <w:lang w:val="en-US" w:eastAsia="zh-CN"/>
                    </w:rPr>
                    <w:t>立式</w:t>
                  </w:r>
                  <w:r>
                    <w:rPr>
                      <w:color w:val="auto"/>
                    </w:rPr>
                    <w:t>固定顶罐</w:t>
                  </w:r>
                </w:p>
              </w:tc>
              <w:tc>
                <w:tcPr>
                  <w:tcW w:w="388" w:type="pct"/>
                  <w:tcBorders>
                    <w:tl2br w:val="nil"/>
                    <w:tr2bl w:val="nil"/>
                  </w:tcBorders>
                  <w:noWrap w:val="0"/>
                  <w:tcMar>
                    <w:top w:w="0" w:type="dxa"/>
                    <w:left w:w="0" w:type="dxa"/>
                    <w:bottom w:w="0" w:type="dxa"/>
                    <w:right w:w="0" w:type="dxa"/>
                  </w:tcMar>
                  <w:vAlign w:val="center"/>
                </w:tcPr>
                <w:p w14:paraId="0AABF069">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1CE63FE9">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82.8</w:t>
                  </w:r>
                </w:p>
              </w:tc>
              <w:tc>
                <w:tcPr>
                  <w:tcW w:w="393" w:type="pct"/>
                  <w:tcBorders>
                    <w:tl2br w:val="nil"/>
                    <w:tr2bl w:val="nil"/>
                  </w:tcBorders>
                  <w:noWrap w:val="0"/>
                  <w:tcMar>
                    <w:top w:w="0" w:type="dxa"/>
                    <w:left w:w="0" w:type="dxa"/>
                    <w:bottom w:w="0" w:type="dxa"/>
                    <w:right w:w="0" w:type="dxa"/>
                  </w:tcMar>
                  <w:vAlign w:val="center"/>
                </w:tcPr>
                <w:p w14:paraId="6FE98116">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9.28</w:t>
                  </w:r>
                </w:p>
              </w:tc>
              <w:tc>
                <w:tcPr>
                  <w:tcW w:w="1439" w:type="pct"/>
                  <w:tcBorders>
                    <w:tl2br w:val="nil"/>
                    <w:tr2bl w:val="nil"/>
                  </w:tcBorders>
                  <w:noWrap w:val="0"/>
                  <w:tcMar>
                    <w:top w:w="0" w:type="dxa"/>
                    <w:left w:w="0" w:type="dxa"/>
                    <w:bottom w:w="0" w:type="dxa"/>
                    <w:right w:w="0" w:type="dxa"/>
                  </w:tcMar>
                  <w:vAlign w:val="center"/>
                </w:tcPr>
                <w:p w14:paraId="32B5F0FD">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常州鑫雅化工公司</w:t>
                  </w:r>
                </w:p>
              </w:tc>
            </w:tr>
            <w:tr w14:paraId="6891C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3BFAF1C3">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6</w:t>
                  </w:r>
                </w:p>
              </w:tc>
              <w:tc>
                <w:tcPr>
                  <w:tcW w:w="694" w:type="pct"/>
                  <w:tcBorders>
                    <w:tl2br w:val="nil"/>
                    <w:tr2bl w:val="nil"/>
                  </w:tcBorders>
                  <w:noWrap w:val="0"/>
                  <w:tcMar>
                    <w:top w:w="0" w:type="dxa"/>
                    <w:left w:w="0" w:type="dxa"/>
                    <w:bottom w:w="0" w:type="dxa"/>
                    <w:right w:w="0" w:type="dxa"/>
                  </w:tcMar>
                  <w:vAlign w:val="center"/>
                </w:tcPr>
                <w:p w14:paraId="4CEB6623">
                  <w:pPr>
                    <w:pStyle w:val="15"/>
                    <w:keepNext w:val="0"/>
                    <w:keepLines/>
                    <w:pageBreakBefore w:val="0"/>
                    <w:widowControl/>
                    <w:kinsoku/>
                    <w:wordWrap/>
                    <w:overflowPunct/>
                    <w:topLinePunct/>
                    <w:autoSpaceDE w:val="0"/>
                    <w:autoSpaceDN w:val="0"/>
                    <w:bidi w:val="0"/>
                    <w:adjustRightInd w:val="0"/>
                    <w:snapToGrid w:val="0"/>
                    <w:textAlignment w:val="baseline"/>
                    <w:rPr>
                      <w:rFonts w:ascii="Times New Roman" w:hAnsi="Times New Roman"/>
                      <w:color w:val="auto"/>
                      <w:kern w:val="44"/>
                      <w:sz w:val="21"/>
                      <w:szCs w:val="21"/>
                    </w:rPr>
                  </w:pPr>
                  <w:r>
                    <w:rPr>
                      <w:rFonts w:ascii="Times New Roman" w:hAnsi="Times New Roman"/>
                      <w:color w:val="auto"/>
                      <w:kern w:val="44"/>
                      <w:sz w:val="21"/>
                      <w:szCs w:val="21"/>
                    </w:rPr>
                    <w:t>S-2-氯丙酸甲酯</w:t>
                  </w:r>
                </w:p>
              </w:tc>
              <w:tc>
                <w:tcPr>
                  <w:tcW w:w="222" w:type="pct"/>
                  <w:tcBorders>
                    <w:tl2br w:val="nil"/>
                    <w:tr2bl w:val="nil"/>
                  </w:tcBorders>
                  <w:noWrap w:val="0"/>
                  <w:tcMar>
                    <w:top w:w="0" w:type="dxa"/>
                    <w:left w:w="0" w:type="dxa"/>
                    <w:bottom w:w="0" w:type="dxa"/>
                    <w:right w:w="0" w:type="dxa"/>
                  </w:tcMar>
                  <w:vAlign w:val="center"/>
                </w:tcPr>
                <w:p w14:paraId="226B3FC5">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color w:val="auto"/>
                    </w:rPr>
                    <w:t>液态</w:t>
                  </w:r>
                </w:p>
              </w:tc>
              <w:tc>
                <w:tcPr>
                  <w:tcW w:w="1073" w:type="pct"/>
                  <w:tcBorders>
                    <w:tl2br w:val="nil"/>
                    <w:tr2bl w:val="nil"/>
                  </w:tcBorders>
                  <w:shd w:val="clear" w:color="auto" w:fill="auto"/>
                  <w:noWrap w:val="0"/>
                  <w:tcMar>
                    <w:top w:w="0" w:type="dxa"/>
                    <w:left w:w="0" w:type="dxa"/>
                    <w:bottom w:w="0" w:type="dxa"/>
                    <w:right w:w="0" w:type="dxa"/>
                  </w:tcMar>
                  <w:vAlign w:val="center"/>
                </w:tcPr>
                <w:p w14:paraId="259FE32E">
                  <w:pPr>
                    <w:pStyle w:val="15"/>
                    <w:keepNext w:val="0"/>
                    <w:keepLines/>
                    <w:pageBreakBefore w:val="0"/>
                    <w:widowControl/>
                    <w:kinsoku/>
                    <w:wordWrap/>
                    <w:overflowPunct/>
                    <w:topLinePunct/>
                    <w:autoSpaceDE w:val="0"/>
                    <w:autoSpaceDN w:val="0"/>
                    <w:bidi w:val="0"/>
                    <w:adjustRightInd w:val="0"/>
                    <w:snapToGrid w:val="0"/>
                    <w:ind w:left="0" w:leftChars="0" w:firstLine="0" w:firstLineChars="0"/>
                    <w:textAlignment w:val="baseline"/>
                    <w:rPr>
                      <w:rFonts w:hint="eastAsia" w:ascii="Times New Roman" w:hAnsi="Times New Roman" w:eastAsia="宋体" w:cs="Times New Roman"/>
                      <w:color w:val="auto"/>
                      <w:sz w:val="21"/>
                      <w:szCs w:val="21"/>
                      <w:lang w:val="en-US" w:eastAsia="zh-CN"/>
                    </w:rPr>
                  </w:pPr>
                  <w:r>
                    <w:rPr>
                      <w:rFonts w:hint="eastAsia" w:cs="Times New Roman"/>
                      <w:color w:val="auto"/>
                      <w:sz w:val="21"/>
                      <w:lang w:val="en-US" w:eastAsia="zh-CN"/>
                    </w:rPr>
                    <w:t>1×2</w:t>
                  </w:r>
                  <w:r>
                    <w:rPr>
                      <w:rFonts w:ascii="Times New Roman" w:hAnsi="Times New Roman" w:cs="Times New Roman"/>
                      <w:color w:val="auto"/>
                      <w:sz w:val="21"/>
                    </w:rPr>
                    <w:t>00</w:t>
                  </w:r>
                  <w:r>
                    <w:rPr>
                      <w:rFonts w:hint="eastAsia" w:cs="Times New Roman"/>
                      <w:color w:val="auto"/>
                      <w:sz w:val="21"/>
                      <w:lang w:eastAsia="zh-CN"/>
                    </w:rPr>
                    <w:t>m³</w:t>
                  </w:r>
                  <w:r>
                    <w:rPr>
                      <w:rFonts w:hint="eastAsia"/>
                      <w:color w:val="auto"/>
                      <w:lang w:val="en-US" w:eastAsia="zh-CN"/>
                    </w:rPr>
                    <w:t>立式</w:t>
                  </w:r>
                  <w:r>
                    <w:rPr>
                      <w:color w:val="auto"/>
                    </w:rPr>
                    <w:t>固定顶罐</w:t>
                  </w:r>
                </w:p>
              </w:tc>
              <w:tc>
                <w:tcPr>
                  <w:tcW w:w="388" w:type="pct"/>
                  <w:tcBorders>
                    <w:tl2br w:val="nil"/>
                    <w:tr2bl w:val="nil"/>
                  </w:tcBorders>
                  <w:noWrap w:val="0"/>
                  <w:tcMar>
                    <w:top w:w="0" w:type="dxa"/>
                    <w:left w:w="0" w:type="dxa"/>
                    <w:bottom w:w="0" w:type="dxa"/>
                    <w:right w:w="0" w:type="dxa"/>
                  </w:tcMar>
                  <w:vAlign w:val="center"/>
                </w:tcPr>
                <w:p w14:paraId="2FE6BD12">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2A2A892D">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6587</w:t>
                  </w:r>
                </w:p>
              </w:tc>
              <w:tc>
                <w:tcPr>
                  <w:tcW w:w="393" w:type="pct"/>
                  <w:tcBorders>
                    <w:tl2br w:val="nil"/>
                    <w:tr2bl w:val="nil"/>
                  </w:tcBorders>
                  <w:noWrap w:val="0"/>
                  <w:tcMar>
                    <w:top w:w="0" w:type="dxa"/>
                    <w:left w:w="0" w:type="dxa"/>
                    <w:bottom w:w="0" w:type="dxa"/>
                    <w:right w:w="0" w:type="dxa"/>
                  </w:tcMar>
                  <w:vAlign w:val="center"/>
                </w:tcPr>
                <w:p w14:paraId="63521A99">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0</w:t>
                  </w:r>
                </w:p>
              </w:tc>
              <w:tc>
                <w:tcPr>
                  <w:tcW w:w="1439" w:type="pct"/>
                  <w:tcBorders>
                    <w:tl2br w:val="nil"/>
                    <w:tr2bl w:val="nil"/>
                  </w:tcBorders>
                  <w:noWrap w:val="0"/>
                  <w:tcMar>
                    <w:top w:w="0" w:type="dxa"/>
                    <w:left w:w="0" w:type="dxa"/>
                    <w:bottom w:w="0" w:type="dxa"/>
                    <w:right w:w="0" w:type="dxa"/>
                  </w:tcMar>
                  <w:vAlign w:val="center"/>
                </w:tcPr>
                <w:p w14:paraId="0F580B6D">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自产自用</w:t>
                  </w:r>
                </w:p>
              </w:tc>
            </w:tr>
            <w:tr w14:paraId="56005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4AF8E677">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7</w:t>
                  </w:r>
                </w:p>
              </w:tc>
              <w:tc>
                <w:tcPr>
                  <w:tcW w:w="694" w:type="pct"/>
                  <w:tcBorders>
                    <w:tl2br w:val="nil"/>
                    <w:tr2bl w:val="nil"/>
                  </w:tcBorders>
                  <w:noWrap w:val="0"/>
                  <w:tcMar>
                    <w:top w:w="0" w:type="dxa"/>
                    <w:left w:w="0" w:type="dxa"/>
                    <w:bottom w:w="0" w:type="dxa"/>
                    <w:right w:w="0" w:type="dxa"/>
                  </w:tcMar>
                  <w:vAlign w:val="center"/>
                </w:tcPr>
                <w:p w14:paraId="377FDECE">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ascii="Times New Roman" w:hAnsi="Times New Roman"/>
                      <w:color w:val="auto"/>
                      <w:kern w:val="44"/>
                      <w:sz w:val="21"/>
                      <w:szCs w:val="21"/>
                    </w:rPr>
                    <w:t>D-乳酸甲酯</w:t>
                  </w:r>
                </w:p>
              </w:tc>
              <w:tc>
                <w:tcPr>
                  <w:tcW w:w="222" w:type="pct"/>
                  <w:tcBorders>
                    <w:tl2br w:val="nil"/>
                    <w:tr2bl w:val="nil"/>
                  </w:tcBorders>
                  <w:noWrap w:val="0"/>
                  <w:tcMar>
                    <w:top w:w="0" w:type="dxa"/>
                    <w:left w:w="0" w:type="dxa"/>
                    <w:bottom w:w="0" w:type="dxa"/>
                    <w:right w:w="0" w:type="dxa"/>
                  </w:tcMar>
                  <w:vAlign w:val="center"/>
                </w:tcPr>
                <w:p w14:paraId="231DDA9C">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液体</w:t>
                  </w:r>
                </w:p>
              </w:tc>
              <w:tc>
                <w:tcPr>
                  <w:tcW w:w="1073" w:type="pct"/>
                  <w:tcBorders>
                    <w:tl2br w:val="nil"/>
                    <w:tr2bl w:val="nil"/>
                  </w:tcBorders>
                  <w:noWrap w:val="0"/>
                  <w:tcMar>
                    <w:top w:w="0" w:type="dxa"/>
                    <w:left w:w="0" w:type="dxa"/>
                    <w:bottom w:w="0" w:type="dxa"/>
                    <w:right w:w="0" w:type="dxa"/>
                  </w:tcMar>
                  <w:vAlign w:val="center"/>
                </w:tcPr>
                <w:p w14:paraId="428E8EB2">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1</w:t>
                  </w:r>
                  <w:r>
                    <w:rPr>
                      <w:color w:val="auto"/>
                    </w:rPr>
                    <w:t>×500</w:t>
                  </w:r>
                  <w:r>
                    <w:rPr>
                      <w:rFonts w:hint="eastAsia"/>
                      <w:color w:val="auto"/>
                      <w:lang w:eastAsia="zh-CN"/>
                    </w:rPr>
                    <w:t>m³</w:t>
                  </w:r>
                  <w:r>
                    <w:rPr>
                      <w:rFonts w:hint="eastAsia"/>
                      <w:color w:val="auto"/>
                      <w:lang w:val="en-US" w:eastAsia="zh-CN"/>
                    </w:rPr>
                    <w:t>立式</w:t>
                  </w:r>
                  <w:r>
                    <w:rPr>
                      <w:color w:val="auto"/>
                    </w:rPr>
                    <w:t>内浮顶罐</w:t>
                  </w:r>
                </w:p>
              </w:tc>
              <w:tc>
                <w:tcPr>
                  <w:tcW w:w="388" w:type="pct"/>
                  <w:tcBorders>
                    <w:tl2br w:val="nil"/>
                    <w:tr2bl w:val="nil"/>
                  </w:tcBorders>
                  <w:noWrap w:val="0"/>
                  <w:tcMar>
                    <w:top w:w="0" w:type="dxa"/>
                    <w:left w:w="0" w:type="dxa"/>
                    <w:bottom w:w="0" w:type="dxa"/>
                    <w:right w:w="0" w:type="dxa"/>
                  </w:tcMar>
                  <w:vAlign w:val="center"/>
                </w:tcPr>
                <w:p w14:paraId="343E61C4">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color w:val="auto"/>
                    </w:rPr>
                    <w:t>汽车运输</w:t>
                  </w:r>
                </w:p>
              </w:tc>
              <w:tc>
                <w:tcPr>
                  <w:tcW w:w="559" w:type="pct"/>
                  <w:tcBorders>
                    <w:tl2br w:val="nil"/>
                    <w:tr2bl w:val="nil"/>
                  </w:tcBorders>
                  <w:noWrap w:val="0"/>
                  <w:tcMar>
                    <w:top w:w="0" w:type="dxa"/>
                    <w:left w:w="0" w:type="dxa"/>
                    <w:bottom w:w="0" w:type="dxa"/>
                    <w:right w:w="0" w:type="dxa"/>
                  </w:tcMar>
                  <w:vAlign w:val="center"/>
                </w:tcPr>
                <w:p w14:paraId="3F09C398">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5665</w:t>
                  </w:r>
                </w:p>
              </w:tc>
              <w:tc>
                <w:tcPr>
                  <w:tcW w:w="393" w:type="pct"/>
                  <w:tcBorders>
                    <w:tl2br w:val="nil"/>
                    <w:tr2bl w:val="nil"/>
                  </w:tcBorders>
                  <w:noWrap w:val="0"/>
                  <w:tcMar>
                    <w:top w:w="0" w:type="dxa"/>
                    <w:left w:w="0" w:type="dxa"/>
                    <w:bottom w:w="0" w:type="dxa"/>
                    <w:right w:w="0" w:type="dxa"/>
                  </w:tcMar>
                  <w:vAlign w:val="center"/>
                </w:tcPr>
                <w:p w14:paraId="0D38A21C">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default"/>
                      <w:color w:val="auto"/>
                      <w:lang w:val="en-US" w:eastAsia="zh-CN"/>
                    </w:rPr>
                    <w:t>143.3</w:t>
                  </w:r>
                </w:p>
              </w:tc>
              <w:tc>
                <w:tcPr>
                  <w:tcW w:w="1439" w:type="pct"/>
                  <w:tcBorders>
                    <w:tl2br w:val="nil"/>
                    <w:tr2bl w:val="nil"/>
                  </w:tcBorders>
                  <w:noWrap w:val="0"/>
                  <w:tcMar>
                    <w:top w:w="0" w:type="dxa"/>
                    <w:left w:w="0" w:type="dxa"/>
                    <w:bottom w:w="0" w:type="dxa"/>
                    <w:right w:w="0" w:type="dxa"/>
                  </w:tcMar>
                  <w:vAlign w:val="center"/>
                </w:tcPr>
                <w:p w14:paraId="40F38C73">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武藏野化学（中国）有限公司</w:t>
                  </w:r>
                </w:p>
              </w:tc>
            </w:tr>
            <w:tr w14:paraId="1C607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3C50B271">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8</w:t>
                  </w:r>
                </w:p>
              </w:tc>
              <w:tc>
                <w:tcPr>
                  <w:tcW w:w="694" w:type="pct"/>
                  <w:tcBorders>
                    <w:tl2br w:val="nil"/>
                    <w:tr2bl w:val="nil"/>
                  </w:tcBorders>
                  <w:noWrap w:val="0"/>
                  <w:tcMar>
                    <w:top w:w="0" w:type="dxa"/>
                    <w:left w:w="0" w:type="dxa"/>
                    <w:bottom w:w="0" w:type="dxa"/>
                    <w:right w:w="0" w:type="dxa"/>
                  </w:tcMar>
                  <w:vAlign w:val="center"/>
                </w:tcPr>
                <w:p w14:paraId="1E0FC68A">
                  <w:pPr>
                    <w:pStyle w:val="15"/>
                    <w:keepNext w:val="0"/>
                    <w:keepLines/>
                    <w:pageBreakBefore w:val="0"/>
                    <w:widowControl/>
                    <w:kinsoku/>
                    <w:wordWrap/>
                    <w:overflowPunct/>
                    <w:topLinePunct/>
                    <w:autoSpaceDE w:val="0"/>
                    <w:autoSpaceDN w:val="0"/>
                    <w:bidi w:val="0"/>
                    <w:adjustRightInd w:val="0"/>
                    <w:snapToGrid w:val="0"/>
                    <w:textAlignment w:val="baseline"/>
                    <w:rPr>
                      <w:rFonts w:hint="eastAsia" w:ascii="Times New Roman" w:hAnsi="Times New Roman" w:eastAsia="宋体"/>
                      <w:color w:val="auto"/>
                      <w:kern w:val="44"/>
                      <w:sz w:val="21"/>
                      <w:szCs w:val="21"/>
                      <w:lang w:val="en-US" w:eastAsia="zh-CN"/>
                    </w:rPr>
                  </w:pPr>
                  <w:r>
                    <w:rPr>
                      <w:rFonts w:hint="eastAsia"/>
                      <w:color w:val="auto"/>
                      <w:kern w:val="44"/>
                      <w:sz w:val="21"/>
                      <w:szCs w:val="21"/>
                      <w:lang w:val="en-US" w:eastAsia="zh-CN"/>
                    </w:rPr>
                    <w:t>吡啶</w:t>
                  </w:r>
                </w:p>
              </w:tc>
              <w:tc>
                <w:tcPr>
                  <w:tcW w:w="222" w:type="pct"/>
                  <w:tcBorders>
                    <w:tl2br w:val="nil"/>
                    <w:tr2bl w:val="nil"/>
                  </w:tcBorders>
                  <w:noWrap w:val="0"/>
                  <w:tcMar>
                    <w:top w:w="0" w:type="dxa"/>
                    <w:left w:w="0" w:type="dxa"/>
                    <w:bottom w:w="0" w:type="dxa"/>
                    <w:right w:w="0" w:type="dxa"/>
                  </w:tcMar>
                  <w:vAlign w:val="center"/>
                </w:tcPr>
                <w:p w14:paraId="06CFFE35">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固态</w:t>
                  </w:r>
                </w:p>
              </w:tc>
              <w:tc>
                <w:tcPr>
                  <w:tcW w:w="1073" w:type="pct"/>
                  <w:tcBorders>
                    <w:tl2br w:val="nil"/>
                    <w:tr2bl w:val="nil"/>
                  </w:tcBorders>
                  <w:noWrap w:val="0"/>
                  <w:tcMar>
                    <w:top w:w="0" w:type="dxa"/>
                    <w:left w:w="0" w:type="dxa"/>
                    <w:bottom w:w="0" w:type="dxa"/>
                    <w:right w:w="0" w:type="dxa"/>
                  </w:tcMar>
                  <w:vAlign w:val="center"/>
                </w:tcPr>
                <w:p w14:paraId="5ECBC66D">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固体仓库</w:t>
                  </w:r>
                </w:p>
              </w:tc>
              <w:tc>
                <w:tcPr>
                  <w:tcW w:w="388" w:type="pct"/>
                  <w:tcBorders>
                    <w:tl2br w:val="nil"/>
                    <w:tr2bl w:val="nil"/>
                  </w:tcBorders>
                  <w:noWrap w:val="0"/>
                  <w:tcMar>
                    <w:top w:w="0" w:type="dxa"/>
                    <w:left w:w="0" w:type="dxa"/>
                    <w:bottom w:w="0" w:type="dxa"/>
                    <w:right w:w="0" w:type="dxa"/>
                  </w:tcMar>
                  <w:vAlign w:val="center"/>
                </w:tcPr>
                <w:p w14:paraId="6738344A">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汽车运输</w:t>
                  </w:r>
                </w:p>
              </w:tc>
              <w:tc>
                <w:tcPr>
                  <w:tcW w:w="559" w:type="pct"/>
                  <w:tcBorders>
                    <w:tl2br w:val="nil"/>
                    <w:tr2bl w:val="nil"/>
                  </w:tcBorders>
                  <w:noWrap w:val="0"/>
                  <w:tcMar>
                    <w:top w:w="0" w:type="dxa"/>
                    <w:left w:w="0" w:type="dxa"/>
                    <w:bottom w:w="0" w:type="dxa"/>
                    <w:right w:w="0" w:type="dxa"/>
                  </w:tcMar>
                  <w:vAlign w:val="center"/>
                </w:tcPr>
                <w:p w14:paraId="5D14963C">
                  <w:pPr>
                    <w:pStyle w:val="15"/>
                    <w:keepNext w:val="0"/>
                    <w:keepLines/>
                    <w:pageBreakBefore w:val="0"/>
                    <w:widowControl/>
                    <w:kinsoku/>
                    <w:wordWrap/>
                    <w:overflowPunct/>
                    <w:topLinePunct/>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w:t>
                  </w:r>
                </w:p>
              </w:tc>
              <w:tc>
                <w:tcPr>
                  <w:tcW w:w="393" w:type="pct"/>
                  <w:tcBorders>
                    <w:tl2br w:val="nil"/>
                    <w:tr2bl w:val="nil"/>
                  </w:tcBorders>
                  <w:noWrap w:val="0"/>
                  <w:tcMar>
                    <w:top w:w="0" w:type="dxa"/>
                    <w:left w:w="0" w:type="dxa"/>
                    <w:bottom w:w="0" w:type="dxa"/>
                    <w:right w:w="0" w:type="dxa"/>
                  </w:tcMar>
                  <w:vAlign w:val="center"/>
                </w:tcPr>
                <w:p w14:paraId="03928E51">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1</w:t>
                  </w:r>
                </w:p>
              </w:tc>
              <w:tc>
                <w:tcPr>
                  <w:tcW w:w="1439" w:type="pct"/>
                  <w:tcBorders>
                    <w:tl2br w:val="nil"/>
                    <w:tr2bl w:val="nil"/>
                  </w:tcBorders>
                  <w:noWrap w:val="0"/>
                  <w:tcMar>
                    <w:top w:w="0" w:type="dxa"/>
                    <w:left w:w="0" w:type="dxa"/>
                    <w:bottom w:w="0" w:type="dxa"/>
                    <w:right w:w="0" w:type="dxa"/>
                  </w:tcMar>
                  <w:vAlign w:val="center"/>
                </w:tcPr>
                <w:p w14:paraId="4B790172">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eastAsia"/>
                      <w:color w:val="auto"/>
                      <w:lang w:val="en-US" w:eastAsia="zh-CN"/>
                    </w:rPr>
                    <w:t>凡特鲁斯特化学品（南通）有限公司</w:t>
                  </w:r>
                </w:p>
              </w:tc>
            </w:tr>
            <w:tr w14:paraId="6B1E4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3341D19D">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9</w:t>
                  </w:r>
                </w:p>
              </w:tc>
              <w:tc>
                <w:tcPr>
                  <w:tcW w:w="694" w:type="pct"/>
                  <w:tcBorders>
                    <w:tl2br w:val="nil"/>
                    <w:tr2bl w:val="nil"/>
                  </w:tcBorders>
                  <w:noWrap w:val="0"/>
                  <w:tcMar>
                    <w:top w:w="0" w:type="dxa"/>
                    <w:left w:w="0" w:type="dxa"/>
                    <w:bottom w:w="0" w:type="dxa"/>
                    <w:right w:w="0" w:type="dxa"/>
                  </w:tcMar>
                  <w:vAlign w:val="center"/>
                </w:tcPr>
                <w:p w14:paraId="2A2ECAB9">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kern w:val="44"/>
                      <w:sz w:val="21"/>
                      <w:szCs w:val="21"/>
                      <w:lang w:val="en-US" w:eastAsia="zh-CN"/>
                    </w:rPr>
                  </w:pPr>
                  <w:r>
                    <w:rPr>
                      <w:rFonts w:ascii="Times New Roman" w:hAnsi="宋体" w:eastAsia="宋体"/>
                      <w:b w:val="0"/>
                      <w:color w:val="auto"/>
                      <w:sz w:val="21"/>
                      <w:szCs w:val="21"/>
                    </w:rPr>
                    <w:t>对苯二酚</w:t>
                  </w:r>
                </w:p>
              </w:tc>
              <w:tc>
                <w:tcPr>
                  <w:tcW w:w="222" w:type="pct"/>
                  <w:tcBorders>
                    <w:tl2br w:val="nil"/>
                    <w:tr2bl w:val="nil"/>
                  </w:tcBorders>
                  <w:noWrap w:val="0"/>
                  <w:tcMar>
                    <w:top w:w="0" w:type="dxa"/>
                    <w:left w:w="0" w:type="dxa"/>
                    <w:bottom w:w="0" w:type="dxa"/>
                    <w:right w:w="0" w:type="dxa"/>
                  </w:tcMar>
                  <w:vAlign w:val="center"/>
                </w:tcPr>
                <w:p w14:paraId="73EBAC6D">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固态</w:t>
                  </w:r>
                </w:p>
              </w:tc>
              <w:tc>
                <w:tcPr>
                  <w:tcW w:w="1073" w:type="pct"/>
                  <w:tcBorders>
                    <w:tl2br w:val="nil"/>
                    <w:tr2bl w:val="nil"/>
                  </w:tcBorders>
                  <w:noWrap w:val="0"/>
                  <w:tcMar>
                    <w:top w:w="0" w:type="dxa"/>
                    <w:left w:w="0" w:type="dxa"/>
                    <w:bottom w:w="0" w:type="dxa"/>
                    <w:right w:w="0" w:type="dxa"/>
                  </w:tcMar>
                  <w:vAlign w:val="center"/>
                </w:tcPr>
                <w:p w14:paraId="6097350E">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固体仓库</w:t>
                  </w:r>
                </w:p>
              </w:tc>
              <w:tc>
                <w:tcPr>
                  <w:tcW w:w="388" w:type="pct"/>
                  <w:tcBorders>
                    <w:tl2br w:val="nil"/>
                    <w:tr2bl w:val="nil"/>
                  </w:tcBorders>
                  <w:shd w:val="clear" w:color="auto" w:fill="auto"/>
                  <w:noWrap w:val="0"/>
                  <w:tcMar>
                    <w:top w:w="0" w:type="dxa"/>
                    <w:left w:w="0" w:type="dxa"/>
                    <w:bottom w:w="0" w:type="dxa"/>
                    <w:right w:w="0" w:type="dxa"/>
                  </w:tcMar>
                  <w:vAlign w:val="center"/>
                </w:tcPr>
                <w:p w14:paraId="02C3B1F9">
                  <w:pPr>
                    <w:pStyle w:val="15"/>
                    <w:keepNext w:val="0"/>
                    <w:keepLines/>
                    <w:pageBreakBefore w:val="0"/>
                    <w:widowControl/>
                    <w:kinsoku/>
                    <w:wordWrap/>
                    <w:overflowPunct/>
                    <w:topLinePunct/>
                    <w:autoSpaceDE w:val="0"/>
                    <w:autoSpaceDN w:val="0"/>
                    <w:bidi w:val="0"/>
                    <w:adjustRightInd w:val="0"/>
                    <w:snapToGrid w:val="0"/>
                    <w:ind w:left="0" w:leftChars="0" w:firstLine="0" w:firstLineChars="0"/>
                    <w:textAlignment w:val="baseline"/>
                    <w:rPr>
                      <w:rFonts w:hint="eastAsia" w:ascii="Times New Roman" w:hAnsi="Times New Roman" w:eastAsia="宋体" w:cs="Times New Roman"/>
                      <w:color w:val="auto"/>
                      <w:sz w:val="21"/>
                      <w:szCs w:val="21"/>
                      <w:lang w:val="en-US" w:eastAsia="zh-CN"/>
                    </w:rPr>
                  </w:pPr>
                  <w:r>
                    <w:rPr>
                      <w:rFonts w:hint="eastAsia"/>
                      <w:color w:val="auto"/>
                      <w:lang w:val="en-US" w:eastAsia="zh-CN"/>
                    </w:rPr>
                    <w:t>汽车运输</w:t>
                  </w:r>
                </w:p>
              </w:tc>
              <w:tc>
                <w:tcPr>
                  <w:tcW w:w="559" w:type="pct"/>
                  <w:tcBorders>
                    <w:tl2br w:val="nil"/>
                    <w:tr2bl w:val="nil"/>
                  </w:tcBorders>
                  <w:noWrap w:val="0"/>
                  <w:tcMar>
                    <w:top w:w="0" w:type="dxa"/>
                    <w:left w:w="0" w:type="dxa"/>
                    <w:bottom w:w="0" w:type="dxa"/>
                    <w:right w:w="0" w:type="dxa"/>
                  </w:tcMar>
                  <w:vAlign w:val="center"/>
                </w:tcPr>
                <w:p w14:paraId="1E834C23">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6151</w:t>
                  </w:r>
                </w:p>
              </w:tc>
              <w:tc>
                <w:tcPr>
                  <w:tcW w:w="393" w:type="pct"/>
                  <w:tcBorders>
                    <w:tl2br w:val="nil"/>
                    <w:tr2bl w:val="nil"/>
                  </w:tcBorders>
                  <w:noWrap w:val="0"/>
                  <w:tcMar>
                    <w:top w:w="0" w:type="dxa"/>
                    <w:left w:w="0" w:type="dxa"/>
                    <w:bottom w:w="0" w:type="dxa"/>
                    <w:right w:w="0" w:type="dxa"/>
                  </w:tcMar>
                  <w:vAlign w:val="center"/>
                </w:tcPr>
                <w:p w14:paraId="4313714B">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107.85</w:t>
                  </w:r>
                </w:p>
              </w:tc>
              <w:tc>
                <w:tcPr>
                  <w:tcW w:w="1439" w:type="pct"/>
                  <w:tcBorders>
                    <w:tl2br w:val="nil"/>
                    <w:tr2bl w:val="nil"/>
                  </w:tcBorders>
                  <w:noWrap w:val="0"/>
                  <w:tcMar>
                    <w:top w:w="0" w:type="dxa"/>
                    <w:left w:w="0" w:type="dxa"/>
                    <w:bottom w:w="0" w:type="dxa"/>
                    <w:right w:w="0" w:type="dxa"/>
                  </w:tcMar>
                  <w:vAlign w:val="center"/>
                </w:tcPr>
                <w:p w14:paraId="63398C4B">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江苏三吉利化工股份有限公司</w:t>
                  </w:r>
                </w:p>
              </w:tc>
            </w:tr>
            <w:tr w14:paraId="52756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8" w:type="pct"/>
                  <w:tcBorders>
                    <w:tl2br w:val="nil"/>
                    <w:tr2bl w:val="nil"/>
                  </w:tcBorders>
                  <w:noWrap w:val="0"/>
                  <w:tcMar>
                    <w:top w:w="0" w:type="dxa"/>
                    <w:left w:w="0" w:type="dxa"/>
                    <w:bottom w:w="0" w:type="dxa"/>
                    <w:right w:w="0" w:type="dxa"/>
                  </w:tcMar>
                  <w:vAlign w:val="center"/>
                </w:tcPr>
                <w:p w14:paraId="423E7B37">
                  <w:pPr>
                    <w:pStyle w:val="15"/>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10</w:t>
                  </w:r>
                </w:p>
              </w:tc>
              <w:tc>
                <w:tcPr>
                  <w:tcW w:w="694" w:type="pct"/>
                  <w:tcBorders>
                    <w:tl2br w:val="nil"/>
                    <w:tr2bl w:val="nil"/>
                  </w:tcBorders>
                  <w:noWrap w:val="0"/>
                  <w:tcMar>
                    <w:top w:w="0" w:type="dxa"/>
                    <w:left w:w="0" w:type="dxa"/>
                    <w:bottom w:w="0" w:type="dxa"/>
                    <w:right w:w="0" w:type="dxa"/>
                  </w:tcMar>
                  <w:vAlign w:val="center"/>
                </w:tcPr>
                <w:p w14:paraId="58E4F929">
                  <w:pPr>
                    <w:pStyle w:val="15"/>
                    <w:keepNext w:val="0"/>
                    <w:keepLines/>
                    <w:pageBreakBefore w:val="0"/>
                    <w:widowControl/>
                    <w:kinsoku/>
                    <w:wordWrap/>
                    <w:overflowPunct/>
                    <w:topLinePunct/>
                    <w:autoSpaceDE w:val="0"/>
                    <w:autoSpaceDN w:val="0"/>
                    <w:bidi w:val="0"/>
                    <w:adjustRightInd w:val="0"/>
                    <w:snapToGrid w:val="0"/>
                    <w:textAlignment w:val="baseline"/>
                    <w:rPr>
                      <w:rFonts w:hint="eastAsia" w:ascii="Times New Roman" w:hAnsi="宋体" w:eastAsia="宋体"/>
                      <w:b w:val="0"/>
                      <w:color w:val="auto"/>
                      <w:sz w:val="21"/>
                      <w:szCs w:val="21"/>
                      <w:lang w:val="en-US" w:eastAsia="zh-CN"/>
                    </w:rPr>
                  </w:pPr>
                  <w:r>
                    <w:rPr>
                      <w:rFonts w:hint="eastAsia" w:ascii="Times New Roman" w:hAnsi="宋体" w:eastAsia="宋体"/>
                      <w:b w:val="0"/>
                      <w:color w:val="auto"/>
                      <w:sz w:val="21"/>
                      <w:szCs w:val="21"/>
                      <w:lang w:val="en-US" w:eastAsia="zh-CN"/>
                    </w:rPr>
                    <w:t>活性炭</w:t>
                  </w:r>
                </w:p>
              </w:tc>
              <w:tc>
                <w:tcPr>
                  <w:tcW w:w="222" w:type="pct"/>
                  <w:tcBorders>
                    <w:tl2br w:val="nil"/>
                    <w:tr2bl w:val="nil"/>
                  </w:tcBorders>
                  <w:shd w:val="clear" w:color="auto" w:fill="auto"/>
                  <w:noWrap w:val="0"/>
                  <w:tcMar>
                    <w:top w:w="0" w:type="dxa"/>
                    <w:left w:w="0" w:type="dxa"/>
                    <w:bottom w:w="0" w:type="dxa"/>
                    <w:right w:w="0" w:type="dxa"/>
                  </w:tcMar>
                  <w:vAlign w:val="center"/>
                </w:tcPr>
                <w:p w14:paraId="65D58788">
                  <w:pPr>
                    <w:pStyle w:val="15"/>
                    <w:keepNext w:val="0"/>
                    <w:keepLines/>
                    <w:pageBreakBefore w:val="0"/>
                    <w:widowControl/>
                    <w:kinsoku/>
                    <w:wordWrap/>
                    <w:overflowPunct/>
                    <w:topLinePunct/>
                    <w:autoSpaceDE w:val="0"/>
                    <w:autoSpaceDN w:val="0"/>
                    <w:bidi w:val="0"/>
                    <w:adjustRightInd w:val="0"/>
                    <w:snapToGrid w:val="0"/>
                    <w:ind w:left="0" w:leftChars="0" w:firstLine="0" w:firstLineChars="0"/>
                    <w:textAlignment w:val="baseline"/>
                    <w:rPr>
                      <w:rFonts w:hint="eastAsia" w:ascii="Times New Roman" w:hAnsi="Times New Roman" w:eastAsia="宋体" w:cs="Times New Roman"/>
                      <w:color w:val="auto"/>
                      <w:sz w:val="21"/>
                      <w:szCs w:val="21"/>
                      <w:lang w:val="en-US" w:eastAsia="zh-CN"/>
                    </w:rPr>
                  </w:pPr>
                  <w:r>
                    <w:rPr>
                      <w:rFonts w:hint="eastAsia"/>
                      <w:color w:val="auto"/>
                      <w:lang w:val="en-US" w:eastAsia="zh-CN"/>
                    </w:rPr>
                    <w:t>固态</w:t>
                  </w:r>
                </w:p>
              </w:tc>
              <w:tc>
                <w:tcPr>
                  <w:tcW w:w="1073" w:type="pct"/>
                  <w:tcBorders>
                    <w:tl2br w:val="nil"/>
                    <w:tr2bl w:val="nil"/>
                  </w:tcBorders>
                  <w:shd w:val="clear" w:color="auto" w:fill="auto"/>
                  <w:noWrap w:val="0"/>
                  <w:tcMar>
                    <w:top w:w="0" w:type="dxa"/>
                    <w:left w:w="0" w:type="dxa"/>
                    <w:bottom w:w="0" w:type="dxa"/>
                    <w:right w:w="0" w:type="dxa"/>
                  </w:tcMar>
                  <w:vAlign w:val="center"/>
                </w:tcPr>
                <w:p w14:paraId="79C09E17">
                  <w:pPr>
                    <w:pStyle w:val="15"/>
                    <w:keepNext w:val="0"/>
                    <w:keepLines/>
                    <w:pageBreakBefore w:val="0"/>
                    <w:widowControl/>
                    <w:kinsoku/>
                    <w:wordWrap/>
                    <w:overflowPunct/>
                    <w:topLinePunct/>
                    <w:autoSpaceDE w:val="0"/>
                    <w:autoSpaceDN w:val="0"/>
                    <w:bidi w:val="0"/>
                    <w:adjustRightInd w:val="0"/>
                    <w:snapToGrid w:val="0"/>
                    <w:ind w:left="0" w:leftChars="0" w:firstLine="0" w:firstLineChars="0"/>
                    <w:textAlignment w:val="baseline"/>
                    <w:rPr>
                      <w:rFonts w:hint="eastAsia" w:ascii="Times New Roman" w:hAnsi="Times New Roman" w:eastAsia="宋体" w:cs="Times New Roman"/>
                      <w:color w:val="auto"/>
                      <w:sz w:val="21"/>
                      <w:szCs w:val="21"/>
                      <w:lang w:val="en-US" w:eastAsia="zh-CN"/>
                    </w:rPr>
                  </w:pPr>
                  <w:r>
                    <w:rPr>
                      <w:rFonts w:hint="eastAsia"/>
                      <w:color w:val="auto"/>
                      <w:lang w:val="en-US" w:eastAsia="zh-CN"/>
                    </w:rPr>
                    <w:t>固体仓库</w:t>
                  </w:r>
                </w:p>
              </w:tc>
              <w:tc>
                <w:tcPr>
                  <w:tcW w:w="388" w:type="pct"/>
                  <w:tcBorders>
                    <w:tl2br w:val="nil"/>
                    <w:tr2bl w:val="nil"/>
                  </w:tcBorders>
                  <w:shd w:val="clear" w:color="auto" w:fill="auto"/>
                  <w:noWrap w:val="0"/>
                  <w:tcMar>
                    <w:top w:w="0" w:type="dxa"/>
                    <w:left w:w="0" w:type="dxa"/>
                    <w:bottom w:w="0" w:type="dxa"/>
                    <w:right w:w="0" w:type="dxa"/>
                  </w:tcMar>
                  <w:vAlign w:val="center"/>
                </w:tcPr>
                <w:p w14:paraId="66F4F67F">
                  <w:pPr>
                    <w:pStyle w:val="15"/>
                    <w:keepNext w:val="0"/>
                    <w:keepLines/>
                    <w:pageBreakBefore w:val="0"/>
                    <w:widowControl/>
                    <w:kinsoku/>
                    <w:wordWrap/>
                    <w:overflowPunct/>
                    <w:topLinePunct/>
                    <w:autoSpaceDE w:val="0"/>
                    <w:autoSpaceDN w:val="0"/>
                    <w:bidi w:val="0"/>
                    <w:adjustRightInd w:val="0"/>
                    <w:snapToGrid w:val="0"/>
                    <w:ind w:left="0" w:leftChars="0" w:firstLine="0" w:firstLineChars="0"/>
                    <w:textAlignment w:val="baseline"/>
                    <w:rPr>
                      <w:rFonts w:hint="eastAsia" w:ascii="Times New Roman" w:hAnsi="Times New Roman" w:eastAsia="宋体" w:cs="Times New Roman"/>
                      <w:color w:val="auto"/>
                      <w:sz w:val="21"/>
                      <w:szCs w:val="21"/>
                      <w:lang w:val="en-US" w:eastAsia="zh-CN"/>
                    </w:rPr>
                  </w:pPr>
                  <w:r>
                    <w:rPr>
                      <w:rFonts w:hint="eastAsia"/>
                      <w:color w:val="auto"/>
                      <w:lang w:val="en-US" w:eastAsia="zh-CN"/>
                    </w:rPr>
                    <w:t>汽车运输</w:t>
                  </w:r>
                </w:p>
              </w:tc>
              <w:tc>
                <w:tcPr>
                  <w:tcW w:w="559" w:type="pct"/>
                  <w:tcBorders>
                    <w:tl2br w:val="nil"/>
                    <w:tr2bl w:val="nil"/>
                  </w:tcBorders>
                  <w:noWrap w:val="0"/>
                  <w:tcMar>
                    <w:top w:w="0" w:type="dxa"/>
                    <w:left w:w="0" w:type="dxa"/>
                    <w:bottom w:w="0" w:type="dxa"/>
                    <w:right w:w="0" w:type="dxa"/>
                  </w:tcMar>
                  <w:vAlign w:val="center"/>
                </w:tcPr>
                <w:p w14:paraId="2E9273C0">
                  <w:pPr>
                    <w:pStyle w:val="15"/>
                    <w:keepNext w:val="0"/>
                    <w:keepLines/>
                    <w:pageBreakBefore w:val="0"/>
                    <w:widowControl/>
                    <w:kinsoku/>
                    <w:wordWrap/>
                    <w:overflowPunct/>
                    <w:topLinePunct/>
                    <w:autoSpaceDE w:val="0"/>
                    <w:autoSpaceDN w:val="0"/>
                    <w:bidi w:val="0"/>
                    <w:adjustRightInd w:val="0"/>
                    <w:snapToGrid w:val="0"/>
                    <w:textAlignment w:val="baseline"/>
                    <w:rPr>
                      <w:color w:val="auto"/>
                    </w:rPr>
                  </w:pPr>
                  <w:r>
                    <w:rPr>
                      <w:rFonts w:hint="default"/>
                      <w:color w:val="auto"/>
                      <w:lang w:val="en-US" w:eastAsia="zh-CN"/>
                    </w:rPr>
                    <w:t>47</w:t>
                  </w:r>
                </w:p>
              </w:tc>
              <w:tc>
                <w:tcPr>
                  <w:tcW w:w="393" w:type="pct"/>
                  <w:tcBorders>
                    <w:tl2br w:val="nil"/>
                    <w:tr2bl w:val="nil"/>
                  </w:tcBorders>
                  <w:noWrap w:val="0"/>
                  <w:tcMar>
                    <w:top w:w="0" w:type="dxa"/>
                    <w:left w:w="0" w:type="dxa"/>
                    <w:bottom w:w="0" w:type="dxa"/>
                    <w:right w:w="0" w:type="dxa"/>
                  </w:tcMar>
                  <w:vAlign w:val="center"/>
                </w:tcPr>
                <w:p w14:paraId="75A8761B">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6.86</w:t>
                  </w:r>
                </w:p>
              </w:tc>
              <w:tc>
                <w:tcPr>
                  <w:tcW w:w="1439" w:type="pct"/>
                  <w:tcBorders>
                    <w:tl2br w:val="nil"/>
                    <w:tr2bl w:val="nil"/>
                  </w:tcBorders>
                  <w:noWrap w:val="0"/>
                  <w:tcMar>
                    <w:top w:w="0" w:type="dxa"/>
                    <w:left w:w="0" w:type="dxa"/>
                    <w:bottom w:w="0" w:type="dxa"/>
                    <w:right w:w="0" w:type="dxa"/>
                  </w:tcMar>
                  <w:vAlign w:val="center"/>
                </w:tcPr>
                <w:p w14:paraId="07B77A28">
                  <w:pPr>
                    <w:pStyle w:val="15"/>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溧阳市天旭活性炭有限公司</w:t>
                  </w:r>
                </w:p>
              </w:tc>
            </w:tr>
            <w:tr w14:paraId="3A915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8"/>
                  <w:tcBorders>
                    <w:tl2br w:val="nil"/>
                    <w:tr2bl w:val="nil"/>
                  </w:tcBorders>
                  <w:noWrap w:val="0"/>
                  <w:tcMar>
                    <w:top w:w="0" w:type="dxa"/>
                    <w:left w:w="0" w:type="dxa"/>
                    <w:bottom w:w="0" w:type="dxa"/>
                    <w:right w:w="0" w:type="dxa"/>
                  </w:tcMar>
                  <w:vAlign w:val="center"/>
                </w:tcPr>
                <w:p w14:paraId="264C5886">
                  <w:pPr>
                    <w:pStyle w:val="15"/>
                    <w:keepNext w:val="0"/>
                    <w:keepLines/>
                    <w:pageBreakBefore w:val="0"/>
                    <w:widowControl/>
                    <w:kinsoku/>
                    <w:wordWrap/>
                    <w:overflowPunct/>
                    <w:topLinePunct/>
                    <w:autoSpaceDE w:val="0"/>
                    <w:autoSpaceDN w:val="0"/>
                    <w:bidi w:val="0"/>
                    <w:adjustRightInd w:val="0"/>
                    <w:snapToGrid w:val="0"/>
                    <w:textAlignment w:val="baseline"/>
                    <w:rPr>
                      <w:rFonts w:hint="default" w:eastAsia="宋体"/>
                      <w:color w:val="auto"/>
                      <w:lang w:val="en-US" w:eastAsia="zh-CN"/>
                    </w:rPr>
                  </w:pPr>
                  <w:r>
                    <w:rPr>
                      <w:rFonts w:hint="eastAsia"/>
                      <w:color w:val="auto"/>
                      <w:lang w:val="en-US" w:eastAsia="zh-CN"/>
                    </w:rPr>
                    <w:t>注：31</w:t>
                  </w:r>
                  <w:r>
                    <w:rPr>
                      <w:color w:val="auto"/>
                    </w:rPr>
                    <w:t>%盐酸</w:t>
                  </w:r>
                  <w:r>
                    <w:rPr>
                      <w:rFonts w:hint="eastAsia"/>
                      <w:color w:val="auto"/>
                      <w:lang w:val="en-US" w:eastAsia="zh-CN"/>
                    </w:rPr>
                    <w:t>密度以1.155t/m</w:t>
                  </w:r>
                  <w:r>
                    <w:rPr>
                      <w:rFonts w:hint="eastAsia"/>
                      <w:color w:val="auto"/>
                      <w:vertAlign w:val="superscript"/>
                      <w:lang w:val="en-US" w:eastAsia="zh-CN"/>
                    </w:rPr>
                    <w:t>3</w:t>
                  </w:r>
                  <w:r>
                    <w:rPr>
                      <w:rFonts w:hint="eastAsia"/>
                      <w:color w:val="auto"/>
                      <w:lang w:val="en-US" w:eastAsia="zh-CN"/>
                    </w:rPr>
                    <w:t>计。</w:t>
                  </w:r>
                </w:p>
              </w:tc>
            </w:tr>
          </w:tbl>
          <w:p w14:paraId="0CD99452">
            <w:pPr>
              <w:pStyle w:val="4"/>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6.2扩建后全厂能源消耗</w:t>
            </w:r>
          </w:p>
          <w:p w14:paraId="19197169">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盐酸储罐后，全厂能源消耗未发生变化，具体情况见下表9。</w:t>
            </w:r>
          </w:p>
          <w:p w14:paraId="16860557">
            <w:pPr>
              <w:pStyle w:val="16"/>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t xml:space="preserve">表 </w:t>
            </w:r>
            <w:r>
              <w:fldChar w:fldCharType="begin"/>
            </w:r>
            <w:r>
              <w:instrText xml:space="preserve"> SEQ 表 \* ARABIC </w:instrText>
            </w:r>
            <w:r>
              <w:fldChar w:fldCharType="separate"/>
            </w:r>
            <w:r>
              <w:t>9</w:t>
            </w:r>
            <w:r>
              <w:fldChar w:fldCharType="end"/>
            </w:r>
            <w:r>
              <w:rPr>
                <w:rFonts w:hint="eastAsia"/>
                <w:lang w:val="en-US" w:eastAsia="zh-CN"/>
              </w:rPr>
              <w:t xml:space="preserve">  </w:t>
            </w:r>
            <w:r>
              <w:rPr>
                <w:rFonts w:hint="default"/>
                <w:lang w:val="en-US" w:eastAsia="zh-CN"/>
              </w:rPr>
              <w:t>扩建</w:t>
            </w:r>
            <w:r>
              <w:rPr>
                <w:rFonts w:hint="eastAsia"/>
                <w:lang w:val="en-US" w:eastAsia="zh-CN"/>
              </w:rPr>
              <w:t>后全厂能源消耗情况</w:t>
            </w:r>
            <w:r>
              <w:rPr>
                <w:rFonts w:hint="default"/>
                <w:lang w:val="en-US" w:eastAsia="zh-CN"/>
              </w:rPr>
              <w:t>一览表</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2"/>
              <w:gridCol w:w="1841"/>
              <w:gridCol w:w="1841"/>
              <w:gridCol w:w="2296"/>
              <w:gridCol w:w="953"/>
            </w:tblGrid>
            <w:tr w14:paraId="7BC71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04" w:type="pct"/>
                  <w:tcBorders>
                    <w:tl2br w:val="nil"/>
                    <w:tr2bl w:val="nil"/>
                  </w:tcBorders>
                  <w:shd w:val="clear" w:color="auto" w:fill="auto"/>
                  <w:noWrap w:val="0"/>
                  <w:tcMar>
                    <w:top w:w="0" w:type="dxa"/>
                    <w:left w:w="0" w:type="dxa"/>
                    <w:bottom w:w="0" w:type="dxa"/>
                    <w:right w:w="0" w:type="dxa"/>
                  </w:tcMar>
                  <w:vAlign w:val="center"/>
                </w:tcPr>
                <w:p w14:paraId="2F18EFA3">
                  <w:pPr>
                    <w:pStyle w:val="15"/>
                    <w:keepNext w:val="0"/>
                    <w:keepLines/>
                    <w:pageBreakBefore w:val="0"/>
                    <w:widowControl/>
                    <w:kinsoku/>
                    <w:wordWrap/>
                    <w:overflowPunct/>
                    <w:topLinePunct/>
                    <w:autoSpaceDE w:val="0"/>
                    <w:autoSpaceDN w:val="0"/>
                    <w:bidi w:val="0"/>
                    <w:adjustRightInd w:val="0"/>
                    <w:snapToGrid w:val="0"/>
                    <w:textAlignment w:val="baseline"/>
                  </w:pPr>
                  <w:r>
                    <w:t>序号</w:t>
                  </w:r>
                </w:p>
              </w:tc>
              <w:tc>
                <w:tcPr>
                  <w:tcW w:w="1167" w:type="pct"/>
                  <w:tcBorders>
                    <w:tl2br w:val="nil"/>
                    <w:tr2bl w:val="nil"/>
                  </w:tcBorders>
                  <w:noWrap w:val="0"/>
                  <w:tcMar>
                    <w:top w:w="0" w:type="dxa"/>
                    <w:left w:w="0" w:type="dxa"/>
                    <w:bottom w:w="0" w:type="dxa"/>
                    <w:right w:w="0" w:type="dxa"/>
                  </w:tcMar>
                  <w:vAlign w:val="center"/>
                </w:tcPr>
                <w:p w14:paraId="0B3F4868">
                  <w:pPr>
                    <w:pStyle w:val="15"/>
                    <w:keepNext w:val="0"/>
                    <w:keepLines/>
                    <w:pageBreakBefore w:val="0"/>
                    <w:widowControl/>
                    <w:kinsoku/>
                    <w:wordWrap/>
                    <w:overflowPunct/>
                    <w:topLinePunct/>
                    <w:autoSpaceDE w:val="0"/>
                    <w:autoSpaceDN w:val="0"/>
                    <w:bidi w:val="0"/>
                    <w:adjustRightInd w:val="0"/>
                    <w:snapToGrid w:val="0"/>
                    <w:textAlignment w:val="baseline"/>
                  </w:pPr>
                  <w:r>
                    <w:rPr>
                      <w:rFonts w:hint="eastAsia"/>
                      <w:lang w:val="en-US" w:eastAsia="zh-CN"/>
                    </w:rPr>
                    <w:t>能源</w:t>
                  </w:r>
                  <w:r>
                    <w:t>名称</w:t>
                  </w:r>
                </w:p>
              </w:tc>
              <w:tc>
                <w:tcPr>
                  <w:tcW w:w="1167" w:type="pct"/>
                  <w:tcBorders>
                    <w:tl2br w:val="nil"/>
                    <w:tr2bl w:val="nil"/>
                  </w:tcBorders>
                  <w:noWrap w:val="0"/>
                  <w:tcMar>
                    <w:top w:w="0" w:type="dxa"/>
                    <w:left w:w="0" w:type="dxa"/>
                    <w:bottom w:w="0" w:type="dxa"/>
                    <w:right w:w="0" w:type="dxa"/>
                  </w:tcMar>
                  <w:vAlign w:val="center"/>
                </w:tcPr>
                <w:p w14:paraId="55F32A18">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单位</w:t>
                  </w:r>
                </w:p>
              </w:tc>
              <w:tc>
                <w:tcPr>
                  <w:tcW w:w="1456" w:type="pct"/>
                  <w:tcBorders>
                    <w:tl2br w:val="nil"/>
                    <w:tr2bl w:val="nil"/>
                  </w:tcBorders>
                  <w:noWrap w:val="0"/>
                  <w:tcMar>
                    <w:top w:w="0" w:type="dxa"/>
                    <w:left w:w="0" w:type="dxa"/>
                    <w:bottom w:w="0" w:type="dxa"/>
                    <w:right w:w="0" w:type="dxa"/>
                  </w:tcMar>
                  <w:vAlign w:val="center"/>
                </w:tcPr>
                <w:p w14:paraId="05FDDC86">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设计消耗量</w:t>
                  </w:r>
                </w:p>
              </w:tc>
              <w:tc>
                <w:tcPr>
                  <w:tcW w:w="604" w:type="pct"/>
                  <w:tcBorders>
                    <w:tl2br w:val="nil"/>
                    <w:tr2bl w:val="nil"/>
                  </w:tcBorders>
                  <w:noWrap w:val="0"/>
                  <w:tcMar>
                    <w:top w:w="0" w:type="dxa"/>
                    <w:left w:w="0" w:type="dxa"/>
                    <w:bottom w:w="0" w:type="dxa"/>
                    <w:right w:w="0" w:type="dxa"/>
                  </w:tcMar>
                  <w:vAlign w:val="center"/>
                </w:tcPr>
                <w:p w14:paraId="6D0B1DF1">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备注</w:t>
                  </w:r>
                </w:p>
              </w:tc>
            </w:tr>
            <w:tr w14:paraId="020DF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pct"/>
                  <w:tcBorders>
                    <w:tl2br w:val="nil"/>
                    <w:tr2bl w:val="nil"/>
                  </w:tcBorders>
                  <w:noWrap w:val="0"/>
                  <w:tcMar>
                    <w:top w:w="0" w:type="dxa"/>
                    <w:left w:w="0" w:type="dxa"/>
                    <w:bottom w:w="0" w:type="dxa"/>
                    <w:right w:w="0" w:type="dxa"/>
                  </w:tcMar>
                  <w:vAlign w:val="center"/>
                </w:tcPr>
                <w:p w14:paraId="49B632ED">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w:t>
                  </w:r>
                </w:p>
              </w:tc>
              <w:tc>
                <w:tcPr>
                  <w:tcW w:w="1167" w:type="pct"/>
                  <w:tcBorders>
                    <w:tl2br w:val="nil"/>
                    <w:tr2bl w:val="nil"/>
                  </w:tcBorders>
                  <w:noWrap w:val="0"/>
                  <w:tcMar>
                    <w:top w:w="0" w:type="dxa"/>
                    <w:left w:w="0" w:type="dxa"/>
                    <w:bottom w:w="0" w:type="dxa"/>
                    <w:right w:w="0" w:type="dxa"/>
                  </w:tcMar>
                  <w:vAlign w:val="center"/>
                </w:tcPr>
                <w:p w14:paraId="1C4310E7">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新鲜水</w:t>
                  </w:r>
                </w:p>
              </w:tc>
              <w:tc>
                <w:tcPr>
                  <w:tcW w:w="1167" w:type="pct"/>
                  <w:tcBorders>
                    <w:tl2br w:val="nil"/>
                    <w:tr2bl w:val="nil"/>
                  </w:tcBorders>
                  <w:noWrap w:val="0"/>
                  <w:tcMar>
                    <w:top w:w="0" w:type="dxa"/>
                    <w:left w:w="0" w:type="dxa"/>
                    <w:bottom w:w="0" w:type="dxa"/>
                    <w:right w:w="0" w:type="dxa"/>
                  </w:tcMar>
                  <w:vAlign w:val="center"/>
                </w:tcPr>
                <w:p w14:paraId="149E9E62">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m³/a</w:t>
                  </w:r>
                </w:p>
              </w:tc>
              <w:tc>
                <w:tcPr>
                  <w:tcW w:w="1456" w:type="pct"/>
                  <w:tcBorders>
                    <w:tl2br w:val="nil"/>
                    <w:tr2bl w:val="nil"/>
                  </w:tcBorders>
                  <w:noWrap w:val="0"/>
                  <w:tcMar>
                    <w:top w:w="0" w:type="dxa"/>
                    <w:left w:w="0" w:type="dxa"/>
                    <w:bottom w:w="0" w:type="dxa"/>
                    <w:right w:w="0" w:type="dxa"/>
                  </w:tcMar>
                  <w:vAlign w:val="center"/>
                </w:tcPr>
                <w:p w14:paraId="7C7EF07C">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1116240</w:t>
                  </w:r>
                </w:p>
              </w:tc>
              <w:tc>
                <w:tcPr>
                  <w:tcW w:w="604" w:type="pct"/>
                  <w:tcBorders>
                    <w:tl2br w:val="nil"/>
                    <w:tr2bl w:val="nil"/>
                  </w:tcBorders>
                  <w:noWrap w:val="0"/>
                  <w:tcMar>
                    <w:top w:w="0" w:type="dxa"/>
                    <w:left w:w="0" w:type="dxa"/>
                    <w:bottom w:w="0" w:type="dxa"/>
                    <w:right w:w="0" w:type="dxa"/>
                  </w:tcMar>
                  <w:vAlign w:val="center"/>
                </w:tcPr>
                <w:p w14:paraId="55E9E30E">
                  <w:pPr>
                    <w:pStyle w:val="15"/>
                    <w:keepNext w:val="0"/>
                    <w:keepLines/>
                    <w:pageBreakBefore w:val="0"/>
                    <w:widowControl/>
                    <w:kinsoku/>
                    <w:wordWrap/>
                    <w:overflowPunct/>
                    <w:topLinePunct/>
                    <w:autoSpaceDE w:val="0"/>
                    <w:autoSpaceDN w:val="0"/>
                    <w:bidi w:val="0"/>
                    <w:adjustRightInd w:val="0"/>
                    <w:snapToGrid w:val="0"/>
                    <w:textAlignment w:val="baseline"/>
                  </w:pPr>
                </w:p>
              </w:tc>
            </w:tr>
            <w:tr w14:paraId="030E7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pct"/>
                  <w:tcBorders>
                    <w:tl2br w:val="nil"/>
                    <w:tr2bl w:val="nil"/>
                  </w:tcBorders>
                  <w:noWrap w:val="0"/>
                  <w:tcMar>
                    <w:top w:w="0" w:type="dxa"/>
                    <w:left w:w="0" w:type="dxa"/>
                    <w:bottom w:w="0" w:type="dxa"/>
                    <w:right w:w="0" w:type="dxa"/>
                  </w:tcMar>
                  <w:vAlign w:val="center"/>
                </w:tcPr>
                <w:p w14:paraId="06D7E880">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2</w:t>
                  </w:r>
                </w:p>
              </w:tc>
              <w:tc>
                <w:tcPr>
                  <w:tcW w:w="1167" w:type="pct"/>
                  <w:tcBorders>
                    <w:tl2br w:val="nil"/>
                    <w:tr2bl w:val="nil"/>
                  </w:tcBorders>
                  <w:noWrap w:val="0"/>
                  <w:tcMar>
                    <w:top w:w="0" w:type="dxa"/>
                    <w:left w:w="0" w:type="dxa"/>
                    <w:bottom w:w="0" w:type="dxa"/>
                    <w:right w:w="0" w:type="dxa"/>
                  </w:tcMar>
                  <w:vAlign w:val="center"/>
                </w:tcPr>
                <w:p w14:paraId="044FC722">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电力</w:t>
                  </w:r>
                </w:p>
              </w:tc>
              <w:tc>
                <w:tcPr>
                  <w:tcW w:w="1167" w:type="pct"/>
                  <w:tcBorders>
                    <w:tl2br w:val="nil"/>
                    <w:tr2bl w:val="nil"/>
                  </w:tcBorders>
                  <w:noWrap w:val="0"/>
                  <w:tcMar>
                    <w:top w:w="0" w:type="dxa"/>
                    <w:left w:w="0" w:type="dxa"/>
                    <w:bottom w:w="0" w:type="dxa"/>
                    <w:right w:w="0" w:type="dxa"/>
                  </w:tcMar>
                  <w:vAlign w:val="center"/>
                </w:tcPr>
                <w:p w14:paraId="20A2D6CB">
                  <w:pPr>
                    <w:pStyle w:val="15"/>
                    <w:keepNext w:val="0"/>
                    <w:keepLines/>
                    <w:pageBreakBefore w:val="0"/>
                    <w:widowControl/>
                    <w:kinsoku/>
                    <w:wordWrap/>
                    <w:overflowPunct/>
                    <w:topLinePunct/>
                    <w:autoSpaceDE w:val="0"/>
                    <w:autoSpaceDN w:val="0"/>
                    <w:bidi w:val="0"/>
                    <w:adjustRightInd w:val="0"/>
                    <w:snapToGrid w:val="0"/>
                    <w:textAlignment w:val="baseline"/>
                  </w:pPr>
                  <w:r>
                    <w:t>万kW·h/a</w:t>
                  </w:r>
                </w:p>
              </w:tc>
              <w:tc>
                <w:tcPr>
                  <w:tcW w:w="1456" w:type="pct"/>
                  <w:tcBorders>
                    <w:tl2br w:val="nil"/>
                    <w:tr2bl w:val="nil"/>
                  </w:tcBorders>
                  <w:noWrap w:val="0"/>
                  <w:tcMar>
                    <w:top w:w="0" w:type="dxa"/>
                    <w:left w:w="0" w:type="dxa"/>
                    <w:bottom w:w="0" w:type="dxa"/>
                    <w:right w:w="0" w:type="dxa"/>
                  </w:tcMar>
                  <w:vAlign w:val="center"/>
                </w:tcPr>
                <w:p w14:paraId="2B84FE0A">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10316</w:t>
                  </w:r>
                </w:p>
              </w:tc>
              <w:tc>
                <w:tcPr>
                  <w:tcW w:w="604" w:type="pct"/>
                  <w:tcBorders>
                    <w:tl2br w:val="nil"/>
                    <w:tr2bl w:val="nil"/>
                  </w:tcBorders>
                  <w:noWrap w:val="0"/>
                  <w:tcMar>
                    <w:top w:w="0" w:type="dxa"/>
                    <w:left w:w="0" w:type="dxa"/>
                    <w:bottom w:w="0" w:type="dxa"/>
                    <w:right w:w="0" w:type="dxa"/>
                  </w:tcMar>
                  <w:vAlign w:val="center"/>
                </w:tcPr>
                <w:p w14:paraId="1E453E23">
                  <w:pPr>
                    <w:pStyle w:val="15"/>
                    <w:keepNext w:val="0"/>
                    <w:keepLines/>
                    <w:pageBreakBefore w:val="0"/>
                    <w:widowControl/>
                    <w:kinsoku/>
                    <w:wordWrap/>
                    <w:overflowPunct/>
                    <w:topLinePunct/>
                    <w:autoSpaceDE w:val="0"/>
                    <w:autoSpaceDN w:val="0"/>
                    <w:bidi w:val="0"/>
                    <w:adjustRightInd w:val="0"/>
                    <w:snapToGrid w:val="0"/>
                    <w:textAlignment w:val="baseline"/>
                  </w:pPr>
                </w:p>
              </w:tc>
            </w:tr>
            <w:tr w14:paraId="29769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pct"/>
                  <w:tcBorders>
                    <w:tl2br w:val="nil"/>
                    <w:tr2bl w:val="nil"/>
                  </w:tcBorders>
                  <w:noWrap w:val="0"/>
                  <w:tcMar>
                    <w:top w:w="0" w:type="dxa"/>
                    <w:left w:w="0" w:type="dxa"/>
                    <w:bottom w:w="0" w:type="dxa"/>
                    <w:right w:w="0" w:type="dxa"/>
                  </w:tcMar>
                  <w:vAlign w:val="center"/>
                </w:tcPr>
                <w:p w14:paraId="44288728">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3</w:t>
                  </w:r>
                </w:p>
              </w:tc>
              <w:tc>
                <w:tcPr>
                  <w:tcW w:w="1167" w:type="pct"/>
                  <w:tcBorders>
                    <w:tl2br w:val="nil"/>
                    <w:tr2bl w:val="nil"/>
                  </w:tcBorders>
                  <w:noWrap w:val="0"/>
                  <w:tcMar>
                    <w:top w:w="0" w:type="dxa"/>
                    <w:left w:w="0" w:type="dxa"/>
                    <w:bottom w:w="0" w:type="dxa"/>
                    <w:right w:w="0" w:type="dxa"/>
                  </w:tcMar>
                  <w:vAlign w:val="center"/>
                </w:tcPr>
                <w:p w14:paraId="22C9069E">
                  <w:pPr>
                    <w:pStyle w:val="15"/>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蒸汽</w:t>
                  </w:r>
                </w:p>
              </w:tc>
              <w:tc>
                <w:tcPr>
                  <w:tcW w:w="1167" w:type="pct"/>
                  <w:tcBorders>
                    <w:tl2br w:val="nil"/>
                    <w:tr2bl w:val="nil"/>
                  </w:tcBorders>
                  <w:noWrap w:val="0"/>
                  <w:tcMar>
                    <w:top w:w="0" w:type="dxa"/>
                    <w:left w:w="0" w:type="dxa"/>
                    <w:bottom w:w="0" w:type="dxa"/>
                    <w:right w:w="0" w:type="dxa"/>
                  </w:tcMar>
                  <w:vAlign w:val="center"/>
                </w:tcPr>
                <w:p w14:paraId="65385571">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万t/a</w:t>
                  </w:r>
                </w:p>
              </w:tc>
              <w:tc>
                <w:tcPr>
                  <w:tcW w:w="1456" w:type="pct"/>
                  <w:tcBorders>
                    <w:tl2br w:val="nil"/>
                    <w:tr2bl w:val="nil"/>
                  </w:tcBorders>
                  <w:noWrap w:val="0"/>
                  <w:tcMar>
                    <w:top w:w="0" w:type="dxa"/>
                    <w:left w:w="0" w:type="dxa"/>
                    <w:bottom w:w="0" w:type="dxa"/>
                    <w:right w:w="0" w:type="dxa"/>
                  </w:tcMar>
                  <w:vAlign w:val="center"/>
                </w:tcPr>
                <w:p w14:paraId="7E3E529A">
                  <w:pPr>
                    <w:pStyle w:val="1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12.28</w:t>
                  </w:r>
                </w:p>
              </w:tc>
              <w:tc>
                <w:tcPr>
                  <w:tcW w:w="604" w:type="pct"/>
                  <w:tcBorders>
                    <w:tl2br w:val="nil"/>
                    <w:tr2bl w:val="nil"/>
                  </w:tcBorders>
                  <w:noWrap w:val="0"/>
                  <w:tcMar>
                    <w:top w:w="0" w:type="dxa"/>
                    <w:left w:w="0" w:type="dxa"/>
                    <w:bottom w:w="0" w:type="dxa"/>
                    <w:right w:w="0" w:type="dxa"/>
                  </w:tcMar>
                  <w:vAlign w:val="center"/>
                </w:tcPr>
                <w:p w14:paraId="4CCA1D62">
                  <w:pPr>
                    <w:pStyle w:val="15"/>
                    <w:keepNext w:val="0"/>
                    <w:keepLines/>
                    <w:pageBreakBefore w:val="0"/>
                    <w:widowControl/>
                    <w:kinsoku/>
                    <w:wordWrap/>
                    <w:overflowPunct/>
                    <w:topLinePunct/>
                    <w:autoSpaceDE w:val="0"/>
                    <w:autoSpaceDN w:val="0"/>
                    <w:bidi w:val="0"/>
                    <w:adjustRightInd w:val="0"/>
                    <w:snapToGrid w:val="0"/>
                    <w:textAlignment w:val="baseline"/>
                  </w:pPr>
                </w:p>
              </w:tc>
            </w:tr>
          </w:tbl>
          <w:p w14:paraId="2996E28A">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7.劳动定员及工作制度</w:t>
            </w:r>
          </w:p>
          <w:p w14:paraId="048ED7DB">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新疆久塔锦晨生物科技股份有限公司现有劳动定员150人，项目年运行8000h，生产装置实行四班三运转。管理干部、技术管理人员、后勤、安全消防等部门实行白班制。</w:t>
            </w:r>
          </w:p>
          <w:p w14:paraId="38FA1AC3">
            <w:pPr>
              <w:keepNext w:val="0"/>
              <w:keepLines/>
              <w:pageBreakBefore w:val="0"/>
              <w:widowControl/>
              <w:kinsoku/>
              <w:wordWrap/>
              <w:overflowPunct/>
              <w:topLinePunct/>
              <w:autoSpaceDE w:val="0"/>
              <w:autoSpaceDN w:val="0"/>
              <w:bidi w:val="0"/>
              <w:adjustRightInd w:val="0"/>
              <w:snapToGrid w:val="0"/>
              <w:textAlignment w:val="baseline"/>
              <w:rPr>
                <w:rFonts w:hint="eastAsia"/>
                <w:spacing w:val="-1"/>
                <w:lang w:eastAsia="zh-CN"/>
              </w:rPr>
            </w:pPr>
            <w:r>
              <w:rPr>
                <w:rFonts w:hint="eastAsia"/>
                <w:lang w:val="en-US" w:eastAsia="zh-CN"/>
              </w:rPr>
              <w:t>本次在现有厂区酸碱罐区内预留空地扩建4座200m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盐酸储罐不新增劳动定员，</w:t>
            </w:r>
            <w:r>
              <w:rPr>
                <w:spacing w:val="-1"/>
              </w:rPr>
              <w:t>扩建后和现有劳动定员相同</w:t>
            </w:r>
            <w:r>
              <w:rPr>
                <w:rFonts w:hint="eastAsia"/>
                <w:spacing w:val="-1"/>
                <w:lang w:eastAsia="zh-CN"/>
              </w:rPr>
              <w:t>。</w:t>
            </w:r>
          </w:p>
          <w:p w14:paraId="1E963363">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8.项目投资</w:t>
            </w:r>
          </w:p>
          <w:p w14:paraId="34C429B9">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盐酸储罐总投资540万元，其中环保投资0万元。</w:t>
            </w:r>
          </w:p>
          <w:p w14:paraId="5D27F020">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9.总平面布置</w:t>
            </w:r>
          </w:p>
          <w:p w14:paraId="0CA573A4">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厂区平面布置从北向南可分为两个区域，依次为北部区域、西部区域。</w:t>
            </w:r>
          </w:p>
          <w:p w14:paraId="14D7F28A">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（1）北部区域</w:t>
            </w:r>
          </w:p>
          <w:p w14:paraId="6941A99B">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厂区北侧区域从西向东依次布设门卫室、研发中心、中心控制室、综合库房、装卸车区域、危险废物贮存库、一般工业固体废物暂存库、库房。</w:t>
            </w:r>
          </w:p>
          <w:p w14:paraId="3E21952A">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（2）西部区域</w:t>
            </w:r>
          </w:p>
          <w:p w14:paraId="1BD6D96B">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厂区西部区域从西向东可划分为4个地块。</w:t>
            </w:r>
          </w:p>
          <w:p w14:paraId="49F68771">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①地块一</w:t>
            </w:r>
          </w:p>
          <w:p w14:paraId="351CA649">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依次布设总变配电室、空压制氮站/冷冻站（含2座冷冻水罐）、消防水站/循环水站（含化验室、消防水池、循环水池）、空置厂房；</w:t>
            </w:r>
          </w:p>
          <w:p w14:paraId="35D17636">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②地块二</w:t>
            </w:r>
          </w:p>
          <w:p w14:paraId="28F150F1">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布设羟基丙酸B厂房；</w:t>
            </w:r>
          </w:p>
          <w:p w14:paraId="1A01CA4A">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③地块三</w:t>
            </w:r>
          </w:p>
          <w:p w14:paraId="09DB9D60">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地块三由北向南可分为氯化亚砜罐区、酸碱罐区、事故水池及初期雨水池、可燃液体罐区；</w:t>
            </w:r>
          </w:p>
          <w:p w14:paraId="0A65BEE8">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氯化亚砜罐区布设区域配电室、2座500m³立式固定顶氯化亚砜储罐；</w:t>
            </w:r>
          </w:p>
          <w:p w14:paraId="2450B37E">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酸碱罐区布设泵房、2座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盐酸储罐、1台</w:t>
            </w:r>
            <w:r>
              <w:rPr>
                <w:rFonts w:hint="eastAsia" w:eastAsia="宋体"/>
                <w:color w:val="auto"/>
                <w:lang w:val="en-US" w:eastAsia="zh-CN"/>
              </w:rPr>
              <w:t>400</w:t>
            </w:r>
            <w:r>
              <w:rPr>
                <w:rFonts w:hint="eastAsia"/>
                <w:color w:val="auto"/>
                <w:lang w:eastAsia="zh-CN"/>
              </w:rPr>
              <w:t>m³</w:t>
            </w:r>
            <w:r>
              <w:rPr>
                <w:rFonts w:hint="eastAsia" w:eastAsia="宋体"/>
                <w:color w:val="auto"/>
                <w:lang w:val="en-US" w:eastAsia="zh-CN"/>
              </w:rPr>
              <w:t>固定顶液碱储罐，</w:t>
            </w:r>
            <w:r>
              <w:rPr>
                <w:rFonts w:hint="eastAsia" w:eastAsia="宋体"/>
                <w:b/>
                <w:bCs/>
                <w:color w:val="auto"/>
                <w:lang w:val="en-US" w:eastAsia="zh-CN"/>
              </w:rPr>
              <w:t>本次扩建4座</w:t>
            </w:r>
            <w:r>
              <w:rPr>
                <w:rFonts w:hint="eastAsia"/>
                <w:b/>
                <w:bCs/>
                <w:lang w:val="en-US" w:eastAsia="zh-CN"/>
              </w:rPr>
              <w:t>200m</w:t>
            </w:r>
            <w:r>
              <w:rPr>
                <w:rFonts w:hint="eastAsia"/>
                <w:b/>
                <w:bCs/>
                <w:vertAlign w:val="superscript"/>
                <w:lang w:val="en-US" w:eastAsia="zh-CN"/>
              </w:rPr>
              <w:t>3</w:t>
            </w:r>
            <w:r>
              <w:rPr>
                <w:rFonts w:hint="eastAsia"/>
                <w:b/>
                <w:bCs/>
                <w:lang w:val="en-US" w:eastAsia="zh-CN"/>
              </w:rPr>
              <w:t>立式固定顶</w:t>
            </w:r>
            <w:r>
              <w:rPr>
                <w:b/>
                <w:bCs/>
                <w:color w:val="auto"/>
                <w:lang w:val="zh-CN"/>
              </w:rPr>
              <w:t>玻璃钢</w:t>
            </w:r>
            <w:r>
              <w:rPr>
                <w:rFonts w:hint="eastAsia"/>
                <w:b/>
                <w:bCs/>
                <w:vertAlign w:val="baseline"/>
                <w:lang w:val="en-US" w:eastAsia="zh-CN"/>
              </w:rPr>
              <w:t>31%</w:t>
            </w:r>
            <w:r>
              <w:rPr>
                <w:rFonts w:hint="eastAsia"/>
                <w:b/>
                <w:bCs/>
                <w:color w:val="auto"/>
                <w:lang w:val="en-US" w:eastAsia="zh-CN"/>
              </w:rPr>
              <w:t>盐酸储罐位于酸碱罐区内北侧预留空地</w:t>
            </w:r>
            <w:r>
              <w:rPr>
                <w:rFonts w:hint="eastAsia"/>
                <w:color w:val="auto"/>
                <w:lang w:val="en-US" w:eastAsia="zh-CN"/>
              </w:rPr>
              <w:t>；</w:t>
            </w:r>
          </w:p>
          <w:p w14:paraId="525A038E">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酸碱罐区南侧为1座有效容积4572m³事故水池和1座有效容积588m³初期雨水池；</w:t>
            </w:r>
          </w:p>
          <w:p w14:paraId="4D099F6E">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可燃液体罐区布设泵房、2座100m³立式甲醇储罐、1座200m³立式S-2-氯丙酸甲酯储罐、1座100m³立式</w:t>
            </w:r>
            <w:r>
              <w:rPr>
                <w:color w:val="auto"/>
              </w:rPr>
              <w:t>MIBK储罐</w:t>
            </w:r>
            <w:r>
              <w:rPr>
                <w:rFonts w:hint="eastAsia"/>
                <w:color w:val="auto"/>
                <w:lang w:val="en-US" w:eastAsia="zh-CN"/>
              </w:rPr>
              <w:t>、1座500m³立式</w:t>
            </w:r>
            <w:r>
              <w:rPr>
                <w:color w:val="auto"/>
              </w:rPr>
              <w:t>D-乳酸甲酯储罐</w:t>
            </w:r>
            <w:r>
              <w:rPr>
                <w:rFonts w:hint="eastAsia"/>
                <w:color w:val="auto"/>
                <w:lang w:val="en-US" w:eastAsia="zh-CN"/>
              </w:rPr>
              <w:t>。</w:t>
            </w:r>
          </w:p>
          <w:p w14:paraId="4FCCCDB1">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eastAsia"/>
                <w:color w:val="auto"/>
                <w:lang w:val="en-US" w:eastAsia="zh-CN"/>
              </w:rPr>
              <w:t>④地块四</w:t>
            </w:r>
          </w:p>
          <w:p w14:paraId="57EAB352">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地块四从北向南可分为2个部分。</w:t>
            </w:r>
          </w:p>
          <w:p w14:paraId="0E4EADC8">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一部分布设1座有效容积3000m³亚硫酸钠溶液暂存池、1座有效容积3000m³釜液池、8座总有效容积112m³含醇废水收集池、1座含醇废水回收装置、S-2氯丙酸甲酯生产车间。</w:t>
            </w:r>
          </w:p>
          <w:p w14:paraId="0C2804CA">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二部分布设1座有效容积1664m³清水池、1套污水处理站生化处理系统、2座总有效容积2000m³原水池、1套三效蒸发装置、1座配电室、1座有效容积8640m³原水收集池、1座有效容积8640m³原水收集池（备用池）、拟建1座氯化钠暂存仓库。</w:t>
            </w:r>
          </w:p>
          <w:p w14:paraId="613FDF43">
            <w:pPr>
              <w:pStyle w:val="3"/>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10.公用工程</w:t>
            </w:r>
          </w:p>
          <w:p w14:paraId="5CE0850F">
            <w:pPr>
              <w:pStyle w:val="4"/>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10.1供水</w:t>
            </w:r>
          </w:p>
          <w:p w14:paraId="0E091707">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本项目在现有厂区酸碱罐区内预留空地扩建4座200m³立式固定顶</w:t>
            </w:r>
            <w:r>
              <w:rPr>
                <w:color w:val="auto"/>
                <w:lang w:val="zh-CN"/>
              </w:rPr>
              <w:t>玻璃钢</w:t>
            </w:r>
            <w:r>
              <w:rPr>
                <w:rFonts w:hint="eastAsia"/>
                <w:vertAlign w:val="baseline"/>
                <w:lang w:val="en-US" w:eastAsia="zh-CN"/>
              </w:rPr>
              <w:t>31%</w:t>
            </w:r>
            <w:r>
              <w:rPr>
                <w:rFonts w:hint="eastAsia"/>
                <w:color w:val="auto"/>
                <w:lang w:val="en-US" w:eastAsia="zh-CN"/>
              </w:rPr>
              <w:t>盐酸储罐，无新增生产、生活用水。</w:t>
            </w:r>
          </w:p>
          <w:p w14:paraId="0B56E4C9">
            <w:pPr>
              <w:pStyle w:val="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10.1.1</w:t>
            </w:r>
            <w:r>
              <w:rPr>
                <w:rFonts w:hint="default"/>
                <w:lang w:val="en-US" w:eastAsia="zh-CN"/>
              </w:rPr>
              <w:t>消防水系统</w:t>
            </w:r>
          </w:p>
          <w:p w14:paraId="4CD07056">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default"/>
                <w:color w:val="auto"/>
                <w:lang w:val="en-US" w:eastAsia="zh-CN"/>
              </w:rPr>
              <w:t>在厂区西北部设置两座800</w:t>
            </w:r>
            <w:r>
              <w:rPr>
                <w:rFonts w:hint="eastAsia"/>
                <w:color w:val="auto"/>
                <w:lang w:val="en-US" w:eastAsia="zh-CN"/>
              </w:rPr>
              <w:t>m³</w:t>
            </w:r>
            <w:r>
              <w:rPr>
                <w:rFonts w:hint="default"/>
                <w:color w:val="auto"/>
                <w:lang w:val="en-US" w:eastAsia="zh-CN"/>
              </w:rPr>
              <w:t>的消防水池，总有效容积</w:t>
            </w:r>
            <w:r>
              <w:rPr>
                <w:rFonts w:hint="eastAsia"/>
                <w:color w:val="auto"/>
                <w:lang w:val="en-US" w:eastAsia="zh-CN"/>
              </w:rPr>
              <w:t>1348m³</w:t>
            </w:r>
            <w:r>
              <w:rPr>
                <w:rFonts w:hint="default"/>
                <w:color w:val="auto"/>
                <w:lang w:val="en-US" w:eastAsia="zh-CN"/>
              </w:rPr>
              <w:t>，消防水池设置液位检测及远传、高低液位报警，厂区一次水管网为消防水池提供补水，补水量30</w:t>
            </w:r>
            <w:r>
              <w:rPr>
                <w:rFonts w:hint="eastAsia"/>
                <w:color w:val="auto"/>
                <w:lang w:val="en-US" w:eastAsia="zh-CN"/>
              </w:rPr>
              <w:t>m³</w:t>
            </w:r>
            <w:r>
              <w:rPr>
                <w:rFonts w:hint="default"/>
                <w:color w:val="auto"/>
                <w:lang w:val="en-US" w:eastAsia="zh-CN"/>
              </w:rPr>
              <w:t>/h，满足消防要求。</w:t>
            </w:r>
          </w:p>
          <w:p w14:paraId="2450FFA4">
            <w:pPr>
              <w:pStyle w:val="4"/>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10.2排水</w:t>
            </w:r>
          </w:p>
          <w:p w14:paraId="1CB8F839">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本项目在现有厂区酸碱罐区内预留空地扩建4座200m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盐酸储罐无新增废水排放。</w:t>
            </w:r>
          </w:p>
          <w:p w14:paraId="73F538D1">
            <w:pPr>
              <w:pStyle w:val="5"/>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10.2.1</w:t>
            </w:r>
            <w:r>
              <w:rPr>
                <w:rFonts w:hint="default"/>
                <w:lang w:val="en-US" w:eastAsia="zh-CN"/>
              </w:rPr>
              <w:t>事故废水收集系统</w:t>
            </w:r>
          </w:p>
          <w:p w14:paraId="40D5E0B5">
            <w:pPr>
              <w:keepNext w:val="0"/>
              <w:keepLines/>
              <w:pageBreakBefore w:val="0"/>
              <w:widowControl/>
              <w:kinsoku/>
              <w:wordWrap/>
              <w:overflowPunct/>
              <w:topLinePunct/>
              <w:autoSpaceDE w:val="0"/>
              <w:autoSpaceDN w:val="0"/>
              <w:bidi w:val="0"/>
              <w:adjustRightInd w:val="0"/>
              <w:snapToGrid w:val="0"/>
              <w:textAlignment w:val="baseline"/>
              <w:rPr>
                <w:rFonts w:hint="default"/>
                <w:color w:val="auto"/>
                <w:lang w:val="en-US" w:eastAsia="zh-CN"/>
              </w:rPr>
            </w:pPr>
            <w:r>
              <w:rPr>
                <w:rFonts w:hint="default"/>
                <w:color w:val="auto"/>
                <w:lang w:val="en-US" w:eastAsia="zh-CN"/>
              </w:rPr>
              <w:t>为</w:t>
            </w:r>
            <w:r>
              <w:rPr>
                <w:rFonts w:hint="eastAsia"/>
                <w:color w:val="auto"/>
                <w:lang w:val="en-US" w:eastAsia="zh-CN"/>
              </w:rPr>
              <w:t>收集</w:t>
            </w:r>
            <w:r>
              <w:rPr>
                <w:rFonts w:hint="default"/>
                <w:color w:val="auto"/>
                <w:lang w:val="en-US" w:eastAsia="zh-CN"/>
              </w:rPr>
              <w:t>工艺装置</w:t>
            </w:r>
            <w:r>
              <w:rPr>
                <w:rFonts w:hint="eastAsia"/>
                <w:color w:val="auto"/>
                <w:lang w:val="en-US" w:eastAsia="zh-CN"/>
              </w:rPr>
              <w:t>、储罐及</w:t>
            </w:r>
            <w:r>
              <w:rPr>
                <w:rFonts w:hint="default"/>
                <w:color w:val="auto"/>
                <w:lang w:val="en-US" w:eastAsia="zh-CN"/>
              </w:rPr>
              <w:t>库房发生火灾时的事故消防水，设置1座</w:t>
            </w:r>
            <w:r>
              <w:rPr>
                <w:rFonts w:hint="eastAsia"/>
                <w:color w:val="auto"/>
                <w:lang w:val="en-US" w:eastAsia="zh-CN"/>
              </w:rPr>
              <w:t>有效容积4572m³</w:t>
            </w:r>
            <w:r>
              <w:rPr>
                <w:rFonts w:hint="default"/>
                <w:color w:val="auto"/>
                <w:lang w:val="en-US" w:eastAsia="zh-CN"/>
              </w:rPr>
              <w:t>事故水池，发生重大的火灾、爆炸事故时，消防水及其携带的物料通过三级防控系统，依次进入</w:t>
            </w:r>
            <w:r>
              <w:rPr>
                <w:rFonts w:hint="eastAsia"/>
                <w:color w:val="auto"/>
                <w:lang w:val="en-US" w:eastAsia="zh-CN"/>
              </w:rPr>
              <w:t>事故废水收集池</w:t>
            </w:r>
            <w:r>
              <w:rPr>
                <w:rFonts w:hint="default"/>
                <w:color w:val="auto"/>
                <w:lang w:val="en-US" w:eastAsia="zh-CN"/>
              </w:rPr>
              <w:t>，事故处理完毕之后限流回送污水处理站处理。</w:t>
            </w:r>
          </w:p>
          <w:p w14:paraId="6601BFC6">
            <w:pPr>
              <w:pStyle w:val="4"/>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10.3供电</w:t>
            </w:r>
          </w:p>
          <w:p w14:paraId="49AA08C4">
            <w:pPr>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全厂</w:t>
            </w:r>
            <w:r>
              <w:rPr>
                <w:rFonts w:hint="default"/>
                <w:lang w:val="en-US" w:eastAsia="zh-CN"/>
              </w:rPr>
              <w:t>供电由</w:t>
            </w:r>
            <w:r>
              <w:rPr>
                <w:rFonts w:hint="eastAsia"/>
                <w:lang w:val="en-US" w:eastAsia="zh-CN"/>
              </w:rPr>
              <w:t>胡杨河经济技术开发区</w:t>
            </w:r>
            <w:r>
              <w:rPr>
                <w:rFonts w:hint="default"/>
                <w:lang w:val="en-US" w:eastAsia="zh-CN"/>
              </w:rPr>
              <w:t>现有五五中心站提供一条35kV架空专线至本项目总变配电室，为一二期共用，另由五五北站提供1条10kV电源线，接入变配电室，满足双电源供电。</w:t>
            </w:r>
            <w:r>
              <w:rPr>
                <w:rFonts w:hint="eastAsia"/>
                <w:lang w:val="en-US" w:eastAsia="zh-CN"/>
              </w:rPr>
              <w:t>厂内</w:t>
            </w:r>
            <w:r>
              <w:rPr>
                <w:rFonts w:hint="default"/>
                <w:lang w:val="en-US" w:eastAsia="zh-CN"/>
              </w:rPr>
              <w:t>设置2台SCB18-2500/35/0.4、2台SCB18-2000/35/0.4、1台SCB18-1250/35/0.4、1台SCB18-1000/35/0.4及1台SCB18-630/10/0.4共7台干式变压器，</w:t>
            </w:r>
            <w:r>
              <w:rPr>
                <w:rFonts w:hint="eastAsia"/>
                <w:lang w:val="en-US" w:eastAsia="zh-CN"/>
              </w:rPr>
              <w:t>现有</w:t>
            </w:r>
            <w:r>
              <w:rPr>
                <w:rFonts w:hint="default"/>
                <w:lang w:val="en-US" w:eastAsia="zh-CN"/>
              </w:rPr>
              <w:t>用电负荷为6692kW</w:t>
            </w:r>
            <w:r>
              <w:rPr>
                <w:rFonts w:hint="eastAsia"/>
                <w:lang w:val="en-US" w:eastAsia="zh-CN"/>
              </w:rPr>
              <w:t>。</w:t>
            </w:r>
          </w:p>
          <w:p w14:paraId="5EEBD168">
            <w:pPr>
              <w:pStyle w:val="4"/>
              <w:keepNext w:val="0"/>
              <w:keepLines/>
              <w:pageBreakBefore w:val="0"/>
              <w:widowControl/>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10.4供热</w:t>
            </w:r>
          </w:p>
          <w:p w14:paraId="34F6AECB">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厂内生产用热依托园区内</w:t>
            </w:r>
            <w:r>
              <w:rPr>
                <w:rFonts w:hint="eastAsia"/>
                <w:color w:val="auto"/>
              </w:rPr>
              <w:t>新疆德欣精细化工有限公司</w:t>
            </w:r>
            <w:r>
              <w:rPr>
                <w:rFonts w:hint="eastAsia"/>
                <w:color w:val="auto"/>
                <w:lang w:val="en-US" w:eastAsia="zh-CN"/>
              </w:rPr>
              <w:t>副产蒸汽供应；冬季采暖依托厂内换热站与部分蒸汽换热供应。</w:t>
            </w:r>
          </w:p>
          <w:p w14:paraId="2F605B44">
            <w:pPr>
              <w:keepNext w:val="0"/>
              <w:keepLines/>
              <w:pageBreakBefore w:val="0"/>
              <w:widowControl/>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color w:val="auto"/>
                <w:lang w:val="en-US" w:eastAsia="zh-CN"/>
              </w:rPr>
              <w:t>引入厂区蒸汽管径为DN250，蒸汽压力为0.5MPa，温度180℃。</w:t>
            </w:r>
          </w:p>
          <w:p w14:paraId="0211E5AD">
            <w:pPr>
              <w:pStyle w:val="4"/>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lang w:val="en-US" w:eastAsia="zh-CN"/>
              </w:rPr>
              <w:t>10.6</w:t>
            </w:r>
            <w:r>
              <w:rPr>
                <w:rFonts w:hint="default"/>
                <w:lang w:val="en-US" w:eastAsia="zh-CN"/>
              </w:rPr>
              <w:t>空压及制氮系统</w:t>
            </w:r>
          </w:p>
          <w:p w14:paraId="47800AF7">
            <w:pPr>
              <w:keepNext w:val="0"/>
              <w:keepLines/>
              <w:pageBreakBefore w:val="0"/>
              <w:widowControl/>
              <w:kinsoku/>
              <w:wordWrap/>
              <w:overflowPunct/>
              <w:topLinePunct/>
              <w:autoSpaceDE w:val="0"/>
              <w:autoSpaceDN w:val="0"/>
              <w:bidi w:val="0"/>
              <w:adjustRightInd w:val="0"/>
              <w:snapToGrid w:val="0"/>
              <w:textAlignment w:val="baseline"/>
              <w:rPr>
                <w:rFonts w:hint="default"/>
                <w:lang w:val="en-US" w:eastAsia="zh-CN"/>
              </w:rPr>
            </w:pPr>
            <w:r>
              <w:rPr>
                <w:rFonts w:hint="eastAsia"/>
                <w:color w:val="auto"/>
                <w:lang w:val="en-US" w:eastAsia="zh-CN"/>
              </w:rPr>
              <w:t>厂内</w:t>
            </w:r>
            <w:r>
              <w:rPr>
                <w:rFonts w:hint="default"/>
                <w:color w:val="auto"/>
                <w:lang w:val="en-US" w:eastAsia="zh-CN"/>
              </w:rPr>
              <w:t>设置空压站，为本项目提供压缩空气、仪表空气及氮气。本项目建设排气量为2000Nm³/h空压机3台（两开一备），并配套空气净化系统；PSA制氮系统2套，1套制氮能力为200Nm³/h，一套制氮能力为400N</w:t>
            </w:r>
            <w:r>
              <w:rPr>
                <w:rFonts w:hint="eastAsia"/>
                <w:color w:val="auto"/>
                <w:lang w:val="en-US" w:eastAsia="zh-CN"/>
              </w:rPr>
              <w:t>m³</w:t>
            </w:r>
            <w:r>
              <w:rPr>
                <w:rFonts w:hint="default"/>
                <w:color w:val="auto"/>
                <w:lang w:val="en-US" w:eastAsia="zh-CN"/>
              </w:rPr>
              <w:t>/h，互为备用。</w:t>
            </w:r>
          </w:p>
        </w:tc>
      </w:tr>
      <w:tr w14:paraId="55211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45" w:type="dxa"/>
            <w:vAlign w:val="center"/>
          </w:tcPr>
          <w:p w14:paraId="2CA8AE7F">
            <w:pPr>
              <w:pStyle w:val="3"/>
              <w:keepNext w:val="0"/>
              <w:pageBreakBefore w:val="0"/>
              <w:kinsoku/>
              <w:overflowPunct/>
              <w:bidi w:val="0"/>
              <w:jc w:val="center"/>
              <w:rPr>
                <w:rFonts w:hint="eastAsia"/>
              </w:rPr>
            </w:pPr>
            <w:r>
              <w:rPr>
                <w:rFonts w:hint="eastAsia"/>
              </w:rPr>
              <w:t>工</w:t>
            </w:r>
          </w:p>
          <w:p w14:paraId="7344E506">
            <w:pPr>
              <w:pStyle w:val="3"/>
              <w:keepNext w:val="0"/>
              <w:pageBreakBefore w:val="0"/>
              <w:kinsoku/>
              <w:overflowPunct/>
              <w:bidi w:val="0"/>
              <w:jc w:val="center"/>
              <w:rPr>
                <w:rFonts w:hint="eastAsia"/>
              </w:rPr>
            </w:pPr>
            <w:r>
              <w:rPr>
                <w:rFonts w:hint="eastAsia"/>
              </w:rPr>
              <w:t>艺</w:t>
            </w:r>
          </w:p>
          <w:p w14:paraId="5C4F4409">
            <w:pPr>
              <w:pStyle w:val="3"/>
              <w:keepNext w:val="0"/>
              <w:pageBreakBefore w:val="0"/>
              <w:kinsoku/>
              <w:overflowPunct/>
              <w:bidi w:val="0"/>
              <w:jc w:val="center"/>
              <w:rPr>
                <w:rFonts w:hint="eastAsia"/>
              </w:rPr>
            </w:pPr>
            <w:r>
              <w:rPr>
                <w:rFonts w:hint="eastAsia"/>
              </w:rPr>
              <w:t>流</w:t>
            </w:r>
          </w:p>
          <w:p w14:paraId="51787E57">
            <w:pPr>
              <w:pStyle w:val="3"/>
              <w:keepNext w:val="0"/>
              <w:pageBreakBefore w:val="0"/>
              <w:kinsoku/>
              <w:overflowPunct/>
              <w:bidi w:val="0"/>
              <w:jc w:val="center"/>
              <w:rPr>
                <w:rFonts w:hint="eastAsia"/>
              </w:rPr>
            </w:pPr>
            <w:r>
              <w:rPr>
                <w:rFonts w:hint="eastAsia"/>
              </w:rPr>
              <w:t>程</w:t>
            </w:r>
          </w:p>
          <w:p w14:paraId="3E85A371">
            <w:pPr>
              <w:pStyle w:val="3"/>
              <w:keepNext w:val="0"/>
              <w:pageBreakBefore w:val="0"/>
              <w:kinsoku/>
              <w:overflowPunct/>
              <w:bidi w:val="0"/>
              <w:jc w:val="center"/>
              <w:rPr>
                <w:rFonts w:hint="eastAsia"/>
              </w:rPr>
            </w:pPr>
            <w:r>
              <w:rPr>
                <w:rFonts w:hint="eastAsia"/>
              </w:rPr>
              <w:t>和</w:t>
            </w:r>
          </w:p>
          <w:p w14:paraId="0DBE151F">
            <w:pPr>
              <w:pStyle w:val="3"/>
              <w:keepNext w:val="0"/>
              <w:pageBreakBefore w:val="0"/>
              <w:kinsoku/>
              <w:overflowPunct/>
              <w:bidi w:val="0"/>
              <w:jc w:val="center"/>
              <w:rPr>
                <w:rFonts w:hint="eastAsia"/>
              </w:rPr>
            </w:pPr>
            <w:r>
              <w:rPr>
                <w:rFonts w:hint="eastAsia"/>
              </w:rPr>
              <w:t>产</w:t>
            </w:r>
          </w:p>
          <w:p w14:paraId="0DF32325">
            <w:pPr>
              <w:pStyle w:val="3"/>
              <w:keepNext w:val="0"/>
              <w:pageBreakBefore w:val="0"/>
              <w:kinsoku/>
              <w:overflowPunct/>
              <w:bidi w:val="0"/>
              <w:jc w:val="center"/>
              <w:rPr>
                <w:rFonts w:hint="eastAsia"/>
              </w:rPr>
            </w:pPr>
            <w:r>
              <w:rPr>
                <w:rFonts w:hint="eastAsia"/>
              </w:rPr>
              <w:t>排</w:t>
            </w:r>
          </w:p>
          <w:p w14:paraId="5D780D59">
            <w:pPr>
              <w:pStyle w:val="3"/>
              <w:keepNext w:val="0"/>
              <w:pageBreakBefore w:val="0"/>
              <w:kinsoku/>
              <w:overflowPunct/>
              <w:bidi w:val="0"/>
              <w:jc w:val="center"/>
              <w:rPr>
                <w:rFonts w:hint="eastAsia"/>
              </w:rPr>
            </w:pPr>
            <w:r>
              <w:rPr>
                <w:rFonts w:hint="eastAsia"/>
              </w:rPr>
              <w:t>污</w:t>
            </w:r>
          </w:p>
          <w:p w14:paraId="264B29FD">
            <w:pPr>
              <w:pStyle w:val="3"/>
              <w:keepNext w:val="0"/>
              <w:pageBreakBefore w:val="0"/>
              <w:kinsoku/>
              <w:overflowPunct/>
              <w:bidi w:val="0"/>
              <w:jc w:val="center"/>
              <w:rPr>
                <w:rFonts w:hint="eastAsia"/>
              </w:rPr>
            </w:pPr>
            <w:r>
              <w:rPr>
                <w:rFonts w:hint="eastAsia"/>
              </w:rPr>
              <w:t>环</w:t>
            </w:r>
          </w:p>
          <w:p w14:paraId="5D5F1EBB">
            <w:pPr>
              <w:pStyle w:val="3"/>
              <w:keepNext w:val="0"/>
              <w:pageBreakBefore w:val="0"/>
              <w:kinsoku/>
              <w:overflowPunct/>
              <w:bidi w:val="0"/>
              <w:jc w:val="center"/>
            </w:pPr>
            <w:r>
              <w:rPr>
                <w:rFonts w:hint="eastAsia"/>
              </w:rPr>
              <w:t>节</w:t>
            </w:r>
          </w:p>
        </w:tc>
        <w:tc>
          <w:tcPr>
            <w:tcW w:w="7932" w:type="dxa"/>
            <w:vAlign w:val="top"/>
          </w:tcPr>
          <w:p w14:paraId="7553BA45">
            <w:pPr>
              <w:pStyle w:val="3"/>
              <w:keepNext w:val="0"/>
              <w:pageBreakBefore w:val="0"/>
              <w:widowControl w:val="0"/>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1.施工期工艺流程及产污分析</w:t>
            </w:r>
          </w:p>
          <w:p w14:paraId="0D3A5D09">
            <w:pPr>
              <w:keepNext w:val="0"/>
              <w:pageBreakBefore w:val="0"/>
              <w:widowControl w:val="0"/>
              <w:kinsoku/>
              <w:wordWrap/>
              <w:overflowPunct/>
              <w:topLinePunct/>
              <w:autoSpaceDE w:val="0"/>
              <w:autoSpaceDN w:val="0"/>
              <w:bidi w:val="0"/>
              <w:adjustRightInd w:val="0"/>
              <w:snapToGrid w:val="0"/>
              <w:textAlignment w:val="baseline"/>
              <w:rPr>
                <w:rFonts w:hint="eastAsia"/>
                <w:color w:val="auto"/>
                <w:lang w:val="en-US" w:eastAsia="zh-CN"/>
              </w:rPr>
            </w:pPr>
            <w:r>
              <w:rPr>
                <w:rFonts w:hint="eastAsia"/>
                <w:lang w:val="en-US" w:eastAsia="zh-CN"/>
              </w:rPr>
              <w:t>本项目在现有厂区酸碱罐区内预留空地扩建4座200m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盐酸储罐，仅安装4座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盐酸储罐及配套连接管道，不涉及土方挖掘、土地平整等工序，施工扬尘的主要来源为车辆运输、材料装卸和堆存。</w:t>
            </w:r>
          </w:p>
          <w:p w14:paraId="00362459">
            <w:pPr>
              <w:pStyle w:val="15"/>
              <w:keepNext w:val="0"/>
              <w:pageBreakBefore w:val="0"/>
              <w:kinsoku/>
              <w:overflowPunct/>
              <w:bidi w:val="0"/>
              <w:rPr>
                <w:rFonts w:hint="default"/>
                <w:lang w:val="en-US" w:eastAsia="zh-CN"/>
              </w:rPr>
            </w:pPr>
            <w:r>
              <w:rPr>
                <w:rFonts w:hint="default"/>
                <w:lang w:val="en-US" w:eastAsia="zh-CN"/>
              </w:rPr>
              <w:object>
                <v:shape id="_x0000_i1025" o:spt="75" type="#_x0000_t75" style="height:82.15pt;width:357.75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14:paraId="56ED2705">
            <w:pPr>
              <w:pStyle w:val="18"/>
              <w:keepNext w:val="0"/>
              <w:pageBreakBefore w:val="0"/>
              <w:kinsoku/>
              <w:overflowPunct/>
              <w:bidi w:val="0"/>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w:t>
            </w:r>
            <w:r>
              <w:t>施工期工艺流程图</w:t>
            </w:r>
          </w:p>
          <w:p w14:paraId="368244B2">
            <w:pPr>
              <w:keepNext w:val="0"/>
              <w:pageBreakBefore w:val="0"/>
              <w:kinsoku/>
              <w:overflowPunct/>
              <w:bidi w:val="0"/>
              <w:rPr>
                <w:spacing w:val="-1"/>
              </w:rPr>
            </w:pPr>
            <w:r>
              <w:t>施工期主要是设备运输和安装时产生的扬尘和噪声，还有设备安装完成后清</w:t>
            </w:r>
            <w:r>
              <w:rPr>
                <w:spacing w:val="-1"/>
              </w:rPr>
              <w:t>理工序产生的扬尘和</w:t>
            </w:r>
            <w:r>
              <w:rPr>
                <w:rFonts w:hint="eastAsia"/>
                <w:spacing w:val="-1"/>
                <w:lang w:val="en-US" w:eastAsia="zh-CN"/>
              </w:rPr>
              <w:t>储罐、管道</w:t>
            </w:r>
            <w:r>
              <w:rPr>
                <w:spacing w:val="-1"/>
              </w:rPr>
              <w:t>安装</w:t>
            </w:r>
            <w:r>
              <w:rPr>
                <w:rFonts w:hint="eastAsia"/>
                <w:spacing w:val="-1"/>
                <w:lang w:val="en-US" w:eastAsia="zh-CN"/>
              </w:rPr>
              <w:t>产生的建筑</w:t>
            </w:r>
            <w:r>
              <w:rPr>
                <w:spacing w:val="-1"/>
              </w:rPr>
              <w:t>垃圾。</w:t>
            </w:r>
          </w:p>
          <w:p w14:paraId="45DA1362">
            <w:pPr>
              <w:pStyle w:val="16"/>
              <w:keepNext w:val="0"/>
              <w:pageBreakBefore w:val="0"/>
              <w:kinsoku/>
              <w:overflowPunct/>
              <w:bidi w:val="0"/>
            </w:pPr>
            <w:r>
              <w:t xml:space="preserve">表 </w:t>
            </w:r>
            <w:r>
              <w:fldChar w:fldCharType="begin"/>
            </w:r>
            <w:r>
              <w:instrText xml:space="preserve"> SEQ 表 \* ARABIC </w:instrText>
            </w:r>
            <w:r>
              <w:fldChar w:fldCharType="separate"/>
            </w:r>
            <w:r>
              <w:t>10</w:t>
            </w:r>
            <w:r>
              <w:fldChar w:fldCharType="end"/>
            </w:r>
            <w:r>
              <w:rPr>
                <w:rFonts w:hint="eastAsia"/>
                <w:lang w:val="en-US" w:eastAsia="zh-CN"/>
              </w:rPr>
              <w:t xml:space="preserve">  </w:t>
            </w:r>
            <w:r>
              <w:t>本项目施工期污染物产生及治理情况表</w:t>
            </w:r>
          </w:p>
          <w:tbl>
            <w:tblPr>
              <w:tblStyle w:val="1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87"/>
              <w:gridCol w:w="458"/>
              <w:gridCol w:w="1144"/>
              <w:gridCol w:w="1880"/>
              <w:gridCol w:w="4017"/>
            </w:tblGrid>
            <w:tr w14:paraId="621A82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61" w:hRule="atLeast"/>
              </w:trPr>
              <w:tc>
                <w:tcPr>
                  <w:tcW w:w="246" w:type="pct"/>
                  <w:tcBorders>
                    <w:tl2br w:val="nil"/>
                    <w:tr2bl w:val="nil"/>
                  </w:tcBorders>
                  <w:vAlign w:val="center"/>
                </w:tcPr>
                <w:p w14:paraId="6E6FF2B1">
                  <w:pPr>
                    <w:pStyle w:val="15"/>
                    <w:keepNext w:val="0"/>
                    <w:pageBreakBefore w:val="0"/>
                    <w:kinsoku/>
                    <w:overflowPunct/>
                    <w:bidi w:val="0"/>
                    <w:jc w:val="center"/>
                  </w:pPr>
                  <w:r>
                    <w:t>工序</w:t>
                  </w:r>
                </w:p>
              </w:tc>
              <w:tc>
                <w:tcPr>
                  <w:tcW w:w="290" w:type="pct"/>
                  <w:tcBorders>
                    <w:tl2br w:val="nil"/>
                    <w:tr2bl w:val="nil"/>
                  </w:tcBorders>
                  <w:vAlign w:val="center"/>
                </w:tcPr>
                <w:p w14:paraId="16E3E3BC">
                  <w:pPr>
                    <w:pStyle w:val="15"/>
                    <w:keepNext w:val="0"/>
                    <w:pageBreakBefore w:val="0"/>
                    <w:kinsoku/>
                    <w:overflowPunct/>
                    <w:bidi w:val="0"/>
                    <w:jc w:val="center"/>
                  </w:pPr>
                  <w:r>
                    <w:t>污染物</w:t>
                  </w:r>
                </w:p>
              </w:tc>
              <w:tc>
                <w:tcPr>
                  <w:tcW w:w="725" w:type="pct"/>
                  <w:tcBorders>
                    <w:tl2br w:val="nil"/>
                    <w:tr2bl w:val="nil"/>
                  </w:tcBorders>
                  <w:vAlign w:val="center"/>
                </w:tcPr>
                <w:p w14:paraId="250CAD36">
                  <w:pPr>
                    <w:pStyle w:val="15"/>
                    <w:keepNext w:val="0"/>
                    <w:pageBreakBefore w:val="0"/>
                    <w:kinsoku/>
                    <w:overflowPunct/>
                    <w:bidi w:val="0"/>
                    <w:jc w:val="center"/>
                  </w:pPr>
                  <w:r>
                    <w:t>污染源</w:t>
                  </w:r>
                </w:p>
              </w:tc>
              <w:tc>
                <w:tcPr>
                  <w:tcW w:w="1191" w:type="pct"/>
                  <w:tcBorders>
                    <w:tl2br w:val="nil"/>
                    <w:tr2bl w:val="nil"/>
                  </w:tcBorders>
                  <w:vAlign w:val="center"/>
                </w:tcPr>
                <w:p w14:paraId="4B4C6B27">
                  <w:pPr>
                    <w:pStyle w:val="15"/>
                    <w:keepNext w:val="0"/>
                    <w:pageBreakBefore w:val="0"/>
                    <w:kinsoku/>
                    <w:overflowPunct/>
                    <w:bidi w:val="0"/>
                    <w:jc w:val="center"/>
                  </w:pPr>
                  <w:r>
                    <w:t>污染因子</w:t>
                  </w:r>
                </w:p>
              </w:tc>
              <w:tc>
                <w:tcPr>
                  <w:tcW w:w="2545" w:type="pct"/>
                  <w:tcBorders>
                    <w:tl2br w:val="nil"/>
                    <w:tr2bl w:val="nil"/>
                  </w:tcBorders>
                  <w:vAlign w:val="center"/>
                </w:tcPr>
                <w:p w14:paraId="3FEC7D38">
                  <w:pPr>
                    <w:pStyle w:val="15"/>
                    <w:keepNext w:val="0"/>
                    <w:pageBreakBefore w:val="0"/>
                    <w:kinsoku/>
                    <w:overflowPunct/>
                    <w:bidi w:val="0"/>
                    <w:jc w:val="center"/>
                  </w:pPr>
                  <w:r>
                    <w:t>治理措施</w:t>
                  </w:r>
                </w:p>
              </w:tc>
            </w:tr>
            <w:tr w14:paraId="6E3437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46" w:type="pct"/>
                  <w:vMerge w:val="restart"/>
                  <w:tcBorders>
                    <w:tl2br w:val="nil"/>
                    <w:tr2bl w:val="nil"/>
                  </w:tcBorders>
                  <w:vAlign w:val="center"/>
                </w:tcPr>
                <w:p w14:paraId="191F2C7E">
                  <w:pPr>
                    <w:pStyle w:val="15"/>
                    <w:keepNext w:val="0"/>
                    <w:pageBreakBefore w:val="0"/>
                    <w:kinsoku/>
                    <w:overflowPunct/>
                    <w:bidi w:val="0"/>
                    <w:jc w:val="center"/>
                  </w:pPr>
                  <w:r>
                    <w:t>施工期</w:t>
                  </w:r>
                </w:p>
              </w:tc>
              <w:tc>
                <w:tcPr>
                  <w:tcW w:w="290" w:type="pct"/>
                  <w:tcBorders>
                    <w:tl2br w:val="nil"/>
                    <w:tr2bl w:val="nil"/>
                  </w:tcBorders>
                  <w:vAlign w:val="center"/>
                </w:tcPr>
                <w:p w14:paraId="3DF8E0EE">
                  <w:pPr>
                    <w:pStyle w:val="15"/>
                    <w:keepNext w:val="0"/>
                    <w:pageBreakBefore w:val="0"/>
                    <w:kinsoku/>
                    <w:overflowPunct/>
                    <w:bidi w:val="0"/>
                    <w:jc w:val="center"/>
                  </w:pPr>
                  <w:r>
                    <w:t>废气</w:t>
                  </w:r>
                </w:p>
              </w:tc>
              <w:tc>
                <w:tcPr>
                  <w:tcW w:w="725" w:type="pct"/>
                  <w:tcBorders>
                    <w:tl2br w:val="nil"/>
                    <w:tr2bl w:val="nil"/>
                  </w:tcBorders>
                  <w:vAlign w:val="center"/>
                </w:tcPr>
                <w:p w14:paraId="347C73AE">
                  <w:pPr>
                    <w:pStyle w:val="15"/>
                    <w:keepNext w:val="0"/>
                    <w:pageBreakBefore w:val="0"/>
                    <w:kinsoku/>
                    <w:overflowPunct/>
                    <w:bidi w:val="0"/>
                    <w:jc w:val="center"/>
                    <w:rPr>
                      <w:rFonts w:hint="default" w:eastAsia="宋体"/>
                      <w:lang w:val="en-US" w:eastAsia="zh-CN"/>
                    </w:rPr>
                  </w:pPr>
                  <w:r>
                    <w:t>运输过程</w:t>
                  </w:r>
                  <w:r>
                    <w:rPr>
                      <w:rFonts w:hint="eastAsia"/>
                      <w:lang w:eastAsia="zh-CN"/>
                    </w:rPr>
                    <w:t>、</w:t>
                  </w:r>
                  <w:r>
                    <w:rPr>
                      <w:rFonts w:hint="eastAsia"/>
                      <w:lang w:val="en-US" w:eastAsia="zh-CN"/>
                    </w:rPr>
                    <w:t>安装</w:t>
                  </w:r>
                </w:p>
              </w:tc>
              <w:tc>
                <w:tcPr>
                  <w:tcW w:w="1191" w:type="pct"/>
                  <w:tcBorders>
                    <w:tl2br w:val="nil"/>
                    <w:tr2bl w:val="nil"/>
                  </w:tcBorders>
                  <w:vAlign w:val="center"/>
                </w:tcPr>
                <w:p w14:paraId="21EAA185">
                  <w:pPr>
                    <w:pStyle w:val="15"/>
                    <w:keepNext w:val="0"/>
                    <w:pageBreakBefore w:val="0"/>
                    <w:kinsoku/>
                    <w:overflowPunct/>
                    <w:bidi w:val="0"/>
                    <w:jc w:val="center"/>
                  </w:pPr>
                  <w:r>
                    <w:t>颗粒物</w:t>
                  </w:r>
                </w:p>
              </w:tc>
              <w:tc>
                <w:tcPr>
                  <w:tcW w:w="2545" w:type="pct"/>
                  <w:tcBorders>
                    <w:tl2br w:val="nil"/>
                    <w:tr2bl w:val="nil"/>
                  </w:tcBorders>
                  <w:vAlign w:val="center"/>
                </w:tcPr>
                <w:p w14:paraId="30AA6D67">
                  <w:pPr>
                    <w:pStyle w:val="15"/>
                    <w:keepNext w:val="0"/>
                    <w:pageBreakBefore w:val="0"/>
                    <w:kinsoku/>
                    <w:overflowPunct/>
                    <w:bidi w:val="0"/>
                    <w:jc w:val="center"/>
                  </w:pPr>
                  <w:r>
                    <w:t>现场洒水降尘</w:t>
                  </w:r>
                </w:p>
              </w:tc>
            </w:tr>
            <w:tr w14:paraId="6CAC62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46" w:type="pct"/>
                  <w:vMerge w:val="continue"/>
                  <w:tcBorders>
                    <w:tl2br w:val="nil"/>
                    <w:tr2bl w:val="nil"/>
                  </w:tcBorders>
                  <w:vAlign w:val="center"/>
                </w:tcPr>
                <w:p w14:paraId="1443BDB7">
                  <w:pPr>
                    <w:pStyle w:val="15"/>
                    <w:keepNext w:val="0"/>
                    <w:pageBreakBefore w:val="0"/>
                    <w:kinsoku/>
                    <w:overflowPunct/>
                    <w:bidi w:val="0"/>
                    <w:jc w:val="center"/>
                  </w:pPr>
                </w:p>
              </w:tc>
              <w:tc>
                <w:tcPr>
                  <w:tcW w:w="290" w:type="pct"/>
                  <w:tcBorders>
                    <w:tl2br w:val="nil"/>
                    <w:tr2bl w:val="nil"/>
                  </w:tcBorders>
                  <w:vAlign w:val="center"/>
                </w:tcPr>
                <w:p w14:paraId="682EB986">
                  <w:pPr>
                    <w:pStyle w:val="15"/>
                    <w:keepNext w:val="0"/>
                    <w:pageBreakBefore w:val="0"/>
                    <w:kinsoku/>
                    <w:overflowPunct/>
                    <w:bidi w:val="0"/>
                    <w:jc w:val="center"/>
                  </w:pPr>
                  <w:r>
                    <w:t>废水</w:t>
                  </w:r>
                </w:p>
              </w:tc>
              <w:tc>
                <w:tcPr>
                  <w:tcW w:w="725" w:type="pct"/>
                  <w:tcBorders>
                    <w:tl2br w:val="nil"/>
                    <w:tr2bl w:val="nil"/>
                  </w:tcBorders>
                  <w:vAlign w:val="center"/>
                </w:tcPr>
                <w:p w14:paraId="4B6C0B24">
                  <w:pPr>
                    <w:pStyle w:val="15"/>
                    <w:keepNext w:val="0"/>
                    <w:pageBreakBefore w:val="0"/>
                    <w:kinsoku/>
                    <w:overflowPunct/>
                    <w:bidi w:val="0"/>
                    <w:jc w:val="center"/>
                  </w:pPr>
                  <w:r>
                    <w:t>生活污水</w:t>
                  </w:r>
                </w:p>
              </w:tc>
              <w:tc>
                <w:tcPr>
                  <w:tcW w:w="1191" w:type="pct"/>
                  <w:tcBorders>
                    <w:tl2br w:val="nil"/>
                    <w:tr2bl w:val="nil"/>
                  </w:tcBorders>
                  <w:vAlign w:val="center"/>
                </w:tcPr>
                <w:p w14:paraId="3426C3DF">
                  <w:pPr>
                    <w:pStyle w:val="15"/>
                    <w:keepNext w:val="0"/>
                    <w:pageBreakBefore w:val="0"/>
                    <w:kinsoku/>
                    <w:overflowPunct/>
                    <w:bidi w:val="0"/>
                    <w:jc w:val="center"/>
                  </w:pPr>
                  <w:r>
                    <w:t>pH、COD、SS、BOD</w:t>
                  </w:r>
                  <w:r>
                    <w:rPr>
                      <w:vertAlign w:val="subscript"/>
                    </w:rPr>
                    <w:t>5</w:t>
                  </w:r>
                  <w:r>
                    <w:t>、氨氮、动植物油</w:t>
                  </w:r>
                </w:p>
              </w:tc>
              <w:tc>
                <w:tcPr>
                  <w:tcW w:w="2545" w:type="pct"/>
                  <w:tcBorders>
                    <w:tl2br w:val="nil"/>
                    <w:tr2bl w:val="nil"/>
                  </w:tcBorders>
                  <w:vAlign w:val="center"/>
                </w:tcPr>
                <w:p w14:paraId="1FB56769">
                  <w:pPr>
                    <w:pStyle w:val="15"/>
                    <w:keepNext w:val="0"/>
                    <w:pageBreakBefore w:val="0"/>
                    <w:kinsoku/>
                    <w:overflowPunct/>
                    <w:bidi w:val="0"/>
                    <w:jc w:val="center"/>
                    <w:rPr>
                      <w:rFonts w:hint="default" w:eastAsia="宋体"/>
                      <w:lang w:val="en-US" w:eastAsia="zh-CN"/>
                    </w:rPr>
                  </w:pPr>
                  <w:r>
                    <w:rPr>
                      <w:rFonts w:hint="eastAsia"/>
                      <w:color w:val="auto"/>
                      <w:lang w:val="en-US" w:eastAsia="zh-CN"/>
                    </w:rPr>
                    <w:t>通过生活污水管网汇集至化粪池，经园区污水管网排入胡杨河经济技术开发区一号污水处理厂进一步处理。</w:t>
                  </w:r>
                </w:p>
              </w:tc>
            </w:tr>
            <w:tr w14:paraId="73DFBB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46" w:type="pct"/>
                  <w:vMerge w:val="continue"/>
                  <w:tcBorders>
                    <w:tl2br w:val="nil"/>
                    <w:tr2bl w:val="nil"/>
                  </w:tcBorders>
                  <w:vAlign w:val="center"/>
                </w:tcPr>
                <w:p w14:paraId="64C64408">
                  <w:pPr>
                    <w:pStyle w:val="15"/>
                    <w:keepNext w:val="0"/>
                    <w:pageBreakBefore w:val="0"/>
                    <w:kinsoku/>
                    <w:overflowPunct/>
                    <w:bidi w:val="0"/>
                    <w:jc w:val="center"/>
                  </w:pPr>
                </w:p>
              </w:tc>
              <w:tc>
                <w:tcPr>
                  <w:tcW w:w="290" w:type="pct"/>
                  <w:tcBorders>
                    <w:tl2br w:val="nil"/>
                    <w:tr2bl w:val="nil"/>
                  </w:tcBorders>
                  <w:vAlign w:val="center"/>
                </w:tcPr>
                <w:p w14:paraId="074E6323">
                  <w:pPr>
                    <w:pStyle w:val="15"/>
                    <w:keepNext w:val="0"/>
                    <w:pageBreakBefore w:val="0"/>
                    <w:kinsoku/>
                    <w:overflowPunct/>
                    <w:bidi w:val="0"/>
                    <w:jc w:val="center"/>
                  </w:pPr>
                  <w:r>
                    <w:t>噪声</w:t>
                  </w:r>
                </w:p>
              </w:tc>
              <w:tc>
                <w:tcPr>
                  <w:tcW w:w="725" w:type="pct"/>
                  <w:tcBorders>
                    <w:tl2br w:val="nil"/>
                    <w:tr2bl w:val="nil"/>
                  </w:tcBorders>
                  <w:vAlign w:val="center"/>
                </w:tcPr>
                <w:p w14:paraId="5980B719">
                  <w:pPr>
                    <w:pStyle w:val="15"/>
                    <w:keepNext w:val="0"/>
                    <w:pageBreakBefore w:val="0"/>
                    <w:kinsoku/>
                    <w:overflowPunct/>
                    <w:bidi w:val="0"/>
                    <w:jc w:val="center"/>
                  </w:pPr>
                  <w:r>
                    <w:t>施工机械运行、车辆运输</w:t>
                  </w:r>
                </w:p>
              </w:tc>
              <w:tc>
                <w:tcPr>
                  <w:tcW w:w="1191" w:type="pct"/>
                  <w:tcBorders>
                    <w:tl2br w:val="nil"/>
                    <w:tr2bl w:val="nil"/>
                  </w:tcBorders>
                  <w:vAlign w:val="center"/>
                </w:tcPr>
                <w:p w14:paraId="4CE4908E">
                  <w:pPr>
                    <w:pStyle w:val="15"/>
                    <w:keepNext w:val="0"/>
                    <w:pageBreakBefore w:val="0"/>
                    <w:kinsoku/>
                    <w:overflowPunct/>
                    <w:bidi w:val="0"/>
                    <w:jc w:val="center"/>
                  </w:pPr>
                  <w:r>
                    <w:t>噪声</w:t>
                  </w:r>
                </w:p>
              </w:tc>
              <w:tc>
                <w:tcPr>
                  <w:tcW w:w="2545" w:type="pct"/>
                  <w:tcBorders>
                    <w:tl2br w:val="nil"/>
                    <w:tr2bl w:val="nil"/>
                  </w:tcBorders>
                  <w:vAlign w:val="center"/>
                </w:tcPr>
                <w:p w14:paraId="047603F0">
                  <w:pPr>
                    <w:pStyle w:val="15"/>
                    <w:keepNext w:val="0"/>
                    <w:pageBreakBefore w:val="0"/>
                    <w:kinsoku/>
                    <w:overflowPunct/>
                    <w:bidi w:val="0"/>
                    <w:jc w:val="center"/>
                  </w:pPr>
                  <w:r>
                    <w:t>低噪声的施工机械和施工方法</w:t>
                  </w:r>
                </w:p>
              </w:tc>
            </w:tr>
            <w:tr w14:paraId="213B85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46" w:type="pct"/>
                  <w:vMerge w:val="continue"/>
                  <w:tcBorders>
                    <w:tl2br w:val="nil"/>
                    <w:tr2bl w:val="nil"/>
                  </w:tcBorders>
                  <w:vAlign w:val="center"/>
                </w:tcPr>
                <w:p w14:paraId="5D464BC1">
                  <w:pPr>
                    <w:pStyle w:val="15"/>
                    <w:keepNext w:val="0"/>
                    <w:pageBreakBefore w:val="0"/>
                    <w:kinsoku/>
                    <w:overflowPunct/>
                    <w:bidi w:val="0"/>
                    <w:jc w:val="center"/>
                  </w:pPr>
                </w:p>
              </w:tc>
              <w:tc>
                <w:tcPr>
                  <w:tcW w:w="290" w:type="pct"/>
                  <w:vMerge w:val="restart"/>
                  <w:tcBorders>
                    <w:tl2br w:val="nil"/>
                    <w:tr2bl w:val="nil"/>
                  </w:tcBorders>
                  <w:vAlign w:val="center"/>
                </w:tcPr>
                <w:p w14:paraId="1A28D74F">
                  <w:pPr>
                    <w:pStyle w:val="15"/>
                    <w:keepNext w:val="0"/>
                    <w:pageBreakBefore w:val="0"/>
                    <w:kinsoku/>
                    <w:overflowPunct/>
                    <w:bidi w:val="0"/>
                    <w:jc w:val="center"/>
                  </w:pPr>
                  <w:r>
                    <w:t>固体废物</w:t>
                  </w:r>
                </w:p>
              </w:tc>
              <w:tc>
                <w:tcPr>
                  <w:tcW w:w="725" w:type="pct"/>
                  <w:tcBorders>
                    <w:tl2br w:val="nil"/>
                    <w:tr2bl w:val="nil"/>
                  </w:tcBorders>
                  <w:vAlign w:val="center"/>
                </w:tcPr>
                <w:p w14:paraId="1C1F81C1">
                  <w:pPr>
                    <w:pStyle w:val="15"/>
                    <w:keepNext w:val="0"/>
                    <w:pageBreakBefore w:val="0"/>
                    <w:kinsoku/>
                    <w:overflowPunct/>
                    <w:bidi w:val="0"/>
                    <w:jc w:val="center"/>
                  </w:pPr>
                  <w:r>
                    <w:t>设备安装</w:t>
                  </w:r>
                </w:p>
              </w:tc>
              <w:tc>
                <w:tcPr>
                  <w:tcW w:w="1191" w:type="pct"/>
                  <w:tcBorders>
                    <w:tl2br w:val="nil"/>
                    <w:tr2bl w:val="nil"/>
                  </w:tcBorders>
                  <w:vAlign w:val="center"/>
                </w:tcPr>
                <w:p w14:paraId="4F691A3B">
                  <w:pPr>
                    <w:pStyle w:val="15"/>
                    <w:keepNext w:val="0"/>
                    <w:pageBreakBefore w:val="0"/>
                    <w:kinsoku/>
                    <w:overflowPunct/>
                    <w:bidi w:val="0"/>
                    <w:jc w:val="center"/>
                  </w:pPr>
                  <w:r>
                    <w:t>建筑垃圾</w:t>
                  </w:r>
                </w:p>
              </w:tc>
              <w:tc>
                <w:tcPr>
                  <w:tcW w:w="2545" w:type="pct"/>
                  <w:tcBorders>
                    <w:tl2br w:val="nil"/>
                    <w:tr2bl w:val="nil"/>
                  </w:tcBorders>
                  <w:vAlign w:val="center"/>
                </w:tcPr>
                <w:p w14:paraId="2F8AC137">
                  <w:pPr>
                    <w:pStyle w:val="15"/>
                    <w:keepNext w:val="0"/>
                    <w:pageBreakBefore w:val="0"/>
                    <w:kinsoku/>
                    <w:overflowPunct/>
                    <w:bidi w:val="0"/>
                    <w:jc w:val="center"/>
                    <w:rPr>
                      <w:rFonts w:hint="default" w:eastAsia="宋体"/>
                      <w:lang w:val="en-US" w:eastAsia="zh-CN"/>
                    </w:rPr>
                  </w:pPr>
                  <w:r>
                    <w:t>及时清运出施工场地，</w:t>
                  </w:r>
                  <w:r>
                    <w:rPr>
                      <w:rFonts w:hint="eastAsia"/>
                      <w:lang w:val="en-US" w:eastAsia="zh-CN"/>
                    </w:rPr>
                    <w:t>依托现有一般工业固体废物贮存库暂存</w:t>
                  </w:r>
                </w:p>
              </w:tc>
            </w:tr>
            <w:tr w14:paraId="2F8E9F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46" w:type="pct"/>
                  <w:vMerge w:val="continue"/>
                  <w:tcBorders>
                    <w:tl2br w:val="nil"/>
                    <w:tr2bl w:val="nil"/>
                  </w:tcBorders>
                  <w:vAlign w:val="center"/>
                </w:tcPr>
                <w:p w14:paraId="73DCDE9E">
                  <w:pPr>
                    <w:pStyle w:val="15"/>
                    <w:keepNext w:val="0"/>
                    <w:pageBreakBefore w:val="0"/>
                    <w:kinsoku/>
                    <w:overflowPunct/>
                    <w:bidi w:val="0"/>
                    <w:jc w:val="center"/>
                  </w:pPr>
                </w:p>
              </w:tc>
              <w:tc>
                <w:tcPr>
                  <w:tcW w:w="290" w:type="pct"/>
                  <w:vMerge w:val="continue"/>
                  <w:tcBorders>
                    <w:tl2br w:val="nil"/>
                    <w:tr2bl w:val="nil"/>
                  </w:tcBorders>
                  <w:vAlign w:val="center"/>
                </w:tcPr>
                <w:p w14:paraId="0A200EAF">
                  <w:pPr>
                    <w:pStyle w:val="15"/>
                    <w:keepNext w:val="0"/>
                    <w:pageBreakBefore w:val="0"/>
                    <w:kinsoku/>
                    <w:overflowPunct/>
                    <w:bidi w:val="0"/>
                    <w:jc w:val="center"/>
                  </w:pPr>
                </w:p>
              </w:tc>
              <w:tc>
                <w:tcPr>
                  <w:tcW w:w="725" w:type="pct"/>
                  <w:tcBorders>
                    <w:tl2br w:val="nil"/>
                    <w:tr2bl w:val="nil"/>
                  </w:tcBorders>
                  <w:vAlign w:val="center"/>
                </w:tcPr>
                <w:p w14:paraId="1D11E9DA">
                  <w:pPr>
                    <w:pStyle w:val="15"/>
                    <w:keepNext w:val="0"/>
                    <w:pageBreakBefore w:val="0"/>
                    <w:kinsoku/>
                    <w:overflowPunct/>
                    <w:bidi w:val="0"/>
                    <w:jc w:val="center"/>
                  </w:pPr>
                  <w:r>
                    <w:t>员工</w:t>
                  </w:r>
                </w:p>
              </w:tc>
              <w:tc>
                <w:tcPr>
                  <w:tcW w:w="1191" w:type="pct"/>
                  <w:tcBorders>
                    <w:tl2br w:val="nil"/>
                    <w:tr2bl w:val="nil"/>
                  </w:tcBorders>
                  <w:vAlign w:val="center"/>
                </w:tcPr>
                <w:p w14:paraId="59F26EEB">
                  <w:pPr>
                    <w:pStyle w:val="15"/>
                    <w:keepNext w:val="0"/>
                    <w:pageBreakBefore w:val="0"/>
                    <w:kinsoku/>
                    <w:overflowPunct/>
                    <w:bidi w:val="0"/>
                    <w:jc w:val="center"/>
                  </w:pPr>
                  <w:r>
                    <w:t>生活垃圾</w:t>
                  </w:r>
                </w:p>
              </w:tc>
              <w:tc>
                <w:tcPr>
                  <w:tcW w:w="2545" w:type="pct"/>
                  <w:tcBorders>
                    <w:tl2br w:val="nil"/>
                    <w:tr2bl w:val="nil"/>
                  </w:tcBorders>
                  <w:vAlign w:val="center"/>
                </w:tcPr>
                <w:p w14:paraId="4995946B">
                  <w:pPr>
                    <w:pStyle w:val="15"/>
                    <w:keepNext w:val="0"/>
                    <w:pageBreakBefore w:val="0"/>
                    <w:kinsoku/>
                    <w:overflowPunct/>
                    <w:bidi w:val="0"/>
                    <w:jc w:val="center"/>
                  </w:pPr>
                  <w:r>
                    <w:t>经集中收集后委托环卫部门集中处理。</w:t>
                  </w:r>
                </w:p>
              </w:tc>
            </w:tr>
          </w:tbl>
          <w:p w14:paraId="0A3DC201">
            <w:pPr>
              <w:pStyle w:val="3"/>
              <w:keepNext w:val="0"/>
              <w:pageBreakBefore w:val="0"/>
              <w:widowControl w:val="0"/>
              <w:kinsoku/>
              <w:wordWrap/>
              <w:overflowPunct/>
              <w:topLinePunct/>
              <w:autoSpaceDE w:val="0"/>
              <w:autoSpaceDN w:val="0"/>
              <w:bidi w:val="0"/>
              <w:adjustRightInd w:val="0"/>
              <w:snapToGrid w:val="0"/>
              <w:textAlignment w:val="baseline"/>
              <w:rPr>
                <w:rFonts w:hint="eastAsia"/>
                <w:lang w:val="en-US" w:eastAsia="zh-CN"/>
              </w:rPr>
            </w:pPr>
            <w:r>
              <w:rPr>
                <w:rFonts w:hint="eastAsia"/>
                <w:lang w:val="en-US" w:eastAsia="zh-CN"/>
              </w:rPr>
              <w:t>2.运营期工艺流程及产污分析</w:t>
            </w:r>
          </w:p>
          <w:p w14:paraId="3BFC7260">
            <w:pPr>
              <w:keepNext w:val="0"/>
              <w:pageBreakBefore w:val="0"/>
              <w:kinsoku/>
              <w:overflowPunct/>
              <w:bidi w:val="0"/>
              <w:rPr>
                <w:rFonts w:hint="eastAsia"/>
                <w:color w:val="auto"/>
                <w:lang w:val="en-US" w:eastAsia="zh-CN"/>
              </w:rPr>
            </w:pPr>
            <w:r>
              <w:rPr>
                <w:rFonts w:hint="eastAsia"/>
                <w:spacing w:val="-1"/>
                <w:lang w:val="en-US" w:eastAsia="zh-CN"/>
              </w:rPr>
              <w:t>本项目扩建</w:t>
            </w:r>
            <w:r>
              <w:rPr>
                <w:rFonts w:hint="eastAsia"/>
                <w:lang w:val="en-US" w:eastAsia="zh-CN"/>
              </w:rPr>
              <w:t>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盐酸储罐，不改变厂区现有工程盐酸消耗及产生量，仅增加厂区内31%盐酸储存量。</w:t>
            </w:r>
          </w:p>
          <w:p w14:paraId="514A500C">
            <w:pPr>
              <w:pStyle w:val="4"/>
              <w:keepNext w:val="0"/>
              <w:pageBreakBefore w:val="0"/>
              <w:kinsoku/>
              <w:overflowPunct/>
              <w:bidi w:val="0"/>
              <w:rPr>
                <w:rFonts w:hint="eastAsia"/>
                <w:lang w:val="en-US" w:eastAsia="zh-CN"/>
              </w:rPr>
            </w:pPr>
            <w:r>
              <w:rPr>
                <w:rFonts w:hint="eastAsia"/>
                <w:lang w:val="en-US" w:eastAsia="zh-CN"/>
              </w:rPr>
              <w:t>2.1盐酸储存流程</w:t>
            </w:r>
          </w:p>
          <w:p w14:paraId="73F974CC">
            <w:pPr>
              <w:keepNext w:val="0"/>
              <w:pageBreakBefore w:val="0"/>
              <w:kinsoku/>
              <w:overflowPunct/>
              <w:bidi w:val="0"/>
              <w:rPr>
                <w:rFonts w:hint="eastAsia"/>
                <w:color w:val="auto"/>
                <w:lang w:val="en-US" w:eastAsia="zh-CN"/>
              </w:rPr>
            </w:pPr>
            <w:r>
              <w:rPr>
                <w:rFonts w:hint="eastAsia"/>
                <w:lang w:val="en-US" w:eastAsia="zh-CN"/>
              </w:rPr>
              <w:t>外购31%盐酸由罐车运输至厂区装卸车栈，连接现有31%盐酸卸车鹤管，经现有31%盐酸卸车泵通过现有盐酸输送管道至6座200m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盐酸储罐（2座现有，本次扩建4座），后通过现有输送管道输送至厂区各使用单元。</w:t>
            </w:r>
          </w:p>
          <w:p w14:paraId="5D2804C5">
            <w:pPr>
              <w:pStyle w:val="4"/>
              <w:keepNext w:val="0"/>
              <w:pageBreakBefore w:val="0"/>
              <w:kinsoku/>
              <w:overflowPunct/>
              <w:bidi w:val="0"/>
              <w:rPr>
                <w:rFonts w:hint="eastAsia"/>
                <w:lang w:val="en-US" w:eastAsia="zh-CN"/>
              </w:rPr>
            </w:pPr>
            <w:r>
              <w:rPr>
                <w:rFonts w:hint="eastAsia"/>
                <w:lang w:val="en-US" w:eastAsia="zh-CN"/>
              </w:rPr>
              <w:t>2.2盐酸储存产污环节</w:t>
            </w:r>
          </w:p>
          <w:p w14:paraId="36758015">
            <w:pPr>
              <w:keepNext w:val="0"/>
              <w:pageBreakBefore w:val="0"/>
              <w:kinsoku/>
              <w:overflowPunct/>
              <w:bidi w:val="0"/>
              <w:rPr>
                <w:rFonts w:hint="default"/>
                <w:lang w:val="en-US" w:eastAsia="zh-CN"/>
              </w:rPr>
            </w:pPr>
            <w:r>
              <w:rPr>
                <w:rFonts w:hint="eastAsia"/>
                <w:lang w:val="en-US" w:eastAsia="zh-CN"/>
              </w:rPr>
              <w:t>本次扩建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盐酸储罐产污环节主要为盐酸储存过程中大小呼吸产生的废气，污染物为HCl气体，</w:t>
            </w:r>
            <w:r>
              <w:rPr>
                <w:rFonts w:hint="eastAsia"/>
                <w:lang w:val="en-US" w:eastAsia="zh-CN"/>
              </w:rPr>
              <w:t>盐酸储罐</w:t>
            </w:r>
            <w:r>
              <w:rPr>
                <w:rFonts w:hint="eastAsia"/>
                <w:color w:val="auto"/>
                <w:lang w:val="en-US" w:eastAsia="zh-CN"/>
              </w:rPr>
              <w:t>无废水、噪声、工业固体废物产生。</w:t>
            </w:r>
          </w:p>
          <w:p w14:paraId="581B6F3B">
            <w:pPr>
              <w:keepNext w:val="0"/>
              <w:pageBreakBefore w:val="0"/>
              <w:kinsoku/>
              <w:overflowPunct/>
              <w:bidi w:val="0"/>
              <w:rPr>
                <w:rFonts w:hint="default"/>
                <w:color w:val="auto"/>
                <w:lang w:val="en-US" w:eastAsia="zh-CN"/>
              </w:rPr>
            </w:pPr>
            <w:r>
              <w:rPr>
                <w:rFonts w:hint="eastAsia"/>
                <w:color w:val="auto"/>
                <w:lang w:val="en-US" w:eastAsia="zh-CN"/>
              </w:rPr>
              <w:t>盐酸储存过程工艺流程及产排污节点见下图2。</w:t>
            </w:r>
          </w:p>
          <w:p w14:paraId="368B7D77">
            <w:pPr>
              <w:pStyle w:val="15"/>
              <w:keepNext w:val="0"/>
              <w:pageBreakBefore w:val="0"/>
              <w:kinsoku/>
              <w:overflowPunct/>
              <w:bidi w:val="0"/>
              <w:rPr>
                <w:rFonts w:hint="default"/>
                <w:lang w:val="en-US" w:eastAsia="zh-CN"/>
              </w:rPr>
            </w:pPr>
            <w:r>
              <w:rPr>
                <w:rFonts w:hint="default"/>
                <w:lang w:val="en-US" w:eastAsia="zh-CN"/>
              </w:rPr>
              <w:object>
                <v:shape id="_x0000_i1026" o:spt="75" type="#_x0000_t75" style="height:274.5pt;width:332.3pt;" o:ole="t" filled="f" o:preferrelative="t" stroked="f" coordsize="21600,21600">
                  <v:path/>
                  <v:fill on="f" focussize="0,0"/>
                  <v:stroke on="f"/>
                  <v:imagedata r:id="rId10" o:title=""/>
                  <o:lock v:ext="edit" aspectratio="f"/>
                  <w10:wrap type="none"/>
                  <w10:anchorlock/>
                </v:shape>
                <o:OLEObject Type="Embed" ProgID="Visio.Drawing.15" ShapeID="_x0000_i1026" DrawAspect="Content" ObjectID="_1468075726" r:id="rId9">
                  <o:LockedField>false</o:LockedField>
                </o:OLEObject>
              </w:object>
            </w:r>
          </w:p>
          <w:p w14:paraId="276D1C79">
            <w:pPr>
              <w:pStyle w:val="18"/>
              <w:keepNext w:val="0"/>
              <w:pageBreakBefore w:val="0"/>
              <w:kinsoku/>
              <w:overflowPunct/>
              <w:bidi w:val="0"/>
            </w:pPr>
            <w:r>
              <w:t xml:space="preserve">图 </w:t>
            </w:r>
            <w:r>
              <w:fldChar w:fldCharType="begin"/>
            </w:r>
            <w:r>
              <w:instrText xml:space="preserve"> SEQ 图 \* ARABIC </w:instrText>
            </w:r>
            <w:r>
              <w:fldChar w:fldCharType="separate"/>
            </w:r>
            <w:r>
              <w:t>2</w:t>
            </w:r>
            <w:r>
              <w:fldChar w:fldCharType="end"/>
            </w:r>
            <w:r>
              <w:rPr>
                <w:rFonts w:hint="eastAsia"/>
                <w:lang w:val="en-US" w:eastAsia="zh-CN"/>
              </w:rPr>
              <w:t xml:space="preserve">  运营期盐酸储罐储存</w:t>
            </w:r>
            <w:r>
              <w:t>工艺流程图</w:t>
            </w:r>
          </w:p>
          <w:p w14:paraId="33AEF4E2">
            <w:pPr>
              <w:pStyle w:val="16"/>
              <w:keepNext w:val="0"/>
              <w:pageBreakBefore w:val="0"/>
              <w:kinsoku/>
              <w:overflowPunct/>
              <w:bidi w:val="0"/>
              <w:rPr>
                <w:rFonts w:hint="default"/>
                <w:lang w:val="en-US" w:eastAsia="zh-CN"/>
              </w:rPr>
            </w:pPr>
            <w:r>
              <w:t xml:space="preserve">表 </w:t>
            </w:r>
            <w:r>
              <w:fldChar w:fldCharType="begin"/>
            </w:r>
            <w:r>
              <w:instrText xml:space="preserve"> SEQ 表 \* ARABIC </w:instrText>
            </w:r>
            <w:r>
              <w:fldChar w:fldCharType="separate"/>
            </w:r>
            <w:r>
              <w:t>11</w:t>
            </w:r>
            <w:r>
              <w:fldChar w:fldCharType="end"/>
            </w:r>
            <w:r>
              <w:rPr>
                <w:rFonts w:hint="eastAsia"/>
                <w:lang w:val="en-US" w:eastAsia="zh-CN"/>
              </w:rPr>
              <w:t xml:space="preserve">  本项目</w:t>
            </w:r>
            <w:r>
              <w:rPr>
                <w:rFonts w:hint="default"/>
                <w:lang w:val="en-US" w:eastAsia="zh-CN"/>
              </w:rPr>
              <w:t>运营期产污环节一览表</w:t>
            </w: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65"/>
              <w:gridCol w:w="883"/>
              <w:gridCol w:w="1159"/>
              <w:gridCol w:w="926"/>
              <w:gridCol w:w="4050"/>
            </w:tblGrid>
            <w:tr w14:paraId="7623D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9" w:type="pct"/>
                  <w:tcBorders>
                    <w:tl2br w:val="nil"/>
                    <w:tr2bl w:val="nil"/>
                  </w:tcBorders>
                  <w:tcMar>
                    <w:top w:w="0" w:type="dxa"/>
                    <w:left w:w="0" w:type="dxa"/>
                    <w:bottom w:w="0" w:type="dxa"/>
                    <w:right w:w="0" w:type="dxa"/>
                  </w:tcMar>
                  <w:vAlign w:val="center"/>
                </w:tcPr>
                <w:p w14:paraId="7061C7FE">
                  <w:pPr>
                    <w:pStyle w:val="15"/>
                    <w:keepNext w:val="0"/>
                    <w:pageBreakBefore w:val="0"/>
                    <w:kinsoku/>
                    <w:overflowPunct/>
                    <w:bidi w:val="0"/>
                    <w:jc w:val="center"/>
                  </w:pPr>
                  <w:r>
                    <w:t>工序</w:t>
                  </w:r>
                </w:p>
              </w:tc>
              <w:tc>
                <w:tcPr>
                  <w:tcW w:w="560" w:type="pct"/>
                  <w:tcBorders>
                    <w:tl2br w:val="nil"/>
                    <w:tr2bl w:val="nil"/>
                  </w:tcBorders>
                  <w:tcMar>
                    <w:top w:w="0" w:type="dxa"/>
                    <w:left w:w="0" w:type="dxa"/>
                    <w:bottom w:w="0" w:type="dxa"/>
                    <w:right w:w="0" w:type="dxa"/>
                  </w:tcMar>
                  <w:vAlign w:val="center"/>
                </w:tcPr>
                <w:p w14:paraId="23EEDC37">
                  <w:pPr>
                    <w:pStyle w:val="15"/>
                    <w:keepNext w:val="0"/>
                    <w:pageBreakBefore w:val="0"/>
                    <w:kinsoku/>
                    <w:overflowPunct/>
                    <w:bidi w:val="0"/>
                    <w:jc w:val="center"/>
                  </w:pPr>
                  <w:r>
                    <w:t>污染物</w:t>
                  </w:r>
                </w:p>
              </w:tc>
              <w:tc>
                <w:tcPr>
                  <w:tcW w:w="735" w:type="pct"/>
                  <w:tcBorders>
                    <w:tl2br w:val="nil"/>
                    <w:tr2bl w:val="nil"/>
                  </w:tcBorders>
                  <w:tcMar>
                    <w:top w:w="0" w:type="dxa"/>
                    <w:left w:w="0" w:type="dxa"/>
                    <w:bottom w:w="0" w:type="dxa"/>
                    <w:right w:w="0" w:type="dxa"/>
                  </w:tcMar>
                  <w:vAlign w:val="center"/>
                </w:tcPr>
                <w:p w14:paraId="18001629">
                  <w:pPr>
                    <w:pStyle w:val="15"/>
                    <w:keepNext w:val="0"/>
                    <w:pageBreakBefore w:val="0"/>
                    <w:kinsoku/>
                    <w:overflowPunct/>
                    <w:bidi w:val="0"/>
                    <w:jc w:val="center"/>
                  </w:pPr>
                  <w:r>
                    <w:t>污染源</w:t>
                  </w:r>
                </w:p>
              </w:tc>
              <w:tc>
                <w:tcPr>
                  <w:tcW w:w="587" w:type="pct"/>
                  <w:tcBorders>
                    <w:tl2br w:val="nil"/>
                    <w:tr2bl w:val="nil"/>
                  </w:tcBorders>
                  <w:tcMar>
                    <w:top w:w="0" w:type="dxa"/>
                    <w:left w:w="0" w:type="dxa"/>
                    <w:bottom w:w="0" w:type="dxa"/>
                    <w:right w:w="0" w:type="dxa"/>
                  </w:tcMar>
                  <w:vAlign w:val="center"/>
                </w:tcPr>
                <w:p w14:paraId="6165BF84">
                  <w:pPr>
                    <w:pStyle w:val="15"/>
                    <w:keepNext w:val="0"/>
                    <w:pageBreakBefore w:val="0"/>
                    <w:kinsoku/>
                    <w:overflowPunct/>
                    <w:bidi w:val="0"/>
                    <w:jc w:val="center"/>
                  </w:pPr>
                  <w:r>
                    <w:t>污染因子</w:t>
                  </w:r>
                </w:p>
              </w:tc>
              <w:tc>
                <w:tcPr>
                  <w:tcW w:w="2568" w:type="pct"/>
                  <w:tcBorders>
                    <w:tl2br w:val="nil"/>
                    <w:tr2bl w:val="nil"/>
                  </w:tcBorders>
                  <w:tcMar>
                    <w:top w:w="0" w:type="dxa"/>
                    <w:left w:w="0" w:type="dxa"/>
                    <w:bottom w:w="0" w:type="dxa"/>
                    <w:right w:w="0" w:type="dxa"/>
                  </w:tcMar>
                  <w:vAlign w:val="center"/>
                </w:tcPr>
                <w:p w14:paraId="6942D7FB">
                  <w:pPr>
                    <w:pStyle w:val="15"/>
                    <w:keepNext w:val="0"/>
                    <w:pageBreakBefore w:val="0"/>
                    <w:kinsoku/>
                    <w:overflowPunct/>
                    <w:bidi w:val="0"/>
                    <w:jc w:val="center"/>
                  </w:pPr>
                  <w:r>
                    <w:t>治理措施</w:t>
                  </w:r>
                </w:p>
              </w:tc>
            </w:tr>
            <w:tr w14:paraId="7071E7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9" w:type="pct"/>
                  <w:tcBorders>
                    <w:tl2br w:val="nil"/>
                    <w:tr2bl w:val="nil"/>
                  </w:tcBorders>
                  <w:tcMar>
                    <w:top w:w="0" w:type="dxa"/>
                    <w:left w:w="0" w:type="dxa"/>
                    <w:bottom w:w="0" w:type="dxa"/>
                    <w:right w:w="0" w:type="dxa"/>
                  </w:tcMar>
                  <w:vAlign w:val="center"/>
                </w:tcPr>
                <w:p w14:paraId="70127531">
                  <w:pPr>
                    <w:pStyle w:val="15"/>
                    <w:keepNext w:val="0"/>
                    <w:pageBreakBefore w:val="0"/>
                    <w:kinsoku/>
                    <w:overflowPunct/>
                    <w:bidi w:val="0"/>
                    <w:jc w:val="center"/>
                  </w:pPr>
                  <w:r>
                    <w:t>运营期</w:t>
                  </w:r>
                </w:p>
              </w:tc>
              <w:tc>
                <w:tcPr>
                  <w:tcW w:w="560" w:type="pct"/>
                  <w:tcBorders>
                    <w:tl2br w:val="nil"/>
                    <w:tr2bl w:val="nil"/>
                  </w:tcBorders>
                  <w:tcMar>
                    <w:top w:w="0" w:type="dxa"/>
                    <w:left w:w="0" w:type="dxa"/>
                    <w:bottom w:w="0" w:type="dxa"/>
                    <w:right w:w="0" w:type="dxa"/>
                  </w:tcMar>
                  <w:vAlign w:val="center"/>
                </w:tcPr>
                <w:p w14:paraId="355EED51">
                  <w:pPr>
                    <w:pStyle w:val="15"/>
                    <w:keepNext w:val="0"/>
                    <w:pageBreakBefore w:val="0"/>
                    <w:kinsoku/>
                    <w:overflowPunct/>
                    <w:bidi w:val="0"/>
                    <w:jc w:val="center"/>
                  </w:pPr>
                  <w:r>
                    <w:t>废气</w:t>
                  </w:r>
                </w:p>
              </w:tc>
              <w:tc>
                <w:tcPr>
                  <w:tcW w:w="735" w:type="pct"/>
                  <w:tcBorders>
                    <w:tl2br w:val="nil"/>
                    <w:tr2bl w:val="nil"/>
                  </w:tcBorders>
                  <w:tcMar>
                    <w:top w:w="0" w:type="dxa"/>
                    <w:left w:w="0" w:type="dxa"/>
                    <w:bottom w:w="0" w:type="dxa"/>
                    <w:right w:w="0" w:type="dxa"/>
                  </w:tcMar>
                  <w:vAlign w:val="center"/>
                </w:tcPr>
                <w:p w14:paraId="207C03FC">
                  <w:pPr>
                    <w:pStyle w:val="15"/>
                    <w:keepNext w:val="0"/>
                    <w:pageBreakBefore w:val="0"/>
                    <w:kinsoku/>
                    <w:overflowPunct/>
                    <w:bidi w:val="0"/>
                    <w:jc w:val="center"/>
                  </w:pPr>
                  <w:r>
                    <w:t>装卸、储存过程废气</w:t>
                  </w:r>
                </w:p>
              </w:tc>
              <w:tc>
                <w:tcPr>
                  <w:tcW w:w="587" w:type="pct"/>
                  <w:tcBorders>
                    <w:tl2br w:val="nil"/>
                    <w:tr2bl w:val="nil"/>
                  </w:tcBorders>
                  <w:tcMar>
                    <w:top w:w="0" w:type="dxa"/>
                    <w:left w:w="0" w:type="dxa"/>
                    <w:bottom w:w="0" w:type="dxa"/>
                    <w:right w:w="0" w:type="dxa"/>
                  </w:tcMar>
                  <w:vAlign w:val="center"/>
                </w:tcPr>
                <w:p w14:paraId="3102FE01">
                  <w:pPr>
                    <w:pStyle w:val="15"/>
                    <w:keepNext w:val="0"/>
                    <w:pageBreakBefore w:val="0"/>
                    <w:kinsoku/>
                    <w:overflowPunct/>
                    <w:bidi w:val="0"/>
                    <w:jc w:val="center"/>
                    <w:rPr>
                      <w:rFonts w:hint="eastAsia" w:eastAsia="宋体"/>
                      <w:lang w:val="en-US" w:eastAsia="zh-CN"/>
                    </w:rPr>
                  </w:pPr>
                  <w:r>
                    <w:t>HC</w:t>
                  </w:r>
                  <w:r>
                    <w:rPr>
                      <w:rFonts w:hint="eastAsia"/>
                      <w:lang w:val="en-US" w:eastAsia="zh-CN"/>
                    </w:rPr>
                    <w:t>l</w:t>
                  </w:r>
                </w:p>
              </w:tc>
              <w:tc>
                <w:tcPr>
                  <w:tcW w:w="2568" w:type="pct"/>
                  <w:tcBorders>
                    <w:tl2br w:val="nil"/>
                    <w:tr2bl w:val="nil"/>
                  </w:tcBorders>
                  <w:tcMar>
                    <w:top w:w="0" w:type="dxa"/>
                    <w:left w:w="0" w:type="dxa"/>
                    <w:bottom w:w="0" w:type="dxa"/>
                    <w:right w:w="0" w:type="dxa"/>
                  </w:tcMar>
                  <w:vAlign w:val="center"/>
                </w:tcPr>
                <w:p w14:paraId="3B4444CD">
                  <w:pPr>
                    <w:pStyle w:val="15"/>
                    <w:keepNext w:val="0"/>
                    <w:pageBreakBefore w:val="0"/>
                    <w:kinsoku/>
                    <w:overflowPunct/>
                    <w:bidi w:val="0"/>
                    <w:jc w:val="center"/>
                  </w:pPr>
                  <w:r>
                    <w:rPr>
                      <w:rFonts w:hint="eastAsia"/>
                      <w:color w:val="auto"/>
                      <w:lang w:val="en-US" w:eastAsia="zh-CN"/>
                    </w:rPr>
                    <w:t>通过管道收集至现有TA002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w:t>
                  </w:r>
                </w:p>
              </w:tc>
            </w:tr>
          </w:tbl>
          <w:p w14:paraId="77778833">
            <w:pPr>
              <w:keepNext w:val="0"/>
              <w:pageBreakBefore w:val="0"/>
              <w:kinsoku/>
              <w:overflowPunct/>
              <w:bidi w:val="0"/>
              <w:rPr>
                <w:rFonts w:hint="default"/>
                <w:lang w:val="en-US" w:eastAsia="zh-CN"/>
              </w:rPr>
            </w:pPr>
          </w:p>
        </w:tc>
      </w:tr>
      <w:tr w14:paraId="585F9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45" w:type="dxa"/>
            <w:vAlign w:val="center"/>
          </w:tcPr>
          <w:p w14:paraId="098E949E">
            <w:pPr>
              <w:pStyle w:val="3"/>
              <w:keepNext w:val="0"/>
              <w:pageBreakBefore w:val="0"/>
              <w:kinsoku/>
              <w:overflowPunct/>
              <w:bidi w:val="0"/>
              <w:jc w:val="center"/>
              <w:rPr>
                <w:rFonts w:hint="eastAsia"/>
              </w:rPr>
            </w:pPr>
            <w:r>
              <w:rPr>
                <w:rFonts w:hint="eastAsia"/>
              </w:rPr>
              <w:t>与项目有关的原有环境污染问题</w:t>
            </w:r>
          </w:p>
        </w:tc>
        <w:tc>
          <w:tcPr>
            <w:tcW w:w="7932" w:type="dxa"/>
            <w:vAlign w:val="top"/>
          </w:tcPr>
          <w:p w14:paraId="596FC007">
            <w:pPr>
              <w:pStyle w:val="3"/>
              <w:keepNext w:val="0"/>
              <w:pageBreakBefore w:val="0"/>
              <w:kinsoku/>
              <w:overflowPunct/>
              <w:bidi w:val="0"/>
              <w:rPr>
                <w:rFonts w:hint="eastAsia"/>
                <w:lang w:val="en-US" w:eastAsia="zh-CN"/>
              </w:rPr>
            </w:pPr>
            <w:r>
              <w:rPr>
                <w:rFonts w:hint="eastAsia"/>
                <w:lang w:val="en-US" w:eastAsia="zh-CN"/>
              </w:rPr>
              <w:t>1.原有项目环保手续履行情况</w:t>
            </w:r>
          </w:p>
          <w:p w14:paraId="53E22BAC">
            <w:pPr>
              <w:pStyle w:val="4"/>
              <w:keepNext w:val="0"/>
              <w:pageBreakBefore w:val="0"/>
              <w:kinsoku/>
              <w:overflowPunct/>
              <w:bidi w:val="0"/>
              <w:rPr>
                <w:rFonts w:hint="eastAsia"/>
                <w:lang w:val="en-US" w:eastAsia="zh-CN"/>
              </w:rPr>
            </w:pPr>
            <w:r>
              <w:rPr>
                <w:rFonts w:hint="eastAsia"/>
                <w:lang w:val="en-US" w:eastAsia="zh-CN"/>
              </w:rPr>
              <w:t>1.1环境影响评价手续情况</w:t>
            </w:r>
          </w:p>
          <w:p w14:paraId="1F9D60C0">
            <w:pPr>
              <w:keepNext w:val="0"/>
              <w:keepLines/>
              <w:pageBreakBefore w:val="0"/>
              <w:widowControl w:val="0"/>
              <w:kinsoku/>
              <w:wordWrap/>
              <w:overflowPunct/>
              <w:topLinePunct/>
              <w:autoSpaceDE w:val="0"/>
              <w:autoSpaceDN w:val="0"/>
              <w:bidi w:val="0"/>
              <w:adjustRightInd w:val="0"/>
              <w:snapToGrid w:val="0"/>
              <w:textAlignment w:val="baseline"/>
              <w:rPr>
                <w:rFonts w:hint="eastAsia"/>
              </w:rPr>
            </w:pPr>
            <w:r>
              <w:rPr>
                <w:rFonts w:hint="eastAsia"/>
              </w:rPr>
              <w:t>2018年5月，新疆久塔锦晨生物科技股份有限公司委托新疆化工设计研究院有限责任公司编制《新疆久塔锦晨生物科技股份有限公司精细化工项目（一期）环境影响报告书》，2019年3月，新疆生产建设兵团生态环境局（原新疆生产建设兵团环境保护局）以《关于新疆久塔锦晨生物科技股份有限公司精细化工项目（一期）环境影响报告书的批复》（兵环审〔2019〕2号）予以批复。</w:t>
            </w:r>
          </w:p>
          <w:p w14:paraId="14898E8C">
            <w:pPr>
              <w:pStyle w:val="4"/>
              <w:keepNext w:val="0"/>
              <w:pageBreakBefore w:val="0"/>
              <w:kinsoku/>
              <w:overflowPunct/>
              <w:bidi w:val="0"/>
              <w:rPr>
                <w:rFonts w:hint="eastAsia"/>
                <w:lang w:val="en-US" w:eastAsia="zh-CN"/>
              </w:rPr>
            </w:pPr>
            <w:r>
              <w:rPr>
                <w:rFonts w:hint="eastAsia"/>
                <w:lang w:val="en-US" w:eastAsia="zh-CN"/>
              </w:rPr>
              <w:t>1.2</w:t>
            </w:r>
            <w:r>
              <w:rPr>
                <w:lang w:val="en-US" w:eastAsia="zh-CN"/>
              </w:rPr>
              <w:t>竣工环境保护验收</w:t>
            </w:r>
            <w:r>
              <w:rPr>
                <w:rFonts w:hint="eastAsia"/>
                <w:lang w:val="en-US" w:eastAsia="zh-CN"/>
              </w:rPr>
              <w:t>手续情况</w:t>
            </w:r>
          </w:p>
          <w:p w14:paraId="7B6C7440">
            <w:pPr>
              <w:keepNext w:val="0"/>
              <w:pageBreakBefore w:val="0"/>
              <w:kinsoku/>
              <w:overflowPunct/>
              <w:bidi w:val="0"/>
              <w:rPr>
                <w:rFonts w:hint="eastAsia"/>
                <w:lang w:eastAsia="zh-CN"/>
              </w:rPr>
            </w:pPr>
            <w:r>
              <w:rPr>
                <w:rFonts w:hint="eastAsia"/>
              </w:rPr>
              <w:t>2026年</w:t>
            </w:r>
            <w:r>
              <w:rPr>
                <w:rFonts w:hint="eastAsia"/>
                <w:lang w:val="en-US" w:eastAsia="zh-CN"/>
              </w:rPr>
              <w:t>1</w:t>
            </w:r>
            <w:r>
              <w:rPr>
                <w:rFonts w:hint="eastAsia"/>
              </w:rPr>
              <w:t>月，新疆久塔锦晨生物科技股份有限公司精细化工项目（一期）</w:t>
            </w:r>
            <w:r>
              <w:rPr>
                <w:rFonts w:hint="eastAsia"/>
                <w:lang w:val="en-US" w:eastAsia="zh-CN"/>
              </w:rPr>
              <w:t>工程</w:t>
            </w:r>
            <w:r>
              <w:rPr>
                <w:rFonts w:hint="eastAsia"/>
              </w:rPr>
              <w:t>开展竣工环境保护验收。</w:t>
            </w:r>
            <w:r>
              <w:rPr>
                <w:rFonts w:hint="eastAsia"/>
                <w:lang w:val="en-US" w:eastAsia="zh-CN"/>
              </w:rPr>
              <w:t>2026年4月，建设单位完成</w:t>
            </w:r>
            <w:r>
              <w:rPr>
                <w:rFonts w:hint="eastAsia"/>
              </w:rPr>
              <w:t>竣工环境保护验收</w:t>
            </w:r>
            <w:r>
              <w:rPr>
                <w:rFonts w:hint="eastAsia"/>
                <w:lang w:eastAsia="zh-CN"/>
              </w:rPr>
              <w:t>。</w:t>
            </w:r>
          </w:p>
          <w:p w14:paraId="11B89BBB">
            <w:pPr>
              <w:pStyle w:val="4"/>
              <w:keepNext w:val="0"/>
              <w:pageBreakBefore w:val="0"/>
              <w:kinsoku/>
              <w:overflowPunct/>
              <w:bidi w:val="0"/>
              <w:rPr>
                <w:rFonts w:hint="eastAsia"/>
                <w:lang w:val="en-US" w:eastAsia="zh-CN"/>
              </w:rPr>
            </w:pPr>
            <w:r>
              <w:rPr>
                <w:rFonts w:hint="eastAsia"/>
                <w:lang w:val="en-US" w:eastAsia="zh-CN"/>
              </w:rPr>
              <w:t>1.3排污许可证申领情况</w:t>
            </w:r>
          </w:p>
          <w:p w14:paraId="7AE1540C">
            <w:pPr>
              <w:keepNext w:val="0"/>
              <w:pageBreakBefore w:val="0"/>
              <w:kinsoku/>
              <w:overflowPunct/>
              <w:bidi w:val="0"/>
              <w:rPr>
                <w:rFonts w:hint="default"/>
                <w:lang w:val="en-US" w:eastAsia="zh-CN"/>
              </w:rPr>
            </w:pPr>
            <w:r>
              <w:rPr>
                <w:rFonts w:hint="eastAsia"/>
                <w:lang w:val="en-US" w:eastAsia="zh-CN"/>
              </w:rPr>
              <w:t>新疆</w:t>
            </w:r>
            <w:r>
              <w:rPr>
                <w:rFonts w:hint="eastAsia"/>
              </w:rPr>
              <w:t>久塔锦晨生物科技股份有限公司</w:t>
            </w:r>
            <w:r>
              <w:rPr>
                <w:rFonts w:hint="default"/>
                <w:color w:val="auto"/>
                <w:lang w:val="en-US" w:eastAsia="zh-CN"/>
              </w:rPr>
              <w:t>于</w:t>
            </w:r>
            <w:r>
              <w:rPr>
                <w:rFonts w:hint="eastAsia"/>
                <w:color w:val="auto"/>
                <w:lang w:val="en-US" w:eastAsia="zh-CN"/>
              </w:rPr>
              <w:t>2024年3月30日</w:t>
            </w:r>
            <w:r>
              <w:rPr>
                <w:rFonts w:hint="default"/>
                <w:color w:val="auto"/>
                <w:lang w:val="en-US" w:eastAsia="zh-CN"/>
              </w:rPr>
              <w:t>进行首次申领</w:t>
            </w:r>
            <w:r>
              <w:rPr>
                <w:rFonts w:hint="eastAsia"/>
                <w:color w:val="auto"/>
                <w:lang w:val="en-US" w:eastAsia="zh-CN"/>
              </w:rPr>
              <w:t>排污许可证</w:t>
            </w:r>
            <w:r>
              <w:rPr>
                <w:rFonts w:hint="default"/>
                <w:color w:val="auto"/>
                <w:lang w:val="en-US" w:eastAsia="zh-CN"/>
              </w:rPr>
              <w:t>，有效期限为2024-03-30至2029-03-29；</w:t>
            </w:r>
            <w:r>
              <w:rPr>
                <w:rFonts w:hint="eastAsia"/>
                <w:color w:val="auto"/>
                <w:lang w:val="en-US" w:eastAsia="zh-CN"/>
              </w:rPr>
              <w:t>于2024年5月6日变更，变更后有效期限为2024-03-30 至 2029-03-29。</w:t>
            </w:r>
            <w:r>
              <w:rPr>
                <w:rFonts w:hint="default"/>
                <w:color w:val="auto"/>
                <w:lang w:val="en-US" w:eastAsia="zh-CN"/>
              </w:rPr>
              <w:t>证书编号为91610000684765337U001P</w:t>
            </w:r>
          </w:p>
          <w:p w14:paraId="3FC01A02">
            <w:pPr>
              <w:pStyle w:val="4"/>
              <w:keepNext w:val="0"/>
              <w:pageBreakBefore w:val="0"/>
              <w:kinsoku/>
              <w:overflowPunct/>
              <w:bidi w:val="0"/>
              <w:rPr>
                <w:rFonts w:hint="eastAsia"/>
                <w:lang w:val="en-US" w:eastAsia="zh-CN"/>
              </w:rPr>
            </w:pPr>
            <w:r>
              <w:rPr>
                <w:rFonts w:hint="eastAsia"/>
                <w:lang w:val="en-US" w:eastAsia="zh-CN"/>
              </w:rPr>
              <w:t>1.4</w:t>
            </w:r>
            <w:r>
              <w:rPr>
                <w:rFonts w:hint="default"/>
                <w:lang w:val="en-US" w:eastAsia="zh-CN"/>
              </w:rPr>
              <w:t>突发环境事件应急预案</w:t>
            </w:r>
            <w:r>
              <w:rPr>
                <w:rFonts w:hint="eastAsia"/>
                <w:lang w:val="en-US" w:eastAsia="zh-CN"/>
              </w:rPr>
              <w:t>及备案情况</w:t>
            </w:r>
          </w:p>
          <w:p w14:paraId="639B995A">
            <w:pPr>
              <w:keepNext w:val="0"/>
              <w:pageBreakBefore w:val="0"/>
              <w:kinsoku/>
              <w:overflowPunct/>
              <w:bidi w:val="0"/>
              <w:rPr>
                <w:rFonts w:hint="eastAsia"/>
                <w:color w:val="auto"/>
                <w:lang w:val="en-US" w:eastAsia="zh-CN"/>
              </w:rPr>
            </w:pPr>
            <w:r>
              <w:rPr>
                <w:rFonts w:hint="default"/>
                <w:color w:val="auto"/>
                <w:lang w:val="en-US" w:eastAsia="zh-CN"/>
              </w:rPr>
              <w:t>新疆久塔锦晨生物科技股份有限公司</w:t>
            </w:r>
            <w:r>
              <w:rPr>
                <w:rFonts w:hint="eastAsia"/>
                <w:color w:val="auto"/>
                <w:lang w:val="en-US" w:eastAsia="zh-CN"/>
              </w:rPr>
              <w:t>已于2024年3月12日编制《新疆久塔锦晨生物科技股份有限公司突发环境事件应急预案》，并在胡杨河经济技术开发区管理委员会备案（备案号660706-2024-06-M）。</w:t>
            </w:r>
          </w:p>
          <w:p w14:paraId="59E3E212">
            <w:pPr>
              <w:keepNext w:val="0"/>
              <w:pageBreakBefore w:val="0"/>
              <w:kinsoku/>
              <w:overflowPunct/>
              <w:bidi w:val="0"/>
              <w:rPr>
                <w:rFonts w:hint="default"/>
                <w:color w:val="auto"/>
                <w:lang w:val="en-US" w:eastAsia="zh-CN"/>
              </w:rPr>
            </w:pPr>
            <w:r>
              <w:rPr>
                <w:rFonts w:hint="default"/>
                <w:color w:val="auto"/>
                <w:lang w:val="en-US" w:eastAsia="zh-CN"/>
              </w:rPr>
              <w:t>企业按照应急预案演练计划对预案进行了演练，并及时将演练过程中发现的问题进行整改，且与</w:t>
            </w:r>
            <w:r>
              <w:rPr>
                <w:rFonts w:hint="eastAsia"/>
                <w:color w:val="auto"/>
                <w:lang w:val="en-US" w:eastAsia="zh-CN"/>
              </w:rPr>
              <w:t>胡杨河经济技术开发区</w:t>
            </w:r>
            <w:r>
              <w:rPr>
                <w:rFonts w:hint="default"/>
                <w:color w:val="auto"/>
                <w:lang w:val="en-US" w:eastAsia="zh-CN"/>
              </w:rPr>
              <w:t>及政府部门建立了联动机制。</w:t>
            </w:r>
          </w:p>
          <w:p w14:paraId="1C229397">
            <w:pPr>
              <w:pStyle w:val="3"/>
              <w:keepNext w:val="0"/>
              <w:pageBreakBefore w:val="0"/>
              <w:kinsoku/>
              <w:overflowPunct/>
              <w:bidi w:val="0"/>
              <w:rPr>
                <w:rFonts w:hint="eastAsia"/>
                <w:lang w:val="en-US" w:eastAsia="zh-CN"/>
              </w:rPr>
            </w:pPr>
            <w:r>
              <w:rPr>
                <w:rFonts w:hint="eastAsia"/>
                <w:lang w:val="en-US" w:eastAsia="zh-CN"/>
              </w:rPr>
              <w:t>2.现有工程污染物实际排放总量</w:t>
            </w:r>
          </w:p>
          <w:p w14:paraId="456A6C3F">
            <w:pPr>
              <w:pStyle w:val="4"/>
              <w:keepNext w:val="0"/>
              <w:pageBreakBefore w:val="0"/>
              <w:kinsoku/>
              <w:overflowPunct/>
              <w:bidi w:val="0"/>
              <w:rPr>
                <w:rFonts w:hint="default"/>
                <w:lang w:val="en-US" w:eastAsia="zh-CN"/>
              </w:rPr>
            </w:pPr>
            <w:r>
              <w:rPr>
                <w:rFonts w:hint="eastAsia"/>
                <w:lang w:val="en-US" w:eastAsia="zh-CN"/>
              </w:rPr>
              <w:t>2.1大气污染物排放总量</w:t>
            </w:r>
          </w:p>
          <w:p w14:paraId="7F7EB852">
            <w:pPr>
              <w:keepNext w:val="0"/>
              <w:pageBreakBefore w:val="0"/>
              <w:kinsoku/>
              <w:overflowPunct/>
              <w:bidi w:val="0"/>
              <w:rPr>
                <w:rFonts w:hint="eastAsia"/>
                <w:lang w:val="en-US" w:eastAsia="zh-CN"/>
              </w:rPr>
            </w:pPr>
            <w:r>
              <w:rPr>
                <w:rFonts w:hint="eastAsia"/>
                <w:lang w:val="en-US" w:eastAsia="zh-CN"/>
              </w:rPr>
              <w:t>根据《新疆久塔锦晨生物科技股份有限公司精细化工项目（一期）竣工环境保护验收监测报告》，核算现有工程有组织废气中各污染物排放总量见下表12。</w:t>
            </w:r>
          </w:p>
          <w:p w14:paraId="51C4D593">
            <w:pPr>
              <w:pStyle w:val="16"/>
              <w:keepNext w:val="0"/>
              <w:pageBreakBefore w:val="0"/>
              <w:kinsoku/>
              <w:overflowPunct/>
              <w:bidi w:val="0"/>
              <w:rPr>
                <w:rFonts w:hint="eastAsia"/>
                <w:color w:val="auto"/>
                <w:lang w:val="en-US" w:eastAsia="zh-CN"/>
              </w:rPr>
            </w:pPr>
            <w:r>
              <w:t xml:space="preserve">表 </w:t>
            </w:r>
            <w:r>
              <w:fldChar w:fldCharType="begin"/>
            </w:r>
            <w:r>
              <w:instrText xml:space="preserve"> SEQ 表 \* ARABIC </w:instrText>
            </w:r>
            <w:r>
              <w:fldChar w:fldCharType="separate"/>
            </w:r>
            <w:r>
              <w:t>12</w:t>
            </w:r>
            <w:r>
              <w:fldChar w:fldCharType="end"/>
            </w:r>
            <w:r>
              <w:rPr>
                <w:rFonts w:hint="eastAsia"/>
                <w:lang w:val="en-US" w:eastAsia="zh-CN"/>
              </w:rPr>
              <w:t xml:space="preserve">  </w:t>
            </w:r>
            <w:r>
              <w:rPr>
                <w:rFonts w:hint="eastAsia"/>
                <w:color w:val="auto"/>
                <w:lang w:val="en-US" w:eastAsia="zh-CN"/>
              </w:rPr>
              <w:t>有组织废气中各污染物排放总量一览表</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278"/>
              <w:gridCol w:w="1266"/>
              <w:gridCol w:w="1017"/>
              <w:gridCol w:w="765"/>
              <w:gridCol w:w="1269"/>
              <w:gridCol w:w="1288"/>
            </w:tblGrid>
            <w:tr w14:paraId="164891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tcBorders>
                    <w:tl2br w:val="nil"/>
                    <w:tr2bl w:val="nil"/>
                  </w:tcBorders>
                  <w:shd w:val="clear" w:color="auto" w:fill="auto"/>
                  <w:tcMar>
                    <w:top w:w="0" w:type="dxa"/>
                    <w:left w:w="0" w:type="dxa"/>
                    <w:bottom w:w="0" w:type="dxa"/>
                    <w:right w:w="0" w:type="dxa"/>
                  </w:tcMar>
                  <w:vAlign w:val="center"/>
                </w:tcPr>
                <w:p w14:paraId="5098A6EF">
                  <w:pPr>
                    <w:pStyle w:val="15"/>
                    <w:keepNext w:val="0"/>
                    <w:pageBreakBefore w:val="0"/>
                    <w:kinsoku/>
                    <w:overflowPunct/>
                    <w:bidi w:val="0"/>
                    <w:rPr>
                      <w:rFonts w:hint="eastAsia"/>
                    </w:rPr>
                  </w:pPr>
                  <w:r>
                    <w:rPr>
                      <w:rFonts w:hint="eastAsia"/>
                      <w:lang w:val="en-US" w:eastAsia="zh-CN"/>
                    </w:rPr>
                    <w:t>项目</w:t>
                  </w:r>
                </w:p>
              </w:tc>
              <w:tc>
                <w:tcPr>
                  <w:tcW w:w="1448" w:type="pct"/>
                  <w:gridSpan w:val="2"/>
                  <w:tcBorders>
                    <w:tl2br w:val="nil"/>
                    <w:tr2bl w:val="nil"/>
                  </w:tcBorders>
                  <w:shd w:val="clear" w:color="auto" w:fill="auto"/>
                  <w:noWrap/>
                  <w:tcMar>
                    <w:top w:w="0" w:type="dxa"/>
                    <w:left w:w="0" w:type="dxa"/>
                    <w:bottom w:w="0" w:type="dxa"/>
                    <w:right w:w="0" w:type="dxa"/>
                  </w:tcMar>
                  <w:vAlign w:val="center"/>
                </w:tcPr>
                <w:p w14:paraId="7A4830CB">
                  <w:pPr>
                    <w:pStyle w:val="15"/>
                    <w:keepNext w:val="0"/>
                    <w:pageBreakBefore w:val="0"/>
                    <w:kinsoku/>
                    <w:overflowPunct/>
                    <w:bidi w:val="0"/>
                    <w:rPr>
                      <w:rFonts w:hint="eastAsia"/>
                    </w:rPr>
                  </w:pPr>
                  <w:r>
                    <w:rPr>
                      <w:rFonts w:hint="eastAsia"/>
                      <w:lang w:val="en-US" w:eastAsia="zh-CN"/>
                    </w:rPr>
                    <w:t>监测因子</w:t>
                  </w:r>
                </w:p>
              </w:tc>
              <w:tc>
                <w:tcPr>
                  <w:tcW w:w="485" w:type="pct"/>
                  <w:tcBorders>
                    <w:tl2br w:val="nil"/>
                    <w:tr2bl w:val="nil"/>
                  </w:tcBorders>
                  <w:shd w:val="clear" w:color="auto" w:fill="auto"/>
                  <w:noWrap/>
                  <w:tcMar>
                    <w:top w:w="0" w:type="dxa"/>
                    <w:left w:w="0" w:type="dxa"/>
                    <w:bottom w:w="0" w:type="dxa"/>
                    <w:right w:w="0" w:type="dxa"/>
                  </w:tcMar>
                  <w:vAlign w:val="center"/>
                </w:tcPr>
                <w:p w14:paraId="3D2C18E0">
                  <w:pPr>
                    <w:pStyle w:val="15"/>
                    <w:keepNext w:val="0"/>
                    <w:pageBreakBefore w:val="0"/>
                    <w:kinsoku/>
                    <w:overflowPunct/>
                    <w:bidi w:val="0"/>
                    <w:rPr>
                      <w:rFonts w:hint="eastAsia"/>
                    </w:rPr>
                  </w:pPr>
                  <w:r>
                    <w:rPr>
                      <w:rFonts w:hint="eastAsia"/>
                      <w:lang w:val="en-US" w:eastAsia="zh-CN"/>
                    </w:rPr>
                    <w:t>单位</w:t>
                  </w:r>
                </w:p>
              </w:tc>
              <w:tc>
                <w:tcPr>
                  <w:tcW w:w="804" w:type="pct"/>
                  <w:tcBorders>
                    <w:tl2br w:val="nil"/>
                    <w:tr2bl w:val="nil"/>
                  </w:tcBorders>
                  <w:shd w:val="clear" w:color="auto" w:fill="auto"/>
                  <w:tcMar>
                    <w:top w:w="0" w:type="dxa"/>
                    <w:left w:w="0" w:type="dxa"/>
                    <w:bottom w:w="0" w:type="dxa"/>
                    <w:right w:w="0" w:type="dxa"/>
                  </w:tcMar>
                  <w:vAlign w:val="center"/>
                </w:tcPr>
                <w:p w14:paraId="3855B38D">
                  <w:pPr>
                    <w:pStyle w:val="15"/>
                    <w:keepNext w:val="0"/>
                    <w:pageBreakBefore w:val="0"/>
                    <w:kinsoku/>
                    <w:overflowPunct/>
                    <w:bidi w:val="0"/>
                    <w:rPr>
                      <w:rFonts w:hint="eastAsia"/>
                    </w:rPr>
                  </w:pPr>
                  <w:r>
                    <w:rPr>
                      <w:rFonts w:hint="eastAsia"/>
                      <w:lang w:val="en-US" w:eastAsia="zh-CN"/>
                    </w:rPr>
                    <w:t>排口平均值</w:t>
                  </w:r>
                </w:p>
              </w:tc>
              <w:tc>
                <w:tcPr>
                  <w:tcW w:w="816" w:type="pct"/>
                  <w:tcBorders>
                    <w:tl2br w:val="nil"/>
                    <w:tr2bl w:val="nil"/>
                  </w:tcBorders>
                  <w:shd w:val="clear" w:color="auto" w:fill="auto"/>
                  <w:noWrap/>
                  <w:tcMar>
                    <w:top w:w="0" w:type="dxa"/>
                    <w:left w:w="0" w:type="dxa"/>
                    <w:bottom w:w="0" w:type="dxa"/>
                    <w:right w:w="0" w:type="dxa"/>
                  </w:tcMar>
                  <w:vAlign w:val="center"/>
                </w:tcPr>
                <w:p w14:paraId="2147312A">
                  <w:pPr>
                    <w:pStyle w:val="15"/>
                    <w:keepNext w:val="0"/>
                    <w:pageBreakBefore w:val="0"/>
                    <w:kinsoku/>
                    <w:overflowPunct/>
                    <w:bidi w:val="0"/>
                    <w:rPr>
                      <w:rFonts w:hint="eastAsia"/>
                    </w:rPr>
                  </w:pPr>
                  <w:r>
                    <w:rPr>
                      <w:rFonts w:hint="eastAsia"/>
                      <w:lang w:val="en-US" w:eastAsia="zh-CN"/>
                    </w:rPr>
                    <w:t>总量核算</w:t>
                  </w:r>
                  <w:r>
                    <w:rPr>
                      <w:rFonts w:hint="default"/>
                      <w:lang w:val="en-US" w:eastAsia="zh-CN"/>
                    </w:rPr>
                    <w:t>t/a</w:t>
                  </w:r>
                </w:p>
              </w:tc>
            </w:tr>
            <w:tr w14:paraId="1CCBFE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79407045">
                  <w:pPr>
                    <w:pStyle w:val="15"/>
                    <w:keepNext w:val="0"/>
                    <w:pageBreakBefore w:val="0"/>
                    <w:kinsoku/>
                    <w:overflowPunct/>
                    <w:bidi w:val="0"/>
                    <w:rPr>
                      <w:rFonts w:hint="default"/>
                      <w:lang w:val="en-US" w:eastAsia="zh-CN"/>
                    </w:rPr>
                  </w:pPr>
                  <w:r>
                    <w:rPr>
                      <w:rFonts w:hint="default"/>
                      <w:lang w:val="en-US" w:eastAsia="zh-CN"/>
                    </w:rPr>
                    <w:t>DA001</w:t>
                  </w:r>
                </w:p>
                <w:p w14:paraId="0E728B9D">
                  <w:pPr>
                    <w:pStyle w:val="15"/>
                    <w:keepNext w:val="0"/>
                    <w:pageBreakBefore w:val="0"/>
                    <w:kinsoku/>
                    <w:overflowPunct/>
                    <w:bidi w:val="0"/>
                    <w:rPr>
                      <w:rFonts w:hint="default"/>
                      <w:lang w:val="en-US" w:eastAsia="zh-CN"/>
                    </w:rPr>
                  </w:pPr>
                  <w:r>
                    <w:rPr>
                      <w:rFonts w:hint="default"/>
                      <w:lang w:val="en-US" w:eastAsia="zh-CN"/>
                    </w:rPr>
                    <w:t>羟基丙酸</w:t>
                  </w:r>
                </w:p>
                <w:p w14:paraId="146E2BE0">
                  <w:pPr>
                    <w:pStyle w:val="15"/>
                    <w:keepNext w:val="0"/>
                    <w:pageBreakBefore w:val="0"/>
                    <w:kinsoku/>
                    <w:overflowPunct/>
                    <w:bidi w:val="0"/>
                    <w:rPr>
                      <w:rFonts w:hint="default"/>
                    </w:rPr>
                  </w:pPr>
                  <w:r>
                    <w:rPr>
                      <w:rFonts w:hint="default"/>
                      <w:lang w:val="en-US" w:eastAsia="zh-CN"/>
                    </w:rPr>
                    <w:t>废气排放口</w:t>
                  </w:r>
                </w:p>
              </w:tc>
              <w:tc>
                <w:tcPr>
                  <w:tcW w:w="1448" w:type="pct"/>
                  <w:gridSpan w:val="2"/>
                  <w:tcBorders>
                    <w:tl2br w:val="nil"/>
                    <w:tr2bl w:val="nil"/>
                  </w:tcBorders>
                  <w:shd w:val="clear" w:color="auto" w:fill="auto"/>
                  <w:tcMar>
                    <w:top w:w="0" w:type="dxa"/>
                    <w:left w:w="0" w:type="dxa"/>
                    <w:bottom w:w="0" w:type="dxa"/>
                    <w:right w:w="0" w:type="dxa"/>
                  </w:tcMar>
                  <w:vAlign w:val="center"/>
                </w:tcPr>
                <w:p w14:paraId="5EA68E34">
                  <w:pPr>
                    <w:pStyle w:val="15"/>
                    <w:keepNext w:val="0"/>
                    <w:pageBreakBefore w:val="0"/>
                    <w:kinsoku/>
                    <w:overflowPunct/>
                    <w:bidi w:val="0"/>
                    <w:rPr>
                      <w:rFonts w:hint="eastAsia"/>
                    </w:rPr>
                  </w:pPr>
                  <w:r>
                    <w:rPr>
                      <w:rFonts w:hint="eastAsia"/>
                      <w:lang w:val="en-US" w:eastAsia="zh-CN"/>
                    </w:rPr>
                    <w:t>标干流量</w:t>
                  </w:r>
                </w:p>
              </w:tc>
              <w:tc>
                <w:tcPr>
                  <w:tcW w:w="485" w:type="pct"/>
                  <w:tcBorders>
                    <w:tl2br w:val="nil"/>
                    <w:tr2bl w:val="nil"/>
                  </w:tcBorders>
                  <w:shd w:val="clear" w:color="auto" w:fill="auto"/>
                  <w:tcMar>
                    <w:top w:w="0" w:type="dxa"/>
                    <w:left w:w="0" w:type="dxa"/>
                    <w:bottom w:w="0" w:type="dxa"/>
                    <w:right w:w="0" w:type="dxa"/>
                  </w:tcMar>
                  <w:vAlign w:val="center"/>
                </w:tcPr>
                <w:p w14:paraId="7425F731">
                  <w:pPr>
                    <w:pStyle w:val="15"/>
                    <w:keepNext w:val="0"/>
                    <w:pageBreakBefore w:val="0"/>
                    <w:kinsoku/>
                    <w:overflowPunct/>
                    <w:bidi w:val="0"/>
                    <w:rPr>
                      <w:rFonts w:hint="default"/>
                    </w:rPr>
                  </w:pPr>
                  <w:r>
                    <w:rPr>
                      <w:rFonts w:hint="default"/>
                      <w:lang w:val="en-US" w:eastAsia="zh-CN"/>
                    </w:rPr>
                    <w:t>m³/h</w:t>
                  </w:r>
                </w:p>
              </w:tc>
              <w:tc>
                <w:tcPr>
                  <w:tcW w:w="804" w:type="pct"/>
                  <w:tcBorders>
                    <w:tl2br w:val="nil"/>
                    <w:tr2bl w:val="nil"/>
                  </w:tcBorders>
                  <w:shd w:val="clear" w:color="auto" w:fill="auto"/>
                  <w:tcMar>
                    <w:top w:w="0" w:type="dxa"/>
                    <w:left w:w="0" w:type="dxa"/>
                    <w:bottom w:w="0" w:type="dxa"/>
                    <w:right w:w="0" w:type="dxa"/>
                  </w:tcMar>
                  <w:vAlign w:val="center"/>
                </w:tcPr>
                <w:p w14:paraId="18370E68">
                  <w:pPr>
                    <w:pStyle w:val="15"/>
                    <w:keepNext w:val="0"/>
                    <w:pageBreakBefore w:val="0"/>
                    <w:kinsoku/>
                    <w:overflowPunct/>
                    <w:bidi w:val="0"/>
                    <w:rPr>
                      <w:rFonts w:hint="default"/>
                    </w:rPr>
                  </w:pPr>
                  <w:r>
                    <w:rPr>
                      <w:rFonts w:hint="default"/>
                      <w:lang w:val="en-US" w:eastAsia="zh-CN"/>
                    </w:rPr>
                    <w:t>4668</w:t>
                  </w:r>
                </w:p>
              </w:tc>
              <w:tc>
                <w:tcPr>
                  <w:tcW w:w="816" w:type="pct"/>
                  <w:tcBorders>
                    <w:tl2br w:val="nil"/>
                    <w:tr2bl w:val="nil"/>
                  </w:tcBorders>
                  <w:shd w:val="clear" w:color="auto" w:fill="auto"/>
                  <w:noWrap/>
                  <w:tcMar>
                    <w:top w:w="0" w:type="dxa"/>
                    <w:left w:w="0" w:type="dxa"/>
                    <w:bottom w:w="0" w:type="dxa"/>
                    <w:right w:w="0" w:type="dxa"/>
                  </w:tcMar>
                  <w:vAlign w:val="center"/>
                </w:tcPr>
                <w:p w14:paraId="5441B958">
                  <w:pPr>
                    <w:pStyle w:val="15"/>
                    <w:keepNext w:val="0"/>
                    <w:pageBreakBefore w:val="0"/>
                    <w:kinsoku/>
                    <w:overflowPunct/>
                    <w:bidi w:val="0"/>
                    <w:rPr>
                      <w:rFonts w:hint="eastAsia"/>
                    </w:rPr>
                  </w:pPr>
                </w:p>
              </w:tc>
            </w:tr>
            <w:tr w14:paraId="3EF03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C310927">
                  <w:pPr>
                    <w:pStyle w:val="15"/>
                    <w:keepNext w:val="0"/>
                    <w:pageBreakBefore w:val="0"/>
                    <w:kinsoku/>
                    <w:overflowPunct/>
                    <w:bidi w:val="0"/>
                    <w:rPr>
                      <w:rFonts w:hint="default"/>
                    </w:rPr>
                  </w:pPr>
                </w:p>
              </w:tc>
              <w:tc>
                <w:tcPr>
                  <w:tcW w:w="803" w:type="pct"/>
                  <w:vMerge w:val="restart"/>
                  <w:tcBorders>
                    <w:tl2br w:val="nil"/>
                    <w:tr2bl w:val="nil"/>
                  </w:tcBorders>
                  <w:shd w:val="clear" w:color="auto" w:fill="auto"/>
                  <w:noWrap/>
                  <w:tcMar>
                    <w:top w:w="0" w:type="dxa"/>
                    <w:left w:w="0" w:type="dxa"/>
                    <w:bottom w:w="0" w:type="dxa"/>
                    <w:right w:w="0" w:type="dxa"/>
                  </w:tcMar>
                  <w:vAlign w:val="center"/>
                </w:tcPr>
                <w:p w14:paraId="574E321F">
                  <w:pPr>
                    <w:pStyle w:val="15"/>
                    <w:keepNext w:val="0"/>
                    <w:pageBreakBefore w:val="0"/>
                    <w:kinsoku/>
                    <w:overflowPunct/>
                    <w:bidi w:val="0"/>
                    <w:rPr>
                      <w:rFonts w:hint="eastAsia"/>
                    </w:rPr>
                  </w:pPr>
                  <w:r>
                    <w:rPr>
                      <w:rFonts w:hint="eastAsia"/>
                      <w:lang w:val="en-US" w:eastAsia="zh-CN"/>
                    </w:rPr>
                    <w:t>氯化氢</w:t>
                  </w:r>
                </w:p>
              </w:tc>
              <w:tc>
                <w:tcPr>
                  <w:tcW w:w="645" w:type="pct"/>
                  <w:tcBorders>
                    <w:tl2br w:val="nil"/>
                    <w:tr2bl w:val="nil"/>
                  </w:tcBorders>
                  <w:shd w:val="clear" w:color="auto" w:fill="auto"/>
                  <w:tcMar>
                    <w:top w:w="0" w:type="dxa"/>
                    <w:left w:w="0" w:type="dxa"/>
                    <w:bottom w:w="0" w:type="dxa"/>
                    <w:right w:w="0" w:type="dxa"/>
                  </w:tcMar>
                  <w:vAlign w:val="center"/>
                </w:tcPr>
                <w:p w14:paraId="02753A92">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6336D254">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105DA5D3">
                  <w:pPr>
                    <w:pStyle w:val="15"/>
                    <w:keepNext w:val="0"/>
                    <w:pageBreakBefore w:val="0"/>
                    <w:kinsoku/>
                    <w:overflowPunct/>
                    <w:bidi w:val="0"/>
                    <w:rPr>
                      <w:rFonts w:hint="default"/>
                    </w:rPr>
                  </w:pPr>
                  <w:r>
                    <w:rPr>
                      <w:rFonts w:hint="default"/>
                      <w:lang w:val="en-US" w:eastAsia="zh-CN"/>
                    </w:rPr>
                    <w:t>0.92</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53BC03B0">
                  <w:pPr>
                    <w:pStyle w:val="15"/>
                    <w:keepNext w:val="0"/>
                    <w:pageBreakBefore w:val="0"/>
                    <w:kinsoku/>
                    <w:overflowPunct/>
                    <w:bidi w:val="0"/>
                    <w:rPr>
                      <w:rFonts w:hint="default"/>
                    </w:rPr>
                  </w:pPr>
                  <w:r>
                    <w:rPr>
                      <w:rFonts w:hint="default"/>
                      <w:lang w:val="en-US" w:eastAsia="zh-CN"/>
                    </w:rPr>
                    <w:t>0.034</w:t>
                  </w:r>
                </w:p>
              </w:tc>
            </w:tr>
            <w:tr w14:paraId="3FFEFA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6B36200A">
                  <w:pPr>
                    <w:pStyle w:val="15"/>
                    <w:keepNext w:val="0"/>
                    <w:pageBreakBefore w:val="0"/>
                    <w:kinsoku/>
                    <w:overflowPunct/>
                    <w:bidi w:val="0"/>
                    <w:rPr>
                      <w:rFonts w:hint="default"/>
                    </w:rPr>
                  </w:pPr>
                </w:p>
              </w:tc>
              <w:tc>
                <w:tcPr>
                  <w:tcW w:w="803" w:type="pct"/>
                  <w:vMerge w:val="continue"/>
                  <w:tcBorders>
                    <w:tl2br w:val="nil"/>
                    <w:tr2bl w:val="nil"/>
                  </w:tcBorders>
                  <w:shd w:val="clear" w:color="auto" w:fill="auto"/>
                  <w:noWrap/>
                  <w:tcMar>
                    <w:top w:w="0" w:type="dxa"/>
                    <w:left w:w="0" w:type="dxa"/>
                    <w:bottom w:w="0" w:type="dxa"/>
                    <w:right w:w="0" w:type="dxa"/>
                  </w:tcMar>
                  <w:vAlign w:val="center"/>
                </w:tcPr>
                <w:p w14:paraId="66E166F6">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71C17261">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27A85FB5">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24C34A17">
                  <w:pPr>
                    <w:pStyle w:val="15"/>
                    <w:keepNext w:val="0"/>
                    <w:pageBreakBefore w:val="0"/>
                    <w:kinsoku/>
                    <w:overflowPunct/>
                    <w:bidi w:val="0"/>
                    <w:rPr>
                      <w:rFonts w:hint="default"/>
                    </w:rPr>
                  </w:pPr>
                  <w:r>
                    <w:rPr>
                      <w:rFonts w:hint="default"/>
                      <w:lang w:val="en-US" w:eastAsia="zh-CN"/>
                    </w:rPr>
                    <w:t>0.0043</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43A3EF70">
                  <w:pPr>
                    <w:pStyle w:val="15"/>
                    <w:keepNext w:val="0"/>
                    <w:pageBreakBefore w:val="0"/>
                    <w:kinsoku/>
                    <w:overflowPunct/>
                    <w:bidi w:val="0"/>
                    <w:rPr>
                      <w:rFonts w:hint="default"/>
                    </w:rPr>
                  </w:pPr>
                </w:p>
              </w:tc>
            </w:tr>
            <w:tr w14:paraId="0BA7D7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3E5A28F6">
                  <w:pPr>
                    <w:pStyle w:val="15"/>
                    <w:keepNext w:val="0"/>
                    <w:pageBreakBefore w:val="0"/>
                    <w:kinsoku/>
                    <w:overflowPunct/>
                    <w:bidi w:val="0"/>
                    <w:rPr>
                      <w:rFonts w:hint="default"/>
                    </w:rPr>
                  </w:pPr>
                </w:p>
              </w:tc>
              <w:tc>
                <w:tcPr>
                  <w:tcW w:w="803" w:type="pct"/>
                  <w:vMerge w:val="restart"/>
                  <w:tcBorders>
                    <w:tl2br w:val="nil"/>
                    <w:tr2bl w:val="nil"/>
                  </w:tcBorders>
                  <w:shd w:val="clear" w:color="auto" w:fill="auto"/>
                  <w:noWrap/>
                  <w:tcMar>
                    <w:top w:w="0" w:type="dxa"/>
                    <w:left w:w="0" w:type="dxa"/>
                    <w:bottom w:w="0" w:type="dxa"/>
                    <w:right w:w="0" w:type="dxa"/>
                  </w:tcMar>
                  <w:vAlign w:val="center"/>
                </w:tcPr>
                <w:p w14:paraId="5CF78985">
                  <w:pPr>
                    <w:pStyle w:val="15"/>
                    <w:keepNext w:val="0"/>
                    <w:pageBreakBefore w:val="0"/>
                    <w:kinsoku/>
                    <w:overflowPunct/>
                    <w:bidi w:val="0"/>
                    <w:rPr>
                      <w:rFonts w:hint="eastAsia"/>
                    </w:rPr>
                  </w:pPr>
                  <w:r>
                    <w:rPr>
                      <w:rFonts w:hint="eastAsia"/>
                      <w:lang w:val="en-US" w:eastAsia="zh-CN"/>
                    </w:rPr>
                    <w:t>甲醇</w:t>
                  </w:r>
                </w:p>
              </w:tc>
              <w:tc>
                <w:tcPr>
                  <w:tcW w:w="645" w:type="pct"/>
                  <w:tcBorders>
                    <w:tl2br w:val="nil"/>
                    <w:tr2bl w:val="nil"/>
                  </w:tcBorders>
                  <w:shd w:val="clear" w:color="auto" w:fill="auto"/>
                  <w:tcMar>
                    <w:top w:w="0" w:type="dxa"/>
                    <w:left w:w="0" w:type="dxa"/>
                    <w:bottom w:w="0" w:type="dxa"/>
                    <w:right w:w="0" w:type="dxa"/>
                  </w:tcMar>
                  <w:vAlign w:val="center"/>
                </w:tcPr>
                <w:p w14:paraId="1D5E3E9B">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5C62F6B4">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768C2574">
                  <w:pPr>
                    <w:pStyle w:val="15"/>
                    <w:keepNext w:val="0"/>
                    <w:pageBreakBefore w:val="0"/>
                    <w:kinsoku/>
                    <w:overflowPunct/>
                    <w:bidi w:val="0"/>
                    <w:rPr>
                      <w:rFonts w:hint="default"/>
                    </w:rPr>
                  </w:pPr>
                  <w:r>
                    <w:rPr>
                      <w:rFonts w:hint="default"/>
                      <w:lang w:val="en-US" w:eastAsia="zh-CN"/>
                    </w:rPr>
                    <w:t>2.45</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0FC84F04">
                  <w:pPr>
                    <w:pStyle w:val="15"/>
                    <w:keepNext w:val="0"/>
                    <w:pageBreakBefore w:val="0"/>
                    <w:kinsoku/>
                    <w:overflowPunct/>
                    <w:bidi w:val="0"/>
                    <w:rPr>
                      <w:rFonts w:hint="default"/>
                    </w:rPr>
                  </w:pPr>
                  <w:r>
                    <w:rPr>
                      <w:rFonts w:hint="default"/>
                      <w:lang w:val="en-US" w:eastAsia="zh-CN"/>
                    </w:rPr>
                    <w:t>0.092</w:t>
                  </w:r>
                </w:p>
              </w:tc>
            </w:tr>
            <w:tr w14:paraId="6D20FD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3353758D">
                  <w:pPr>
                    <w:pStyle w:val="15"/>
                    <w:keepNext w:val="0"/>
                    <w:pageBreakBefore w:val="0"/>
                    <w:kinsoku/>
                    <w:overflowPunct/>
                    <w:bidi w:val="0"/>
                    <w:rPr>
                      <w:rFonts w:hint="default"/>
                    </w:rPr>
                  </w:pPr>
                </w:p>
              </w:tc>
              <w:tc>
                <w:tcPr>
                  <w:tcW w:w="803" w:type="pct"/>
                  <w:vMerge w:val="continue"/>
                  <w:tcBorders>
                    <w:tl2br w:val="nil"/>
                    <w:tr2bl w:val="nil"/>
                  </w:tcBorders>
                  <w:shd w:val="clear" w:color="auto" w:fill="auto"/>
                  <w:noWrap/>
                  <w:tcMar>
                    <w:top w:w="0" w:type="dxa"/>
                    <w:left w:w="0" w:type="dxa"/>
                    <w:bottom w:w="0" w:type="dxa"/>
                    <w:right w:w="0" w:type="dxa"/>
                  </w:tcMar>
                  <w:vAlign w:val="center"/>
                </w:tcPr>
                <w:p w14:paraId="3B212497">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3CEC0CF0">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6882FE39">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40E63C28">
                  <w:pPr>
                    <w:pStyle w:val="15"/>
                    <w:keepNext w:val="0"/>
                    <w:pageBreakBefore w:val="0"/>
                    <w:kinsoku/>
                    <w:overflowPunct/>
                    <w:bidi w:val="0"/>
                    <w:rPr>
                      <w:rFonts w:hint="default"/>
                    </w:rPr>
                  </w:pPr>
                  <w:r>
                    <w:rPr>
                      <w:rFonts w:hint="default"/>
                      <w:lang w:val="en-US" w:eastAsia="zh-CN"/>
                    </w:rPr>
                    <w:t>0.01</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6A33EF42">
                  <w:pPr>
                    <w:pStyle w:val="15"/>
                    <w:keepNext w:val="0"/>
                    <w:pageBreakBefore w:val="0"/>
                    <w:kinsoku/>
                    <w:overflowPunct/>
                    <w:bidi w:val="0"/>
                    <w:rPr>
                      <w:rFonts w:hint="default"/>
                    </w:rPr>
                  </w:pPr>
                </w:p>
              </w:tc>
            </w:tr>
            <w:tr w14:paraId="12095C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2E11C2B6">
                  <w:pPr>
                    <w:pStyle w:val="15"/>
                    <w:keepNext w:val="0"/>
                    <w:pageBreakBefore w:val="0"/>
                    <w:kinsoku/>
                    <w:overflowPunct/>
                    <w:bidi w:val="0"/>
                    <w:rPr>
                      <w:rFonts w:hint="default"/>
                    </w:rPr>
                  </w:pPr>
                </w:p>
              </w:tc>
              <w:tc>
                <w:tcPr>
                  <w:tcW w:w="803" w:type="pct"/>
                  <w:vMerge w:val="restart"/>
                  <w:tcBorders>
                    <w:tl2br w:val="nil"/>
                    <w:tr2bl w:val="nil"/>
                  </w:tcBorders>
                  <w:shd w:val="clear" w:color="auto" w:fill="auto"/>
                  <w:noWrap/>
                  <w:tcMar>
                    <w:top w:w="0" w:type="dxa"/>
                    <w:left w:w="0" w:type="dxa"/>
                    <w:bottom w:w="0" w:type="dxa"/>
                    <w:right w:w="0" w:type="dxa"/>
                  </w:tcMar>
                  <w:vAlign w:val="center"/>
                </w:tcPr>
                <w:p w14:paraId="291B1C0E">
                  <w:pPr>
                    <w:pStyle w:val="15"/>
                    <w:keepNext w:val="0"/>
                    <w:pageBreakBefore w:val="0"/>
                    <w:kinsoku/>
                    <w:overflowPunct/>
                    <w:bidi w:val="0"/>
                    <w:rPr>
                      <w:rFonts w:hint="eastAsia"/>
                    </w:rPr>
                  </w:pPr>
                  <w:r>
                    <w:rPr>
                      <w:rFonts w:hint="eastAsia"/>
                      <w:lang w:val="en-US" w:eastAsia="zh-CN"/>
                    </w:rPr>
                    <w:t>非甲烷总烃</w:t>
                  </w:r>
                </w:p>
              </w:tc>
              <w:tc>
                <w:tcPr>
                  <w:tcW w:w="645" w:type="pct"/>
                  <w:tcBorders>
                    <w:tl2br w:val="nil"/>
                    <w:tr2bl w:val="nil"/>
                  </w:tcBorders>
                  <w:shd w:val="clear" w:color="auto" w:fill="auto"/>
                  <w:tcMar>
                    <w:top w:w="0" w:type="dxa"/>
                    <w:left w:w="0" w:type="dxa"/>
                    <w:bottom w:w="0" w:type="dxa"/>
                    <w:right w:w="0" w:type="dxa"/>
                  </w:tcMar>
                  <w:vAlign w:val="center"/>
                </w:tcPr>
                <w:p w14:paraId="1641C31A">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775239B5">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0BDF1A9B">
                  <w:pPr>
                    <w:pStyle w:val="15"/>
                    <w:keepNext w:val="0"/>
                    <w:pageBreakBefore w:val="0"/>
                    <w:kinsoku/>
                    <w:overflowPunct/>
                    <w:bidi w:val="0"/>
                    <w:rPr>
                      <w:rFonts w:hint="default"/>
                    </w:rPr>
                  </w:pPr>
                  <w:r>
                    <w:rPr>
                      <w:rFonts w:hint="default"/>
                      <w:lang w:val="en-US" w:eastAsia="zh-CN"/>
                    </w:rPr>
                    <w:t>4.87</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658539B5">
                  <w:pPr>
                    <w:pStyle w:val="15"/>
                    <w:keepNext w:val="0"/>
                    <w:pageBreakBefore w:val="0"/>
                    <w:kinsoku/>
                    <w:overflowPunct/>
                    <w:bidi w:val="0"/>
                    <w:rPr>
                      <w:rFonts w:hint="default"/>
                    </w:rPr>
                  </w:pPr>
                  <w:r>
                    <w:rPr>
                      <w:rFonts w:hint="default"/>
                      <w:lang w:val="en-US" w:eastAsia="zh-CN"/>
                    </w:rPr>
                    <w:t>0.18</w:t>
                  </w:r>
                </w:p>
              </w:tc>
            </w:tr>
            <w:tr w14:paraId="77ADE7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5B0242C1">
                  <w:pPr>
                    <w:pStyle w:val="15"/>
                    <w:keepNext w:val="0"/>
                    <w:pageBreakBefore w:val="0"/>
                    <w:kinsoku/>
                    <w:overflowPunct/>
                    <w:bidi w:val="0"/>
                    <w:rPr>
                      <w:rFonts w:hint="default"/>
                    </w:rPr>
                  </w:pPr>
                </w:p>
              </w:tc>
              <w:tc>
                <w:tcPr>
                  <w:tcW w:w="803" w:type="pct"/>
                  <w:vMerge w:val="continue"/>
                  <w:tcBorders>
                    <w:tl2br w:val="nil"/>
                    <w:tr2bl w:val="nil"/>
                  </w:tcBorders>
                  <w:shd w:val="clear" w:color="auto" w:fill="auto"/>
                  <w:noWrap/>
                  <w:tcMar>
                    <w:top w:w="0" w:type="dxa"/>
                    <w:left w:w="0" w:type="dxa"/>
                    <w:bottom w:w="0" w:type="dxa"/>
                    <w:right w:w="0" w:type="dxa"/>
                  </w:tcMar>
                  <w:vAlign w:val="center"/>
                </w:tcPr>
                <w:p w14:paraId="575C7523">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064931E9">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3F42DE85">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46B93DB5">
                  <w:pPr>
                    <w:pStyle w:val="15"/>
                    <w:keepNext w:val="0"/>
                    <w:pageBreakBefore w:val="0"/>
                    <w:kinsoku/>
                    <w:overflowPunct/>
                    <w:bidi w:val="0"/>
                    <w:rPr>
                      <w:rFonts w:hint="default"/>
                    </w:rPr>
                  </w:pPr>
                  <w:r>
                    <w:rPr>
                      <w:rFonts w:hint="default"/>
                      <w:lang w:val="en-US" w:eastAsia="zh-CN"/>
                    </w:rPr>
                    <w:t>0.023</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110AA413">
                  <w:pPr>
                    <w:pStyle w:val="15"/>
                    <w:keepNext w:val="0"/>
                    <w:pageBreakBefore w:val="0"/>
                    <w:kinsoku/>
                    <w:overflowPunct/>
                    <w:bidi w:val="0"/>
                    <w:rPr>
                      <w:rFonts w:hint="default"/>
                    </w:rPr>
                  </w:pPr>
                </w:p>
              </w:tc>
            </w:tr>
            <w:tr w14:paraId="770CB1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12661AAD">
                  <w:pPr>
                    <w:pStyle w:val="15"/>
                    <w:keepNext w:val="0"/>
                    <w:pageBreakBefore w:val="0"/>
                    <w:kinsoku/>
                    <w:overflowPunct/>
                    <w:bidi w:val="0"/>
                    <w:rPr>
                      <w:rFonts w:hint="default"/>
                      <w:lang w:val="en-US" w:eastAsia="zh-CN"/>
                    </w:rPr>
                  </w:pPr>
                  <w:r>
                    <w:rPr>
                      <w:rFonts w:hint="default"/>
                      <w:lang w:val="en-US" w:eastAsia="zh-CN"/>
                    </w:rPr>
                    <w:t>DA002</w:t>
                  </w:r>
                </w:p>
                <w:p w14:paraId="4742C6EA">
                  <w:pPr>
                    <w:pStyle w:val="15"/>
                    <w:keepNext w:val="0"/>
                    <w:pageBreakBefore w:val="0"/>
                    <w:kinsoku/>
                    <w:overflowPunct/>
                    <w:bidi w:val="0"/>
                    <w:rPr>
                      <w:rFonts w:hint="default"/>
                      <w:lang w:val="en-US" w:eastAsia="zh-CN"/>
                    </w:rPr>
                  </w:pPr>
                  <w:r>
                    <w:rPr>
                      <w:rFonts w:hint="default"/>
                      <w:lang w:val="en-US" w:eastAsia="zh-CN"/>
                    </w:rPr>
                    <w:t>氯丙酸甲酯</w:t>
                  </w:r>
                </w:p>
                <w:p w14:paraId="593038BB">
                  <w:pPr>
                    <w:pStyle w:val="15"/>
                    <w:keepNext w:val="0"/>
                    <w:pageBreakBefore w:val="0"/>
                    <w:kinsoku/>
                    <w:overflowPunct/>
                    <w:bidi w:val="0"/>
                    <w:rPr>
                      <w:rFonts w:hint="default"/>
                    </w:rPr>
                  </w:pPr>
                  <w:r>
                    <w:rPr>
                      <w:rFonts w:hint="default"/>
                      <w:lang w:val="en-US" w:eastAsia="zh-CN"/>
                    </w:rPr>
                    <w:t>废气排放口</w:t>
                  </w:r>
                </w:p>
              </w:tc>
              <w:tc>
                <w:tcPr>
                  <w:tcW w:w="1448" w:type="pct"/>
                  <w:gridSpan w:val="2"/>
                  <w:tcBorders>
                    <w:tl2br w:val="nil"/>
                    <w:tr2bl w:val="nil"/>
                  </w:tcBorders>
                  <w:shd w:val="clear" w:color="auto" w:fill="auto"/>
                  <w:tcMar>
                    <w:top w:w="0" w:type="dxa"/>
                    <w:left w:w="0" w:type="dxa"/>
                    <w:bottom w:w="0" w:type="dxa"/>
                    <w:right w:w="0" w:type="dxa"/>
                  </w:tcMar>
                  <w:vAlign w:val="center"/>
                </w:tcPr>
                <w:p w14:paraId="42542CEE">
                  <w:pPr>
                    <w:pStyle w:val="15"/>
                    <w:keepNext w:val="0"/>
                    <w:pageBreakBefore w:val="0"/>
                    <w:kinsoku/>
                    <w:overflowPunct/>
                    <w:bidi w:val="0"/>
                    <w:rPr>
                      <w:rFonts w:hint="eastAsia"/>
                    </w:rPr>
                  </w:pPr>
                  <w:r>
                    <w:rPr>
                      <w:rFonts w:hint="eastAsia"/>
                      <w:lang w:val="en-US" w:eastAsia="zh-CN"/>
                    </w:rPr>
                    <w:t>标干流量</w:t>
                  </w:r>
                </w:p>
              </w:tc>
              <w:tc>
                <w:tcPr>
                  <w:tcW w:w="485" w:type="pct"/>
                  <w:tcBorders>
                    <w:tl2br w:val="nil"/>
                    <w:tr2bl w:val="nil"/>
                  </w:tcBorders>
                  <w:shd w:val="clear" w:color="auto" w:fill="auto"/>
                  <w:tcMar>
                    <w:top w:w="0" w:type="dxa"/>
                    <w:left w:w="0" w:type="dxa"/>
                    <w:bottom w:w="0" w:type="dxa"/>
                    <w:right w:w="0" w:type="dxa"/>
                  </w:tcMar>
                  <w:vAlign w:val="center"/>
                </w:tcPr>
                <w:p w14:paraId="1500E5F5">
                  <w:pPr>
                    <w:pStyle w:val="15"/>
                    <w:keepNext w:val="0"/>
                    <w:pageBreakBefore w:val="0"/>
                    <w:kinsoku/>
                    <w:overflowPunct/>
                    <w:bidi w:val="0"/>
                    <w:rPr>
                      <w:rFonts w:hint="default"/>
                    </w:rPr>
                  </w:pPr>
                  <w:r>
                    <w:rPr>
                      <w:rFonts w:hint="default"/>
                      <w:lang w:val="en-US" w:eastAsia="zh-CN"/>
                    </w:rPr>
                    <w:t>m³/h</w:t>
                  </w:r>
                </w:p>
              </w:tc>
              <w:tc>
                <w:tcPr>
                  <w:tcW w:w="804" w:type="pct"/>
                  <w:tcBorders>
                    <w:tl2br w:val="nil"/>
                    <w:tr2bl w:val="nil"/>
                  </w:tcBorders>
                  <w:shd w:val="clear" w:color="auto" w:fill="auto"/>
                  <w:tcMar>
                    <w:top w:w="0" w:type="dxa"/>
                    <w:left w:w="0" w:type="dxa"/>
                    <w:bottom w:w="0" w:type="dxa"/>
                    <w:right w:w="0" w:type="dxa"/>
                  </w:tcMar>
                  <w:vAlign w:val="center"/>
                </w:tcPr>
                <w:p w14:paraId="3E1FBD83">
                  <w:pPr>
                    <w:pStyle w:val="15"/>
                    <w:keepNext w:val="0"/>
                    <w:pageBreakBefore w:val="0"/>
                    <w:kinsoku/>
                    <w:overflowPunct/>
                    <w:bidi w:val="0"/>
                    <w:rPr>
                      <w:rFonts w:hint="default"/>
                    </w:rPr>
                  </w:pPr>
                  <w:r>
                    <w:rPr>
                      <w:rFonts w:hint="default"/>
                      <w:lang w:val="en-US" w:eastAsia="zh-CN"/>
                    </w:rPr>
                    <w:t>2628.33</w:t>
                  </w:r>
                </w:p>
              </w:tc>
              <w:tc>
                <w:tcPr>
                  <w:tcW w:w="816" w:type="pct"/>
                  <w:tcBorders>
                    <w:tl2br w:val="nil"/>
                    <w:tr2bl w:val="nil"/>
                  </w:tcBorders>
                  <w:shd w:val="clear" w:color="auto" w:fill="auto"/>
                  <w:noWrap/>
                  <w:tcMar>
                    <w:top w:w="0" w:type="dxa"/>
                    <w:left w:w="0" w:type="dxa"/>
                    <w:bottom w:w="0" w:type="dxa"/>
                    <w:right w:w="0" w:type="dxa"/>
                  </w:tcMar>
                  <w:vAlign w:val="center"/>
                </w:tcPr>
                <w:p w14:paraId="4778D044">
                  <w:pPr>
                    <w:pStyle w:val="15"/>
                    <w:keepNext w:val="0"/>
                    <w:pageBreakBefore w:val="0"/>
                    <w:kinsoku/>
                    <w:overflowPunct/>
                    <w:bidi w:val="0"/>
                    <w:rPr>
                      <w:rFonts w:hint="eastAsia"/>
                    </w:rPr>
                  </w:pPr>
                </w:p>
              </w:tc>
            </w:tr>
            <w:tr w14:paraId="2A135F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7ECE94A2">
                  <w:pPr>
                    <w:pStyle w:val="15"/>
                    <w:keepNext w:val="0"/>
                    <w:pageBreakBefore w:val="0"/>
                    <w:kinsoku/>
                    <w:overflowPunct/>
                    <w:bidi w:val="0"/>
                    <w:rPr>
                      <w:rFonts w:hint="default"/>
                    </w:rPr>
                  </w:pPr>
                </w:p>
              </w:tc>
              <w:tc>
                <w:tcPr>
                  <w:tcW w:w="803" w:type="pct"/>
                  <w:vMerge w:val="restart"/>
                  <w:tcBorders>
                    <w:tl2br w:val="nil"/>
                    <w:tr2bl w:val="nil"/>
                  </w:tcBorders>
                  <w:shd w:val="clear" w:color="auto" w:fill="auto"/>
                  <w:noWrap/>
                  <w:tcMar>
                    <w:top w:w="0" w:type="dxa"/>
                    <w:left w:w="0" w:type="dxa"/>
                    <w:bottom w:w="0" w:type="dxa"/>
                    <w:right w:w="0" w:type="dxa"/>
                  </w:tcMar>
                  <w:vAlign w:val="center"/>
                </w:tcPr>
                <w:p w14:paraId="55C6CFD0">
                  <w:pPr>
                    <w:pStyle w:val="15"/>
                    <w:keepNext w:val="0"/>
                    <w:pageBreakBefore w:val="0"/>
                    <w:kinsoku/>
                    <w:overflowPunct/>
                    <w:bidi w:val="0"/>
                    <w:rPr>
                      <w:rFonts w:hint="eastAsia"/>
                    </w:rPr>
                  </w:pPr>
                  <w:r>
                    <w:rPr>
                      <w:rFonts w:hint="eastAsia"/>
                      <w:lang w:val="en-US" w:eastAsia="zh-CN"/>
                    </w:rPr>
                    <w:t>二氧化硫</w:t>
                  </w:r>
                </w:p>
              </w:tc>
              <w:tc>
                <w:tcPr>
                  <w:tcW w:w="645" w:type="pct"/>
                  <w:tcBorders>
                    <w:tl2br w:val="nil"/>
                    <w:tr2bl w:val="nil"/>
                  </w:tcBorders>
                  <w:shd w:val="clear" w:color="auto" w:fill="auto"/>
                  <w:tcMar>
                    <w:top w:w="0" w:type="dxa"/>
                    <w:left w:w="0" w:type="dxa"/>
                    <w:bottom w:w="0" w:type="dxa"/>
                    <w:right w:w="0" w:type="dxa"/>
                  </w:tcMar>
                  <w:vAlign w:val="center"/>
                </w:tcPr>
                <w:p w14:paraId="773ED937">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43ABB58B">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42832FB3">
                  <w:pPr>
                    <w:pStyle w:val="15"/>
                    <w:keepNext w:val="0"/>
                    <w:pageBreakBefore w:val="0"/>
                    <w:kinsoku/>
                    <w:overflowPunct/>
                    <w:bidi w:val="0"/>
                    <w:rPr>
                      <w:rFonts w:hint="default"/>
                    </w:rPr>
                  </w:pPr>
                  <w:r>
                    <w:rPr>
                      <w:rFonts w:hint="default"/>
                      <w:lang w:val="en-US" w:eastAsia="zh-CN"/>
                    </w:rPr>
                    <w:t>23.67</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5D438015">
                  <w:pPr>
                    <w:pStyle w:val="15"/>
                    <w:keepNext w:val="0"/>
                    <w:pageBreakBefore w:val="0"/>
                    <w:kinsoku/>
                    <w:overflowPunct/>
                    <w:bidi w:val="0"/>
                    <w:rPr>
                      <w:rFonts w:hint="default"/>
                    </w:rPr>
                  </w:pPr>
                  <w:r>
                    <w:rPr>
                      <w:rFonts w:hint="default"/>
                      <w:lang w:val="en-US" w:eastAsia="zh-CN"/>
                    </w:rPr>
                    <w:t>0.5</w:t>
                  </w:r>
                </w:p>
              </w:tc>
            </w:tr>
            <w:tr w14:paraId="21CFA9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42C3FF5E">
                  <w:pPr>
                    <w:pStyle w:val="15"/>
                    <w:keepNext w:val="0"/>
                    <w:pageBreakBefore w:val="0"/>
                    <w:kinsoku/>
                    <w:overflowPunct/>
                    <w:bidi w:val="0"/>
                    <w:rPr>
                      <w:rFonts w:hint="default"/>
                    </w:rPr>
                  </w:pPr>
                </w:p>
              </w:tc>
              <w:tc>
                <w:tcPr>
                  <w:tcW w:w="803" w:type="pct"/>
                  <w:vMerge w:val="continue"/>
                  <w:tcBorders>
                    <w:tl2br w:val="nil"/>
                    <w:tr2bl w:val="nil"/>
                  </w:tcBorders>
                  <w:shd w:val="clear" w:color="auto" w:fill="auto"/>
                  <w:noWrap/>
                  <w:tcMar>
                    <w:top w:w="0" w:type="dxa"/>
                    <w:left w:w="0" w:type="dxa"/>
                    <w:bottom w:w="0" w:type="dxa"/>
                    <w:right w:w="0" w:type="dxa"/>
                  </w:tcMar>
                  <w:vAlign w:val="center"/>
                </w:tcPr>
                <w:p w14:paraId="75975F9A">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6FA2537D">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348F0986">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0F3BEE1E">
                  <w:pPr>
                    <w:pStyle w:val="15"/>
                    <w:keepNext w:val="0"/>
                    <w:pageBreakBefore w:val="0"/>
                    <w:kinsoku/>
                    <w:overflowPunct/>
                    <w:bidi w:val="0"/>
                    <w:rPr>
                      <w:rFonts w:hint="default"/>
                    </w:rPr>
                  </w:pPr>
                  <w:r>
                    <w:rPr>
                      <w:rFonts w:hint="default"/>
                      <w:lang w:val="en-US" w:eastAsia="zh-CN"/>
                    </w:rPr>
                    <w:t>0.062</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69B9AF7B">
                  <w:pPr>
                    <w:pStyle w:val="15"/>
                    <w:keepNext w:val="0"/>
                    <w:pageBreakBefore w:val="0"/>
                    <w:kinsoku/>
                    <w:overflowPunct/>
                    <w:bidi w:val="0"/>
                    <w:rPr>
                      <w:rFonts w:hint="default"/>
                    </w:rPr>
                  </w:pPr>
                </w:p>
              </w:tc>
            </w:tr>
            <w:tr w14:paraId="01060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23FF8E8">
                  <w:pPr>
                    <w:pStyle w:val="15"/>
                    <w:keepNext w:val="0"/>
                    <w:pageBreakBefore w:val="0"/>
                    <w:kinsoku/>
                    <w:overflowPunct/>
                    <w:bidi w:val="0"/>
                    <w:rPr>
                      <w:rFonts w:hint="default"/>
                    </w:rPr>
                  </w:pPr>
                </w:p>
              </w:tc>
              <w:tc>
                <w:tcPr>
                  <w:tcW w:w="803" w:type="pct"/>
                  <w:vMerge w:val="restart"/>
                  <w:tcBorders>
                    <w:tl2br w:val="nil"/>
                    <w:tr2bl w:val="nil"/>
                  </w:tcBorders>
                  <w:shd w:val="clear" w:color="auto" w:fill="auto"/>
                  <w:noWrap/>
                  <w:tcMar>
                    <w:top w:w="0" w:type="dxa"/>
                    <w:left w:w="0" w:type="dxa"/>
                    <w:bottom w:w="0" w:type="dxa"/>
                    <w:right w:w="0" w:type="dxa"/>
                  </w:tcMar>
                  <w:vAlign w:val="center"/>
                </w:tcPr>
                <w:p w14:paraId="1D8B81DC">
                  <w:pPr>
                    <w:pStyle w:val="15"/>
                    <w:keepNext w:val="0"/>
                    <w:pageBreakBefore w:val="0"/>
                    <w:kinsoku/>
                    <w:overflowPunct/>
                    <w:bidi w:val="0"/>
                    <w:rPr>
                      <w:rFonts w:hint="eastAsia"/>
                    </w:rPr>
                  </w:pPr>
                  <w:r>
                    <w:rPr>
                      <w:rFonts w:hint="eastAsia"/>
                      <w:lang w:val="en-US" w:eastAsia="zh-CN"/>
                    </w:rPr>
                    <w:t>氯化氢</w:t>
                  </w:r>
                </w:p>
              </w:tc>
              <w:tc>
                <w:tcPr>
                  <w:tcW w:w="645" w:type="pct"/>
                  <w:tcBorders>
                    <w:tl2br w:val="nil"/>
                    <w:tr2bl w:val="nil"/>
                  </w:tcBorders>
                  <w:shd w:val="clear" w:color="auto" w:fill="auto"/>
                  <w:tcMar>
                    <w:top w:w="0" w:type="dxa"/>
                    <w:left w:w="0" w:type="dxa"/>
                    <w:bottom w:w="0" w:type="dxa"/>
                    <w:right w:w="0" w:type="dxa"/>
                  </w:tcMar>
                  <w:vAlign w:val="center"/>
                </w:tcPr>
                <w:p w14:paraId="11E23A47">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16BAA978">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19E06104">
                  <w:pPr>
                    <w:pStyle w:val="15"/>
                    <w:keepNext w:val="0"/>
                    <w:pageBreakBefore w:val="0"/>
                    <w:kinsoku/>
                    <w:overflowPunct/>
                    <w:bidi w:val="0"/>
                    <w:rPr>
                      <w:rFonts w:hint="default"/>
                    </w:rPr>
                  </w:pPr>
                  <w:r>
                    <w:rPr>
                      <w:rFonts w:hint="default"/>
                      <w:lang w:val="en-US" w:eastAsia="zh-CN"/>
                    </w:rPr>
                    <w:t>0.55</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60D401ED">
                  <w:pPr>
                    <w:pStyle w:val="15"/>
                    <w:keepNext w:val="0"/>
                    <w:pageBreakBefore w:val="0"/>
                    <w:kinsoku/>
                    <w:overflowPunct/>
                    <w:bidi w:val="0"/>
                    <w:rPr>
                      <w:rFonts w:hint="default"/>
                    </w:rPr>
                  </w:pPr>
                  <w:r>
                    <w:rPr>
                      <w:rFonts w:hint="default"/>
                      <w:lang w:val="en-US" w:eastAsia="zh-CN"/>
                    </w:rPr>
                    <w:t>0.011</w:t>
                  </w:r>
                </w:p>
              </w:tc>
            </w:tr>
            <w:tr w14:paraId="014058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96517E6">
                  <w:pPr>
                    <w:pStyle w:val="15"/>
                    <w:keepNext w:val="0"/>
                    <w:pageBreakBefore w:val="0"/>
                    <w:kinsoku/>
                    <w:overflowPunct/>
                    <w:bidi w:val="0"/>
                    <w:rPr>
                      <w:rFonts w:hint="default"/>
                    </w:rPr>
                  </w:pPr>
                </w:p>
              </w:tc>
              <w:tc>
                <w:tcPr>
                  <w:tcW w:w="803" w:type="pct"/>
                  <w:vMerge w:val="continue"/>
                  <w:tcBorders>
                    <w:tl2br w:val="nil"/>
                    <w:tr2bl w:val="nil"/>
                  </w:tcBorders>
                  <w:shd w:val="clear" w:color="auto" w:fill="auto"/>
                  <w:noWrap/>
                  <w:tcMar>
                    <w:top w:w="0" w:type="dxa"/>
                    <w:left w:w="0" w:type="dxa"/>
                    <w:bottom w:w="0" w:type="dxa"/>
                    <w:right w:w="0" w:type="dxa"/>
                  </w:tcMar>
                  <w:vAlign w:val="center"/>
                </w:tcPr>
                <w:p w14:paraId="4664516E">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4C328663">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459776E0">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420C71D8">
                  <w:pPr>
                    <w:pStyle w:val="15"/>
                    <w:keepNext w:val="0"/>
                    <w:pageBreakBefore w:val="0"/>
                    <w:kinsoku/>
                    <w:overflowPunct/>
                    <w:bidi w:val="0"/>
                    <w:rPr>
                      <w:rFonts w:hint="default"/>
                    </w:rPr>
                  </w:pPr>
                  <w:r>
                    <w:rPr>
                      <w:rFonts w:hint="default"/>
                      <w:lang w:val="en-US" w:eastAsia="zh-CN"/>
                    </w:rPr>
                    <w:t>0.0014</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192508E3">
                  <w:pPr>
                    <w:pStyle w:val="15"/>
                    <w:keepNext w:val="0"/>
                    <w:pageBreakBefore w:val="0"/>
                    <w:kinsoku/>
                    <w:overflowPunct/>
                    <w:bidi w:val="0"/>
                    <w:rPr>
                      <w:rFonts w:hint="default"/>
                    </w:rPr>
                  </w:pPr>
                </w:p>
              </w:tc>
            </w:tr>
            <w:tr w14:paraId="62EE36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5F7D642F">
                  <w:pPr>
                    <w:pStyle w:val="15"/>
                    <w:keepNext w:val="0"/>
                    <w:pageBreakBefore w:val="0"/>
                    <w:kinsoku/>
                    <w:overflowPunct/>
                    <w:bidi w:val="0"/>
                    <w:rPr>
                      <w:rFonts w:hint="default"/>
                    </w:rPr>
                  </w:pPr>
                </w:p>
              </w:tc>
              <w:tc>
                <w:tcPr>
                  <w:tcW w:w="803" w:type="pct"/>
                  <w:vMerge w:val="restart"/>
                  <w:tcBorders>
                    <w:tl2br w:val="nil"/>
                    <w:tr2bl w:val="nil"/>
                  </w:tcBorders>
                  <w:shd w:val="clear" w:color="auto" w:fill="auto"/>
                  <w:noWrap/>
                  <w:tcMar>
                    <w:top w:w="0" w:type="dxa"/>
                    <w:left w:w="0" w:type="dxa"/>
                    <w:bottom w:w="0" w:type="dxa"/>
                    <w:right w:w="0" w:type="dxa"/>
                  </w:tcMar>
                  <w:vAlign w:val="center"/>
                </w:tcPr>
                <w:p w14:paraId="73E9E556">
                  <w:pPr>
                    <w:pStyle w:val="15"/>
                    <w:keepNext w:val="0"/>
                    <w:pageBreakBefore w:val="0"/>
                    <w:kinsoku/>
                    <w:overflowPunct/>
                    <w:bidi w:val="0"/>
                    <w:rPr>
                      <w:rFonts w:hint="eastAsia"/>
                    </w:rPr>
                  </w:pPr>
                  <w:r>
                    <w:rPr>
                      <w:rFonts w:hint="eastAsia"/>
                      <w:lang w:val="en-US" w:eastAsia="zh-CN"/>
                    </w:rPr>
                    <w:t>非甲烷总烃</w:t>
                  </w:r>
                </w:p>
              </w:tc>
              <w:tc>
                <w:tcPr>
                  <w:tcW w:w="645" w:type="pct"/>
                  <w:tcBorders>
                    <w:tl2br w:val="nil"/>
                    <w:tr2bl w:val="nil"/>
                  </w:tcBorders>
                  <w:shd w:val="clear" w:color="auto" w:fill="auto"/>
                  <w:tcMar>
                    <w:top w:w="0" w:type="dxa"/>
                    <w:left w:w="0" w:type="dxa"/>
                    <w:bottom w:w="0" w:type="dxa"/>
                    <w:right w:w="0" w:type="dxa"/>
                  </w:tcMar>
                  <w:vAlign w:val="center"/>
                </w:tcPr>
                <w:p w14:paraId="4DAE4B47">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4B4B64B2">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7AC2B69B">
                  <w:pPr>
                    <w:pStyle w:val="15"/>
                    <w:keepNext w:val="0"/>
                    <w:pageBreakBefore w:val="0"/>
                    <w:kinsoku/>
                    <w:overflowPunct/>
                    <w:bidi w:val="0"/>
                    <w:rPr>
                      <w:rFonts w:hint="default"/>
                    </w:rPr>
                  </w:pPr>
                  <w:r>
                    <w:rPr>
                      <w:rFonts w:hint="default"/>
                      <w:lang w:val="en-US" w:eastAsia="zh-CN"/>
                    </w:rPr>
                    <w:t>2.24</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3E30EC29">
                  <w:pPr>
                    <w:pStyle w:val="15"/>
                    <w:keepNext w:val="0"/>
                    <w:pageBreakBefore w:val="0"/>
                    <w:kinsoku/>
                    <w:overflowPunct/>
                    <w:bidi w:val="0"/>
                    <w:rPr>
                      <w:rFonts w:hint="default"/>
                    </w:rPr>
                  </w:pPr>
                  <w:r>
                    <w:rPr>
                      <w:rFonts w:hint="default"/>
                      <w:lang w:val="en-US" w:eastAsia="zh-CN"/>
                    </w:rPr>
                    <w:t>0.047</w:t>
                  </w:r>
                </w:p>
              </w:tc>
            </w:tr>
            <w:tr w14:paraId="467C8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F9166DD">
                  <w:pPr>
                    <w:pStyle w:val="15"/>
                    <w:keepNext w:val="0"/>
                    <w:pageBreakBefore w:val="0"/>
                    <w:kinsoku/>
                    <w:overflowPunct/>
                    <w:bidi w:val="0"/>
                    <w:rPr>
                      <w:rFonts w:hint="default"/>
                    </w:rPr>
                  </w:pPr>
                </w:p>
              </w:tc>
              <w:tc>
                <w:tcPr>
                  <w:tcW w:w="803" w:type="pct"/>
                  <w:vMerge w:val="continue"/>
                  <w:tcBorders>
                    <w:tl2br w:val="nil"/>
                    <w:tr2bl w:val="nil"/>
                  </w:tcBorders>
                  <w:shd w:val="clear" w:color="auto" w:fill="auto"/>
                  <w:noWrap/>
                  <w:tcMar>
                    <w:top w:w="0" w:type="dxa"/>
                    <w:left w:w="0" w:type="dxa"/>
                    <w:bottom w:w="0" w:type="dxa"/>
                    <w:right w:w="0" w:type="dxa"/>
                  </w:tcMar>
                  <w:vAlign w:val="center"/>
                </w:tcPr>
                <w:p w14:paraId="2C2E89CC">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53171D9B">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6FF6DF65">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57AA1FF3">
                  <w:pPr>
                    <w:pStyle w:val="15"/>
                    <w:keepNext w:val="0"/>
                    <w:pageBreakBefore w:val="0"/>
                    <w:kinsoku/>
                    <w:overflowPunct/>
                    <w:bidi w:val="0"/>
                    <w:rPr>
                      <w:rFonts w:hint="default"/>
                    </w:rPr>
                  </w:pPr>
                  <w:r>
                    <w:rPr>
                      <w:rFonts w:hint="default"/>
                      <w:lang w:val="en-US" w:eastAsia="zh-CN"/>
                    </w:rPr>
                    <w:t>0.0059</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4B001BDE">
                  <w:pPr>
                    <w:pStyle w:val="15"/>
                    <w:keepNext w:val="0"/>
                    <w:pageBreakBefore w:val="0"/>
                    <w:kinsoku/>
                    <w:overflowPunct/>
                    <w:bidi w:val="0"/>
                    <w:rPr>
                      <w:rFonts w:hint="default"/>
                    </w:rPr>
                  </w:pPr>
                </w:p>
              </w:tc>
            </w:tr>
            <w:tr w14:paraId="12AF86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485081C5">
                  <w:pPr>
                    <w:pStyle w:val="15"/>
                    <w:keepNext w:val="0"/>
                    <w:pageBreakBefore w:val="0"/>
                    <w:kinsoku/>
                    <w:overflowPunct/>
                    <w:bidi w:val="0"/>
                    <w:rPr>
                      <w:rFonts w:hint="default"/>
                      <w:lang w:val="en-US" w:eastAsia="zh-CN"/>
                    </w:rPr>
                  </w:pPr>
                  <w:r>
                    <w:rPr>
                      <w:rFonts w:hint="default"/>
                      <w:lang w:val="en-US" w:eastAsia="zh-CN"/>
                    </w:rPr>
                    <w:t>DA004</w:t>
                  </w:r>
                </w:p>
                <w:p w14:paraId="59E0566A">
                  <w:pPr>
                    <w:pStyle w:val="15"/>
                    <w:keepNext w:val="0"/>
                    <w:pageBreakBefore w:val="0"/>
                    <w:kinsoku/>
                    <w:overflowPunct/>
                    <w:bidi w:val="0"/>
                    <w:rPr>
                      <w:rFonts w:hint="default"/>
                      <w:lang w:val="en-US" w:eastAsia="zh-CN"/>
                    </w:rPr>
                  </w:pPr>
                  <w:r>
                    <w:rPr>
                      <w:rFonts w:hint="default"/>
                      <w:lang w:val="en-US" w:eastAsia="zh-CN"/>
                    </w:rPr>
                    <w:t>污水处理站</w:t>
                  </w:r>
                </w:p>
                <w:p w14:paraId="58552A5C">
                  <w:pPr>
                    <w:pStyle w:val="15"/>
                    <w:keepNext w:val="0"/>
                    <w:pageBreakBefore w:val="0"/>
                    <w:kinsoku/>
                    <w:overflowPunct/>
                    <w:bidi w:val="0"/>
                    <w:rPr>
                      <w:rFonts w:hint="default"/>
                    </w:rPr>
                  </w:pPr>
                  <w:r>
                    <w:rPr>
                      <w:rFonts w:hint="default"/>
                      <w:lang w:val="en-US" w:eastAsia="zh-CN"/>
                    </w:rPr>
                    <w:t>废气排放口</w:t>
                  </w:r>
                </w:p>
              </w:tc>
              <w:tc>
                <w:tcPr>
                  <w:tcW w:w="1448" w:type="pct"/>
                  <w:gridSpan w:val="2"/>
                  <w:tcBorders>
                    <w:tl2br w:val="nil"/>
                    <w:tr2bl w:val="nil"/>
                  </w:tcBorders>
                  <w:shd w:val="clear" w:color="auto" w:fill="auto"/>
                  <w:tcMar>
                    <w:top w:w="0" w:type="dxa"/>
                    <w:left w:w="0" w:type="dxa"/>
                    <w:bottom w:w="0" w:type="dxa"/>
                    <w:right w:w="0" w:type="dxa"/>
                  </w:tcMar>
                  <w:vAlign w:val="center"/>
                </w:tcPr>
                <w:p w14:paraId="4988A5EE">
                  <w:pPr>
                    <w:pStyle w:val="15"/>
                    <w:keepNext w:val="0"/>
                    <w:pageBreakBefore w:val="0"/>
                    <w:kinsoku/>
                    <w:overflowPunct/>
                    <w:bidi w:val="0"/>
                    <w:rPr>
                      <w:rFonts w:hint="eastAsia"/>
                    </w:rPr>
                  </w:pPr>
                  <w:r>
                    <w:rPr>
                      <w:rFonts w:hint="eastAsia"/>
                      <w:lang w:val="en-US" w:eastAsia="zh-CN"/>
                    </w:rPr>
                    <w:t>标干流量</w:t>
                  </w:r>
                </w:p>
              </w:tc>
              <w:tc>
                <w:tcPr>
                  <w:tcW w:w="485" w:type="pct"/>
                  <w:tcBorders>
                    <w:tl2br w:val="nil"/>
                    <w:tr2bl w:val="nil"/>
                  </w:tcBorders>
                  <w:shd w:val="clear" w:color="auto" w:fill="auto"/>
                  <w:tcMar>
                    <w:top w:w="0" w:type="dxa"/>
                    <w:left w:w="0" w:type="dxa"/>
                    <w:bottom w:w="0" w:type="dxa"/>
                    <w:right w:w="0" w:type="dxa"/>
                  </w:tcMar>
                  <w:vAlign w:val="center"/>
                </w:tcPr>
                <w:p w14:paraId="590F8F01">
                  <w:pPr>
                    <w:pStyle w:val="15"/>
                    <w:keepNext w:val="0"/>
                    <w:pageBreakBefore w:val="0"/>
                    <w:kinsoku/>
                    <w:overflowPunct/>
                    <w:bidi w:val="0"/>
                    <w:rPr>
                      <w:rFonts w:hint="default"/>
                    </w:rPr>
                  </w:pPr>
                  <w:r>
                    <w:rPr>
                      <w:rFonts w:hint="default"/>
                      <w:lang w:val="en-US" w:eastAsia="zh-CN"/>
                    </w:rPr>
                    <w:t>m³/h</w:t>
                  </w:r>
                </w:p>
              </w:tc>
              <w:tc>
                <w:tcPr>
                  <w:tcW w:w="804" w:type="pct"/>
                  <w:tcBorders>
                    <w:tl2br w:val="nil"/>
                    <w:tr2bl w:val="nil"/>
                  </w:tcBorders>
                  <w:shd w:val="clear" w:color="auto" w:fill="auto"/>
                  <w:tcMar>
                    <w:top w:w="0" w:type="dxa"/>
                    <w:left w:w="0" w:type="dxa"/>
                    <w:bottom w:w="0" w:type="dxa"/>
                    <w:right w:w="0" w:type="dxa"/>
                  </w:tcMar>
                  <w:vAlign w:val="center"/>
                </w:tcPr>
                <w:p w14:paraId="2F9D3C93">
                  <w:pPr>
                    <w:pStyle w:val="15"/>
                    <w:keepNext w:val="0"/>
                    <w:pageBreakBefore w:val="0"/>
                    <w:kinsoku/>
                    <w:overflowPunct/>
                    <w:bidi w:val="0"/>
                    <w:rPr>
                      <w:rFonts w:hint="default"/>
                    </w:rPr>
                  </w:pPr>
                  <w:r>
                    <w:rPr>
                      <w:rFonts w:hint="default"/>
                      <w:lang w:val="en-US" w:eastAsia="zh-CN"/>
                    </w:rPr>
                    <w:t>4586.6667</w:t>
                  </w:r>
                </w:p>
              </w:tc>
              <w:tc>
                <w:tcPr>
                  <w:tcW w:w="816" w:type="pct"/>
                  <w:tcBorders>
                    <w:tl2br w:val="nil"/>
                    <w:tr2bl w:val="nil"/>
                  </w:tcBorders>
                  <w:shd w:val="clear" w:color="auto" w:fill="auto"/>
                  <w:noWrap/>
                  <w:tcMar>
                    <w:top w:w="0" w:type="dxa"/>
                    <w:left w:w="0" w:type="dxa"/>
                    <w:bottom w:w="0" w:type="dxa"/>
                    <w:right w:w="0" w:type="dxa"/>
                  </w:tcMar>
                  <w:vAlign w:val="center"/>
                </w:tcPr>
                <w:p w14:paraId="695591EF">
                  <w:pPr>
                    <w:pStyle w:val="15"/>
                    <w:keepNext w:val="0"/>
                    <w:pageBreakBefore w:val="0"/>
                    <w:kinsoku/>
                    <w:overflowPunct/>
                    <w:bidi w:val="0"/>
                    <w:rPr>
                      <w:rFonts w:hint="eastAsia"/>
                    </w:rPr>
                  </w:pPr>
                </w:p>
              </w:tc>
            </w:tr>
            <w:tr w14:paraId="0E0DAF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380259D3">
                  <w:pPr>
                    <w:pStyle w:val="15"/>
                    <w:keepNext w:val="0"/>
                    <w:pageBreakBefore w:val="0"/>
                    <w:kinsoku/>
                    <w:overflowPunct/>
                    <w:bidi w:val="0"/>
                    <w:rPr>
                      <w:rFonts w:hint="default"/>
                    </w:rPr>
                  </w:pPr>
                </w:p>
              </w:tc>
              <w:tc>
                <w:tcPr>
                  <w:tcW w:w="803" w:type="pct"/>
                  <w:vMerge w:val="restart"/>
                  <w:tcBorders>
                    <w:tl2br w:val="nil"/>
                    <w:tr2bl w:val="nil"/>
                  </w:tcBorders>
                  <w:shd w:val="clear" w:color="auto" w:fill="auto"/>
                  <w:tcMar>
                    <w:top w:w="0" w:type="dxa"/>
                    <w:left w:w="0" w:type="dxa"/>
                    <w:bottom w:w="0" w:type="dxa"/>
                    <w:right w:w="0" w:type="dxa"/>
                  </w:tcMar>
                  <w:vAlign w:val="center"/>
                </w:tcPr>
                <w:p w14:paraId="47C189C9">
                  <w:pPr>
                    <w:pStyle w:val="15"/>
                    <w:keepNext w:val="0"/>
                    <w:pageBreakBefore w:val="0"/>
                    <w:kinsoku/>
                    <w:overflowPunct/>
                    <w:bidi w:val="0"/>
                    <w:rPr>
                      <w:rFonts w:hint="eastAsia"/>
                    </w:rPr>
                  </w:pPr>
                  <w:r>
                    <w:rPr>
                      <w:rFonts w:hint="eastAsia"/>
                      <w:lang w:val="en-US" w:eastAsia="zh-CN"/>
                    </w:rPr>
                    <w:t>氯化氢</w:t>
                  </w:r>
                </w:p>
              </w:tc>
              <w:tc>
                <w:tcPr>
                  <w:tcW w:w="645" w:type="pct"/>
                  <w:tcBorders>
                    <w:tl2br w:val="nil"/>
                    <w:tr2bl w:val="nil"/>
                  </w:tcBorders>
                  <w:shd w:val="clear" w:color="auto" w:fill="auto"/>
                  <w:tcMar>
                    <w:top w:w="0" w:type="dxa"/>
                    <w:left w:w="0" w:type="dxa"/>
                    <w:bottom w:w="0" w:type="dxa"/>
                    <w:right w:w="0" w:type="dxa"/>
                  </w:tcMar>
                  <w:vAlign w:val="center"/>
                </w:tcPr>
                <w:p w14:paraId="6A165F04">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00CEA617">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1F797819">
                  <w:pPr>
                    <w:pStyle w:val="15"/>
                    <w:keepNext w:val="0"/>
                    <w:pageBreakBefore w:val="0"/>
                    <w:kinsoku/>
                    <w:overflowPunct/>
                    <w:bidi w:val="0"/>
                    <w:rPr>
                      <w:rFonts w:hint="default"/>
                    </w:rPr>
                  </w:pPr>
                  <w:r>
                    <w:rPr>
                      <w:rFonts w:hint="default"/>
                      <w:lang w:val="en-US" w:eastAsia="zh-CN"/>
                    </w:rPr>
                    <w:t>0.75</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60003F22">
                  <w:pPr>
                    <w:pStyle w:val="15"/>
                    <w:keepNext w:val="0"/>
                    <w:pageBreakBefore w:val="0"/>
                    <w:kinsoku/>
                    <w:overflowPunct/>
                    <w:bidi w:val="0"/>
                    <w:rPr>
                      <w:rFonts w:hint="default"/>
                    </w:rPr>
                  </w:pPr>
                  <w:r>
                    <w:rPr>
                      <w:rFonts w:hint="default"/>
                      <w:lang w:val="en-US" w:eastAsia="zh-CN"/>
                    </w:rPr>
                    <w:t>0.027</w:t>
                  </w:r>
                </w:p>
              </w:tc>
            </w:tr>
            <w:tr w14:paraId="0EF410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2D05748B">
                  <w:pPr>
                    <w:pStyle w:val="15"/>
                    <w:keepNext w:val="0"/>
                    <w:pageBreakBefore w:val="0"/>
                    <w:kinsoku/>
                    <w:overflowPunct/>
                    <w:bidi w:val="0"/>
                    <w:rPr>
                      <w:rFonts w:hint="default"/>
                    </w:rPr>
                  </w:pPr>
                </w:p>
              </w:tc>
              <w:tc>
                <w:tcPr>
                  <w:tcW w:w="803" w:type="pct"/>
                  <w:vMerge w:val="continue"/>
                  <w:tcBorders>
                    <w:tl2br w:val="nil"/>
                    <w:tr2bl w:val="nil"/>
                  </w:tcBorders>
                  <w:shd w:val="clear" w:color="auto" w:fill="auto"/>
                  <w:tcMar>
                    <w:top w:w="0" w:type="dxa"/>
                    <w:left w:w="0" w:type="dxa"/>
                    <w:bottom w:w="0" w:type="dxa"/>
                    <w:right w:w="0" w:type="dxa"/>
                  </w:tcMar>
                  <w:vAlign w:val="center"/>
                </w:tcPr>
                <w:p w14:paraId="32E08FD2">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5EA432AC">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40E6D22F">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55E2CF31">
                  <w:pPr>
                    <w:pStyle w:val="15"/>
                    <w:keepNext w:val="0"/>
                    <w:pageBreakBefore w:val="0"/>
                    <w:kinsoku/>
                    <w:overflowPunct/>
                    <w:bidi w:val="0"/>
                    <w:rPr>
                      <w:rFonts w:hint="default"/>
                    </w:rPr>
                  </w:pPr>
                  <w:r>
                    <w:rPr>
                      <w:rFonts w:hint="default"/>
                      <w:lang w:val="en-US" w:eastAsia="zh-CN"/>
                    </w:rPr>
                    <w:t>0.0034</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52EDD9FB">
                  <w:pPr>
                    <w:pStyle w:val="15"/>
                    <w:keepNext w:val="0"/>
                    <w:pageBreakBefore w:val="0"/>
                    <w:kinsoku/>
                    <w:overflowPunct/>
                    <w:bidi w:val="0"/>
                    <w:rPr>
                      <w:rFonts w:hint="default"/>
                    </w:rPr>
                  </w:pPr>
                </w:p>
              </w:tc>
            </w:tr>
            <w:tr w14:paraId="3D242D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71748346">
                  <w:pPr>
                    <w:pStyle w:val="15"/>
                    <w:keepNext w:val="0"/>
                    <w:pageBreakBefore w:val="0"/>
                    <w:kinsoku/>
                    <w:overflowPunct/>
                    <w:bidi w:val="0"/>
                    <w:rPr>
                      <w:rFonts w:hint="default"/>
                    </w:rPr>
                  </w:pPr>
                </w:p>
              </w:tc>
              <w:tc>
                <w:tcPr>
                  <w:tcW w:w="803" w:type="pct"/>
                  <w:tcBorders>
                    <w:tl2br w:val="nil"/>
                    <w:tr2bl w:val="nil"/>
                  </w:tcBorders>
                  <w:shd w:val="clear" w:color="auto" w:fill="auto"/>
                  <w:tcMar>
                    <w:top w:w="0" w:type="dxa"/>
                    <w:left w:w="0" w:type="dxa"/>
                    <w:bottom w:w="0" w:type="dxa"/>
                    <w:right w:w="0" w:type="dxa"/>
                  </w:tcMar>
                  <w:vAlign w:val="center"/>
                </w:tcPr>
                <w:p w14:paraId="7694CDD3">
                  <w:pPr>
                    <w:pStyle w:val="15"/>
                    <w:keepNext w:val="0"/>
                    <w:pageBreakBefore w:val="0"/>
                    <w:kinsoku/>
                    <w:overflowPunct/>
                    <w:bidi w:val="0"/>
                    <w:rPr>
                      <w:rFonts w:hint="eastAsia"/>
                    </w:rPr>
                  </w:pPr>
                  <w:r>
                    <w:rPr>
                      <w:rFonts w:hint="eastAsia"/>
                      <w:lang w:val="en-US" w:eastAsia="zh-CN"/>
                    </w:rPr>
                    <w:t>臭气浓度</w:t>
                  </w:r>
                </w:p>
              </w:tc>
              <w:tc>
                <w:tcPr>
                  <w:tcW w:w="645" w:type="pct"/>
                  <w:tcBorders>
                    <w:tl2br w:val="nil"/>
                    <w:tr2bl w:val="nil"/>
                  </w:tcBorders>
                  <w:shd w:val="clear" w:color="auto" w:fill="auto"/>
                  <w:tcMar>
                    <w:top w:w="0" w:type="dxa"/>
                    <w:left w:w="0" w:type="dxa"/>
                    <w:bottom w:w="0" w:type="dxa"/>
                    <w:right w:w="0" w:type="dxa"/>
                  </w:tcMar>
                  <w:vAlign w:val="center"/>
                </w:tcPr>
                <w:p w14:paraId="1BB14A6F">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4464A043">
                  <w:pPr>
                    <w:pStyle w:val="15"/>
                    <w:keepNext w:val="0"/>
                    <w:pageBreakBefore w:val="0"/>
                    <w:kinsoku/>
                    <w:overflowPunct/>
                    <w:bidi w:val="0"/>
                    <w:rPr>
                      <w:rFonts w:hint="eastAsia"/>
                    </w:rPr>
                  </w:pPr>
                  <w:r>
                    <w:rPr>
                      <w:rFonts w:hint="eastAsia"/>
                      <w:lang w:val="en-US" w:eastAsia="zh-CN"/>
                    </w:rPr>
                    <w:t>无量纲</w:t>
                  </w:r>
                </w:p>
              </w:tc>
              <w:tc>
                <w:tcPr>
                  <w:tcW w:w="804" w:type="pct"/>
                  <w:tcBorders>
                    <w:tl2br w:val="nil"/>
                    <w:tr2bl w:val="nil"/>
                  </w:tcBorders>
                  <w:shd w:val="clear" w:color="auto" w:fill="auto"/>
                  <w:tcMar>
                    <w:top w:w="0" w:type="dxa"/>
                    <w:left w:w="0" w:type="dxa"/>
                    <w:bottom w:w="0" w:type="dxa"/>
                    <w:right w:w="0" w:type="dxa"/>
                  </w:tcMar>
                  <w:vAlign w:val="center"/>
                </w:tcPr>
                <w:p w14:paraId="734564B4">
                  <w:pPr>
                    <w:pStyle w:val="15"/>
                    <w:keepNext w:val="0"/>
                    <w:pageBreakBefore w:val="0"/>
                    <w:kinsoku/>
                    <w:overflowPunct/>
                    <w:bidi w:val="0"/>
                    <w:rPr>
                      <w:rFonts w:hint="default"/>
                    </w:rPr>
                  </w:pPr>
                  <w:r>
                    <w:rPr>
                      <w:rFonts w:hint="default"/>
                      <w:lang w:val="en-US" w:eastAsia="zh-CN"/>
                    </w:rPr>
                    <w:t>119</w:t>
                  </w:r>
                </w:p>
              </w:tc>
              <w:tc>
                <w:tcPr>
                  <w:tcW w:w="816" w:type="pct"/>
                  <w:tcBorders>
                    <w:tl2br w:val="nil"/>
                    <w:tr2bl w:val="nil"/>
                  </w:tcBorders>
                  <w:shd w:val="clear" w:color="auto" w:fill="auto"/>
                  <w:noWrap/>
                  <w:tcMar>
                    <w:top w:w="0" w:type="dxa"/>
                    <w:left w:w="0" w:type="dxa"/>
                    <w:bottom w:w="0" w:type="dxa"/>
                    <w:right w:w="0" w:type="dxa"/>
                  </w:tcMar>
                  <w:vAlign w:val="center"/>
                </w:tcPr>
                <w:p w14:paraId="611B3342">
                  <w:pPr>
                    <w:pStyle w:val="15"/>
                    <w:keepNext w:val="0"/>
                    <w:pageBreakBefore w:val="0"/>
                    <w:kinsoku/>
                    <w:overflowPunct/>
                    <w:bidi w:val="0"/>
                    <w:rPr>
                      <w:rFonts w:hint="default"/>
                    </w:rPr>
                  </w:pPr>
                  <w:r>
                    <w:rPr>
                      <w:rFonts w:hint="default"/>
                      <w:lang w:val="en-US" w:eastAsia="zh-CN"/>
                    </w:rPr>
                    <w:t>/</w:t>
                  </w:r>
                </w:p>
              </w:tc>
            </w:tr>
            <w:tr w14:paraId="0C0284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684EF782">
                  <w:pPr>
                    <w:pStyle w:val="15"/>
                    <w:keepNext w:val="0"/>
                    <w:pageBreakBefore w:val="0"/>
                    <w:kinsoku/>
                    <w:overflowPunct/>
                    <w:bidi w:val="0"/>
                    <w:rPr>
                      <w:rFonts w:hint="default"/>
                    </w:rPr>
                  </w:pPr>
                </w:p>
              </w:tc>
              <w:tc>
                <w:tcPr>
                  <w:tcW w:w="803" w:type="pct"/>
                  <w:vMerge w:val="restart"/>
                  <w:tcBorders>
                    <w:tl2br w:val="nil"/>
                    <w:tr2bl w:val="nil"/>
                  </w:tcBorders>
                  <w:shd w:val="clear" w:color="auto" w:fill="auto"/>
                  <w:tcMar>
                    <w:top w:w="0" w:type="dxa"/>
                    <w:left w:w="0" w:type="dxa"/>
                    <w:bottom w:w="0" w:type="dxa"/>
                    <w:right w:w="0" w:type="dxa"/>
                  </w:tcMar>
                  <w:vAlign w:val="center"/>
                </w:tcPr>
                <w:p w14:paraId="04052135">
                  <w:pPr>
                    <w:pStyle w:val="15"/>
                    <w:keepNext w:val="0"/>
                    <w:pageBreakBefore w:val="0"/>
                    <w:kinsoku/>
                    <w:overflowPunct/>
                    <w:bidi w:val="0"/>
                    <w:rPr>
                      <w:rFonts w:hint="eastAsia"/>
                    </w:rPr>
                  </w:pPr>
                  <w:r>
                    <w:rPr>
                      <w:rFonts w:hint="eastAsia"/>
                      <w:lang w:val="en-US" w:eastAsia="zh-CN"/>
                    </w:rPr>
                    <w:t>非甲烷总烃</w:t>
                  </w:r>
                </w:p>
              </w:tc>
              <w:tc>
                <w:tcPr>
                  <w:tcW w:w="645" w:type="pct"/>
                  <w:tcBorders>
                    <w:tl2br w:val="nil"/>
                    <w:tr2bl w:val="nil"/>
                  </w:tcBorders>
                  <w:shd w:val="clear" w:color="auto" w:fill="auto"/>
                  <w:tcMar>
                    <w:top w:w="0" w:type="dxa"/>
                    <w:left w:w="0" w:type="dxa"/>
                    <w:bottom w:w="0" w:type="dxa"/>
                    <w:right w:w="0" w:type="dxa"/>
                  </w:tcMar>
                  <w:vAlign w:val="center"/>
                </w:tcPr>
                <w:p w14:paraId="630F7E52">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0F59438C">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01042C82">
                  <w:pPr>
                    <w:pStyle w:val="15"/>
                    <w:keepNext w:val="0"/>
                    <w:pageBreakBefore w:val="0"/>
                    <w:kinsoku/>
                    <w:overflowPunct/>
                    <w:bidi w:val="0"/>
                    <w:rPr>
                      <w:rFonts w:hint="default"/>
                    </w:rPr>
                  </w:pPr>
                  <w:r>
                    <w:rPr>
                      <w:rFonts w:hint="default"/>
                      <w:lang w:val="en-US" w:eastAsia="zh-CN"/>
                    </w:rPr>
                    <w:t>3.79</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2FA9984F">
                  <w:pPr>
                    <w:pStyle w:val="15"/>
                    <w:keepNext w:val="0"/>
                    <w:pageBreakBefore w:val="0"/>
                    <w:kinsoku/>
                    <w:overflowPunct/>
                    <w:bidi w:val="0"/>
                    <w:rPr>
                      <w:rFonts w:hint="default"/>
                    </w:rPr>
                  </w:pPr>
                  <w:r>
                    <w:rPr>
                      <w:rFonts w:hint="default"/>
                      <w:lang w:val="en-US" w:eastAsia="zh-CN"/>
                    </w:rPr>
                    <w:t>0.14</w:t>
                  </w:r>
                </w:p>
              </w:tc>
            </w:tr>
            <w:tr w14:paraId="5E2150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2D141DC2">
                  <w:pPr>
                    <w:pStyle w:val="15"/>
                    <w:keepNext w:val="0"/>
                    <w:pageBreakBefore w:val="0"/>
                    <w:kinsoku/>
                    <w:overflowPunct/>
                    <w:bidi w:val="0"/>
                    <w:rPr>
                      <w:rFonts w:hint="default"/>
                    </w:rPr>
                  </w:pPr>
                </w:p>
              </w:tc>
              <w:tc>
                <w:tcPr>
                  <w:tcW w:w="803" w:type="pct"/>
                  <w:vMerge w:val="continue"/>
                  <w:tcBorders>
                    <w:tl2br w:val="nil"/>
                    <w:tr2bl w:val="nil"/>
                  </w:tcBorders>
                  <w:shd w:val="clear" w:color="auto" w:fill="auto"/>
                  <w:tcMar>
                    <w:top w:w="0" w:type="dxa"/>
                    <w:left w:w="0" w:type="dxa"/>
                    <w:bottom w:w="0" w:type="dxa"/>
                    <w:right w:w="0" w:type="dxa"/>
                  </w:tcMar>
                  <w:vAlign w:val="center"/>
                </w:tcPr>
                <w:p w14:paraId="01774897">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06DFF2BB">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21C802AC">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78700806">
                  <w:pPr>
                    <w:pStyle w:val="15"/>
                    <w:keepNext w:val="0"/>
                    <w:pageBreakBefore w:val="0"/>
                    <w:kinsoku/>
                    <w:overflowPunct/>
                    <w:bidi w:val="0"/>
                    <w:rPr>
                      <w:rFonts w:hint="default"/>
                    </w:rPr>
                  </w:pPr>
                  <w:r>
                    <w:rPr>
                      <w:rFonts w:hint="default"/>
                      <w:lang w:val="en-US" w:eastAsia="zh-CN"/>
                    </w:rPr>
                    <w:t>0.018</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65B2492B">
                  <w:pPr>
                    <w:pStyle w:val="15"/>
                    <w:keepNext w:val="0"/>
                    <w:pageBreakBefore w:val="0"/>
                    <w:kinsoku/>
                    <w:overflowPunct/>
                    <w:bidi w:val="0"/>
                    <w:rPr>
                      <w:rFonts w:hint="default"/>
                    </w:rPr>
                  </w:pPr>
                </w:p>
              </w:tc>
            </w:tr>
            <w:tr w14:paraId="50C741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6E40E99E">
                  <w:pPr>
                    <w:pStyle w:val="15"/>
                    <w:keepNext w:val="0"/>
                    <w:pageBreakBefore w:val="0"/>
                    <w:kinsoku/>
                    <w:overflowPunct/>
                    <w:bidi w:val="0"/>
                    <w:rPr>
                      <w:rFonts w:hint="default"/>
                    </w:rPr>
                  </w:pPr>
                </w:p>
              </w:tc>
              <w:tc>
                <w:tcPr>
                  <w:tcW w:w="803" w:type="pct"/>
                  <w:vMerge w:val="restart"/>
                  <w:tcBorders>
                    <w:tl2br w:val="nil"/>
                    <w:tr2bl w:val="nil"/>
                  </w:tcBorders>
                  <w:shd w:val="clear" w:color="auto" w:fill="auto"/>
                  <w:tcMar>
                    <w:top w:w="0" w:type="dxa"/>
                    <w:left w:w="0" w:type="dxa"/>
                    <w:bottom w:w="0" w:type="dxa"/>
                    <w:right w:w="0" w:type="dxa"/>
                  </w:tcMar>
                  <w:vAlign w:val="center"/>
                </w:tcPr>
                <w:p w14:paraId="0C847F9F">
                  <w:pPr>
                    <w:pStyle w:val="15"/>
                    <w:keepNext w:val="0"/>
                    <w:pageBreakBefore w:val="0"/>
                    <w:kinsoku/>
                    <w:overflowPunct/>
                    <w:bidi w:val="0"/>
                    <w:rPr>
                      <w:rFonts w:hint="eastAsia"/>
                    </w:rPr>
                  </w:pPr>
                  <w:r>
                    <w:rPr>
                      <w:rFonts w:hint="eastAsia"/>
                      <w:lang w:val="en-US" w:eastAsia="zh-CN"/>
                    </w:rPr>
                    <w:t>硫化氢</w:t>
                  </w:r>
                </w:p>
              </w:tc>
              <w:tc>
                <w:tcPr>
                  <w:tcW w:w="645" w:type="pct"/>
                  <w:tcBorders>
                    <w:tl2br w:val="nil"/>
                    <w:tr2bl w:val="nil"/>
                  </w:tcBorders>
                  <w:shd w:val="clear" w:color="auto" w:fill="auto"/>
                  <w:tcMar>
                    <w:top w:w="0" w:type="dxa"/>
                    <w:left w:w="0" w:type="dxa"/>
                    <w:bottom w:w="0" w:type="dxa"/>
                    <w:right w:w="0" w:type="dxa"/>
                  </w:tcMar>
                  <w:vAlign w:val="center"/>
                </w:tcPr>
                <w:p w14:paraId="4C96BB86">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202A1FBA">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52F58DCB">
                  <w:pPr>
                    <w:pStyle w:val="15"/>
                    <w:keepNext w:val="0"/>
                    <w:pageBreakBefore w:val="0"/>
                    <w:kinsoku/>
                    <w:overflowPunct/>
                    <w:bidi w:val="0"/>
                    <w:rPr>
                      <w:rFonts w:hint="default"/>
                    </w:rPr>
                  </w:pPr>
                  <w:r>
                    <w:rPr>
                      <w:rFonts w:hint="default"/>
                      <w:lang w:val="en-US" w:eastAsia="zh-CN"/>
                    </w:rPr>
                    <w:t>/</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3092319A">
                  <w:pPr>
                    <w:pStyle w:val="15"/>
                    <w:keepNext w:val="0"/>
                    <w:pageBreakBefore w:val="0"/>
                    <w:kinsoku/>
                    <w:overflowPunct/>
                    <w:bidi w:val="0"/>
                    <w:rPr>
                      <w:rFonts w:hint="default"/>
                    </w:rPr>
                  </w:pPr>
                  <w:r>
                    <w:rPr>
                      <w:rFonts w:hint="default"/>
                      <w:lang w:val="en-US" w:eastAsia="zh-CN"/>
                    </w:rPr>
                    <w:t>/</w:t>
                  </w:r>
                </w:p>
              </w:tc>
            </w:tr>
            <w:tr w14:paraId="336F6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5DE9B306">
                  <w:pPr>
                    <w:pStyle w:val="15"/>
                    <w:keepNext w:val="0"/>
                    <w:pageBreakBefore w:val="0"/>
                    <w:kinsoku/>
                    <w:overflowPunct/>
                    <w:bidi w:val="0"/>
                    <w:rPr>
                      <w:rFonts w:hint="default"/>
                    </w:rPr>
                  </w:pPr>
                </w:p>
              </w:tc>
              <w:tc>
                <w:tcPr>
                  <w:tcW w:w="803" w:type="pct"/>
                  <w:vMerge w:val="continue"/>
                  <w:tcBorders>
                    <w:tl2br w:val="nil"/>
                    <w:tr2bl w:val="nil"/>
                  </w:tcBorders>
                  <w:shd w:val="clear" w:color="auto" w:fill="auto"/>
                  <w:tcMar>
                    <w:top w:w="0" w:type="dxa"/>
                    <w:left w:w="0" w:type="dxa"/>
                    <w:bottom w:w="0" w:type="dxa"/>
                    <w:right w:w="0" w:type="dxa"/>
                  </w:tcMar>
                  <w:vAlign w:val="center"/>
                </w:tcPr>
                <w:p w14:paraId="742D00D7">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03419627">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6B3E02AC">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189489D1">
                  <w:pPr>
                    <w:pStyle w:val="15"/>
                    <w:keepNext w:val="0"/>
                    <w:pageBreakBefore w:val="0"/>
                    <w:kinsoku/>
                    <w:overflowPunct/>
                    <w:bidi w:val="0"/>
                    <w:rPr>
                      <w:rFonts w:hint="default"/>
                    </w:rPr>
                  </w:pPr>
                  <w:r>
                    <w:rPr>
                      <w:rFonts w:hint="default"/>
                      <w:lang w:val="en-US" w:eastAsia="zh-CN"/>
                    </w:rPr>
                    <w:t>0.00000046</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158E48C2">
                  <w:pPr>
                    <w:pStyle w:val="15"/>
                    <w:keepNext w:val="0"/>
                    <w:pageBreakBefore w:val="0"/>
                    <w:kinsoku/>
                    <w:overflowPunct/>
                    <w:bidi w:val="0"/>
                    <w:rPr>
                      <w:rFonts w:hint="default"/>
                    </w:rPr>
                  </w:pPr>
                </w:p>
              </w:tc>
            </w:tr>
            <w:tr w14:paraId="75E194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AF712D2">
                  <w:pPr>
                    <w:pStyle w:val="15"/>
                    <w:keepNext w:val="0"/>
                    <w:pageBreakBefore w:val="0"/>
                    <w:kinsoku/>
                    <w:overflowPunct/>
                    <w:bidi w:val="0"/>
                    <w:rPr>
                      <w:rFonts w:hint="default"/>
                    </w:rPr>
                  </w:pPr>
                </w:p>
              </w:tc>
              <w:tc>
                <w:tcPr>
                  <w:tcW w:w="803" w:type="pct"/>
                  <w:vMerge w:val="restart"/>
                  <w:tcBorders>
                    <w:tl2br w:val="nil"/>
                    <w:tr2bl w:val="nil"/>
                  </w:tcBorders>
                  <w:shd w:val="clear" w:color="auto" w:fill="auto"/>
                  <w:tcMar>
                    <w:top w:w="0" w:type="dxa"/>
                    <w:left w:w="0" w:type="dxa"/>
                    <w:bottom w:w="0" w:type="dxa"/>
                    <w:right w:w="0" w:type="dxa"/>
                  </w:tcMar>
                  <w:vAlign w:val="center"/>
                </w:tcPr>
                <w:p w14:paraId="1932F79E">
                  <w:pPr>
                    <w:pStyle w:val="15"/>
                    <w:keepNext w:val="0"/>
                    <w:pageBreakBefore w:val="0"/>
                    <w:kinsoku/>
                    <w:overflowPunct/>
                    <w:bidi w:val="0"/>
                    <w:rPr>
                      <w:rFonts w:hint="eastAsia"/>
                    </w:rPr>
                  </w:pPr>
                  <w:r>
                    <w:rPr>
                      <w:rFonts w:hint="eastAsia"/>
                      <w:lang w:val="en-US" w:eastAsia="zh-CN"/>
                    </w:rPr>
                    <w:t>氨</w:t>
                  </w:r>
                </w:p>
              </w:tc>
              <w:tc>
                <w:tcPr>
                  <w:tcW w:w="645" w:type="pct"/>
                  <w:tcBorders>
                    <w:tl2br w:val="nil"/>
                    <w:tr2bl w:val="nil"/>
                  </w:tcBorders>
                  <w:shd w:val="clear" w:color="auto" w:fill="auto"/>
                  <w:tcMar>
                    <w:top w:w="0" w:type="dxa"/>
                    <w:left w:w="0" w:type="dxa"/>
                    <w:bottom w:w="0" w:type="dxa"/>
                    <w:right w:w="0" w:type="dxa"/>
                  </w:tcMar>
                  <w:vAlign w:val="center"/>
                </w:tcPr>
                <w:p w14:paraId="52C80641">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35A6E45A">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6A11BEEB">
                  <w:pPr>
                    <w:pStyle w:val="15"/>
                    <w:keepNext w:val="0"/>
                    <w:pageBreakBefore w:val="0"/>
                    <w:kinsoku/>
                    <w:overflowPunct/>
                    <w:bidi w:val="0"/>
                    <w:rPr>
                      <w:rFonts w:hint="default"/>
                    </w:rPr>
                  </w:pPr>
                  <w:r>
                    <w:rPr>
                      <w:rFonts w:hint="default"/>
                      <w:lang w:val="en-US" w:eastAsia="zh-CN"/>
                    </w:rPr>
                    <w:t>2</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29B20D51">
                  <w:pPr>
                    <w:pStyle w:val="15"/>
                    <w:keepNext w:val="0"/>
                    <w:pageBreakBefore w:val="0"/>
                    <w:kinsoku/>
                    <w:overflowPunct/>
                    <w:bidi w:val="0"/>
                    <w:rPr>
                      <w:rFonts w:hint="default"/>
                    </w:rPr>
                  </w:pPr>
                  <w:r>
                    <w:rPr>
                      <w:rFonts w:hint="default"/>
                      <w:lang w:val="en-US" w:eastAsia="zh-CN"/>
                    </w:rPr>
                    <w:t>0.074</w:t>
                  </w:r>
                </w:p>
              </w:tc>
            </w:tr>
            <w:tr w14:paraId="12511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7E700ABE">
                  <w:pPr>
                    <w:pStyle w:val="15"/>
                    <w:keepNext w:val="0"/>
                    <w:pageBreakBefore w:val="0"/>
                    <w:kinsoku/>
                    <w:overflowPunct/>
                    <w:bidi w:val="0"/>
                    <w:rPr>
                      <w:rFonts w:hint="default"/>
                    </w:rPr>
                  </w:pPr>
                </w:p>
              </w:tc>
              <w:tc>
                <w:tcPr>
                  <w:tcW w:w="803" w:type="pct"/>
                  <w:vMerge w:val="continue"/>
                  <w:tcBorders>
                    <w:tl2br w:val="nil"/>
                    <w:tr2bl w:val="nil"/>
                  </w:tcBorders>
                  <w:shd w:val="clear" w:color="auto" w:fill="auto"/>
                  <w:tcMar>
                    <w:top w:w="0" w:type="dxa"/>
                    <w:left w:w="0" w:type="dxa"/>
                    <w:bottom w:w="0" w:type="dxa"/>
                    <w:right w:w="0" w:type="dxa"/>
                  </w:tcMar>
                  <w:vAlign w:val="center"/>
                </w:tcPr>
                <w:p w14:paraId="5F9B3745">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1B86EA1B">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5EB2AC57">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11B25EDF">
                  <w:pPr>
                    <w:pStyle w:val="15"/>
                    <w:keepNext w:val="0"/>
                    <w:pageBreakBefore w:val="0"/>
                    <w:kinsoku/>
                    <w:overflowPunct/>
                    <w:bidi w:val="0"/>
                    <w:rPr>
                      <w:rFonts w:hint="default"/>
                    </w:rPr>
                  </w:pPr>
                  <w:r>
                    <w:rPr>
                      <w:rFonts w:hint="default"/>
                      <w:lang w:val="en-US" w:eastAsia="zh-CN"/>
                    </w:rPr>
                    <w:t>0.0092</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086F8AA2">
                  <w:pPr>
                    <w:pStyle w:val="15"/>
                    <w:keepNext w:val="0"/>
                    <w:pageBreakBefore w:val="0"/>
                    <w:kinsoku/>
                    <w:overflowPunct/>
                    <w:bidi w:val="0"/>
                    <w:rPr>
                      <w:rFonts w:hint="default"/>
                    </w:rPr>
                  </w:pPr>
                </w:p>
              </w:tc>
            </w:tr>
            <w:tr w14:paraId="1EF197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45319832">
                  <w:pPr>
                    <w:pStyle w:val="15"/>
                    <w:keepNext w:val="0"/>
                    <w:pageBreakBefore w:val="0"/>
                    <w:kinsoku/>
                    <w:overflowPunct/>
                    <w:bidi w:val="0"/>
                    <w:rPr>
                      <w:rFonts w:hint="default"/>
                      <w:lang w:val="en-US" w:eastAsia="zh-CN"/>
                    </w:rPr>
                  </w:pPr>
                  <w:r>
                    <w:rPr>
                      <w:rFonts w:hint="default"/>
                      <w:lang w:val="en-US" w:eastAsia="zh-CN"/>
                    </w:rPr>
                    <w:t>DA005</w:t>
                  </w:r>
                </w:p>
                <w:p w14:paraId="03C61A83">
                  <w:pPr>
                    <w:pStyle w:val="15"/>
                    <w:keepNext w:val="0"/>
                    <w:pageBreakBefore w:val="0"/>
                    <w:kinsoku/>
                    <w:overflowPunct/>
                    <w:bidi w:val="0"/>
                    <w:rPr>
                      <w:rFonts w:hint="default"/>
                      <w:lang w:val="en-US" w:eastAsia="zh-CN"/>
                    </w:rPr>
                  </w:pPr>
                  <w:r>
                    <w:rPr>
                      <w:rFonts w:hint="default"/>
                      <w:lang w:val="en-US" w:eastAsia="zh-CN"/>
                    </w:rPr>
                    <w:t>危险废物贮存库</w:t>
                  </w:r>
                </w:p>
                <w:p w14:paraId="2A9C9653">
                  <w:pPr>
                    <w:pStyle w:val="15"/>
                    <w:keepNext w:val="0"/>
                    <w:pageBreakBefore w:val="0"/>
                    <w:kinsoku/>
                    <w:overflowPunct/>
                    <w:bidi w:val="0"/>
                    <w:rPr>
                      <w:rFonts w:hint="default"/>
                    </w:rPr>
                  </w:pPr>
                  <w:r>
                    <w:rPr>
                      <w:rFonts w:hint="default"/>
                      <w:lang w:val="en-US" w:eastAsia="zh-CN"/>
                    </w:rPr>
                    <w:t>废气排放口</w:t>
                  </w:r>
                </w:p>
              </w:tc>
              <w:tc>
                <w:tcPr>
                  <w:tcW w:w="1448" w:type="pct"/>
                  <w:gridSpan w:val="2"/>
                  <w:tcBorders>
                    <w:tl2br w:val="nil"/>
                    <w:tr2bl w:val="nil"/>
                  </w:tcBorders>
                  <w:shd w:val="clear" w:color="auto" w:fill="auto"/>
                  <w:tcMar>
                    <w:top w:w="0" w:type="dxa"/>
                    <w:left w:w="0" w:type="dxa"/>
                    <w:bottom w:w="0" w:type="dxa"/>
                    <w:right w:w="0" w:type="dxa"/>
                  </w:tcMar>
                  <w:vAlign w:val="center"/>
                </w:tcPr>
                <w:p w14:paraId="1587A88A">
                  <w:pPr>
                    <w:pStyle w:val="15"/>
                    <w:keepNext w:val="0"/>
                    <w:pageBreakBefore w:val="0"/>
                    <w:kinsoku/>
                    <w:overflowPunct/>
                    <w:bidi w:val="0"/>
                    <w:rPr>
                      <w:rFonts w:hint="eastAsia"/>
                    </w:rPr>
                  </w:pPr>
                  <w:r>
                    <w:rPr>
                      <w:rFonts w:hint="eastAsia"/>
                      <w:lang w:val="en-US" w:eastAsia="zh-CN"/>
                    </w:rPr>
                    <w:t>标干流量</w:t>
                  </w:r>
                </w:p>
              </w:tc>
              <w:tc>
                <w:tcPr>
                  <w:tcW w:w="485" w:type="pct"/>
                  <w:tcBorders>
                    <w:tl2br w:val="nil"/>
                    <w:tr2bl w:val="nil"/>
                  </w:tcBorders>
                  <w:shd w:val="clear" w:color="auto" w:fill="auto"/>
                  <w:tcMar>
                    <w:top w:w="0" w:type="dxa"/>
                    <w:left w:w="0" w:type="dxa"/>
                    <w:bottom w:w="0" w:type="dxa"/>
                    <w:right w:w="0" w:type="dxa"/>
                  </w:tcMar>
                  <w:vAlign w:val="center"/>
                </w:tcPr>
                <w:p w14:paraId="0803371C">
                  <w:pPr>
                    <w:pStyle w:val="15"/>
                    <w:keepNext w:val="0"/>
                    <w:pageBreakBefore w:val="0"/>
                    <w:kinsoku/>
                    <w:overflowPunct/>
                    <w:bidi w:val="0"/>
                    <w:rPr>
                      <w:rFonts w:hint="default"/>
                    </w:rPr>
                  </w:pPr>
                  <w:r>
                    <w:rPr>
                      <w:rFonts w:hint="default"/>
                      <w:lang w:val="en-US" w:eastAsia="zh-CN"/>
                    </w:rPr>
                    <w:t>m³/h</w:t>
                  </w:r>
                </w:p>
              </w:tc>
              <w:tc>
                <w:tcPr>
                  <w:tcW w:w="804" w:type="pct"/>
                  <w:tcBorders>
                    <w:tl2br w:val="nil"/>
                    <w:tr2bl w:val="nil"/>
                  </w:tcBorders>
                  <w:shd w:val="clear" w:color="auto" w:fill="auto"/>
                  <w:tcMar>
                    <w:top w:w="0" w:type="dxa"/>
                    <w:left w:w="0" w:type="dxa"/>
                    <w:bottom w:w="0" w:type="dxa"/>
                    <w:right w:w="0" w:type="dxa"/>
                  </w:tcMar>
                  <w:vAlign w:val="center"/>
                </w:tcPr>
                <w:p w14:paraId="2954CF5D">
                  <w:pPr>
                    <w:pStyle w:val="15"/>
                    <w:keepNext w:val="0"/>
                    <w:pageBreakBefore w:val="0"/>
                    <w:kinsoku/>
                    <w:overflowPunct/>
                    <w:bidi w:val="0"/>
                    <w:rPr>
                      <w:rFonts w:hint="default"/>
                    </w:rPr>
                  </w:pPr>
                  <w:r>
                    <w:rPr>
                      <w:rFonts w:hint="default"/>
                      <w:lang w:val="en-US" w:eastAsia="zh-CN"/>
                    </w:rPr>
                    <w:t>1373.67</w:t>
                  </w:r>
                </w:p>
              </w:tc>
              <w:tc>
                <w:tcPr>
                  <w:tcW w:w="816" w:type="pct"/>
                  <w:tcBorders>
                    <w:tl2br w:val="nil"/>
                    <w:tr2bl w:val="nil"/>
                  </w:tcBorders>
                  <w:shd w:val="clear" w:color="auto" w:fill="auto"/>
                  <w:noWrap/>
                  <w:tcMar>
                    <w:top w:w="0" w:type="dxa"/>
                    <w:left w:w="0" w:type="dxa"/>
                    <w:bottom w:w="0" w:type="dxa"/>
                    <w:right w:w="0" w:type="dxa"/>
                  </w:tcMar>
                  <w:vAlign w:val="center"/>
                </w:tcPr>
                <w:p w14:paraId="0C5F541F">
                  <w:pPr>
                    <w:pStyle w:val="15"/>
                    <w:keepNext w:val="0"/>
                    <w:pageBreakBefore w:val="0"/>
                    <w:kinsoku/>
                    <w:overflowPunct/>
                    <w:bidi w:val="0"/>
                    <w:rPr>
                      <w:rFonts w:hint="eastAsia"/>
                    </w:rPr>
                  </w:pPr>
                </w:p>
              </w:tc>
            </w:tr>
            <w:tr w14:paraId="2E6362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392E62DF">
                  <w:pPr>
                    <w:pStyle w:val="15"/>
                    <w:keepNext w:val="0"/>
                    <w:pageBreakBefore w:val="0"/>
                    <w:kinsoku/>
                    <w:overflowPunct/>
                    <w:bidi w:val="0"/>
                    <w:rPr>
                      <w:rFonts w:hint="default"/>
                    </w:rPr>
                  </w:pPr>
                </w:p>
              </w:tc>
              <w:tc>
                <w:tcPr>
                  <w:tcW w:w="803" w:type="pct"/>
                  <w:vMerge w:val="restart"/>
                  <w:tcBorders>
                    <w:tl2br w:val="nil"/>
                    <w:tr2bl w:val="nil"/>
                  </w:tcBorders>
                  <w:shd w:val="clear" w:color="auto" w:fill="auto"/>
                  <w:tcMar>
                    <w:top w:w="0" w:type="dxa"/>
                    <w:left w:w="0" w:type="dxa"/>
                    <w:bottom w:w="0" w:type="dxa"/>
                    <w:right w:w="0" w:type="dxa"/>
                  </w:tcMar>
                  <w:vAlign w:val="center"/>
                </w:tcPr>
                <w:p w14:paraId="776576DE">
                  <w:pPr>
                    <w:pStyle w:val="15"/>
                    <w:keepNext w:val="0"/>
                    <w:pageBreakBefore w:val="0"/>
                    <w:kinsoku/>
                    <w:overflowPunct/>
                    <w:bidi w:val="0"/>
                    <w:rPr>
                      <w:rFonts w:hint="eastAsia"/>
                    </w:rPr>
                  </w:pPr>
                  <w:r>
                    <w:rPr>
                      <w:rFonts w:hint="eastAsia"/>
                      <w:lang w:val="en-US" w:eastAsia="zh-CN"/>
                    </w:rPr>
                    <w:t>非甲烷总烃</w:t>
                  </w:r>
                </w:p>
              </w:tc>
              <w:tc>
                <w:tcPr>
                  <w:tcW w:w="645" w:type="pct"/>
                  <w:tcBorders>
                    <w:tl2br w:val="nil"/>
                    <w:tr2bl w:val="nil"/>
                  </w:tcBorders>
                  <w:shd w:val="clear" w:color="auto" w:fill="auto"/>
                  <w:tcMar>
                    <w:top w:w="0" w:type="dxa"/>
                    <w:left w:w="0" w:type="dxa"/>
                    <w:bottom w:w="0" w:type="dxa"/>
                    <w:right w:w="0" w:type="dxa"/>
                  </w:tcMar>
                  <w:vAlign w:val="center"/>
                </w:tcPr>
                <w:p w14:paraId="56617233">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65E0FE7B">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0107FC89">
                  <w:pPr>
                    <w:pStyle w:val="15"/>
                    <w:keepNext w:val="0"/>
                    <w:pageBreakBefore w:val="0"/>
                    <w:kinsoku/>
                    <w:overflowPunct/>
                    <w:bidi w:val="0"/>
                    <w:rPr>
                      <w:rFonts w:hint="default"/>
                    </w:rPr>
                  </w:pPr>
                  <w:r>
                    <w:rPr>
                      <w:rFonts w:hint="default"/>
                      <w:lang w:val="en-US" w:eastAsia="zh-CN"/>
                    </w:rPr>
                    <w:t>2.58</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64F75CE7">
                  <w:pPr>
                    <w:pStyle w:val="15"/>
                    <w:keepNext w:val="0"/>
                    <w:pageBreakBefore w:val="0"/>
                    <w:kinsoku/>
                    <w:overflowPunct/>
                    <w:bidi w:val="0"/>
                    <w:rPr>
                      <w:rFonts w:hint="default"/>
                    </w:rPr>
                  </w:pPr>
                  <w:r>
                    <w:rPr>
                      <w:rFonts w:hint="default"/>
                      <w:lang w:val="en-US" w:eastAsia="zh-CN"/>
                    </w:rPr>
                    <w:t>0.028</w:t>
                  </w:r>
                </w:p>
              </w:tc>
            </w:tr>
            <w:tr w14:paraId="7007A9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6C164DBE">
                  <w:pPr>
                    <w:pStyle w:val="15"/>
                    <w:keepNext w:val="0"/>
                    <w:pageBreakBefore w:val="0"/>
                    <w:kinsoku/>
                    <w:overflowPunct/>
                    <w:bidi w:val="0"/>
                    <w:rPr>
                      <w:rFonts w:hint="default"/>
                    </w:rPr>
                  </w:pPr>
                </w:p>
              </w:tc>
              <w:tc>
                <w:tcPr>
                  <w:tcW w:w="803" w:type="pct"/>
                  <w:vMerge w:val="continue"/>
                  <w:tcBorders>
                    <w:tl2br w:val="nil"/>
                    <w:tr2bl w:val="nil"/>
                  </w:tcBorders>
                  <w:shd w:val="clear" w:color="auto" w:fill="auto"/>
                  <w:tcMar>
                    <w:top w:w="0" w:type="dxa"/>
                    <w:left w:w="0" w:type="dxa"/>
                    <w:bottom w:w="0" w:type="dxa"/>
                    <w:right w:w="0" w:type="dxa"/>
                  </w:tcMar>
                  <w:vAlign w:val="center"/>
                </w:tcPr>
                <w:p w14:paraId="5197E776">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5BF1E439">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4BEAD18B">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3E3CA4DE">
                  <w:pPr>
                    <w:pStyle w:val="15"/>
                    <w:keepNext w:val="0"/>
                    <w:pageBreakBefore w:val="0"/>
                    <w:kinsoku/>
                    <w:overflowPunct/>
                    <w:bidi w:val="0"/>
                    <w:rPr>
                      <w:rFonts w:hint="default"/>
                    </w:rPr>
                  </w:pPr>
                  <w:r>
                    <w:rPr>
                      <w:rFonts w:hint="default"/>
                      <w:lang w:val="en-US" w:eastAsia="zh-CN"/>
                    </w:rPr>
                    <w:t>0.0062</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3BBC6403">
                  <w:pPr>
                    <w:pStyle w:val="15"/>
                    <w:keepNext w:val="0"/>
                    <w:pageBreakBefore w:val="0"/>
                    <w:kinsoku/>
                    <w:overflowPunct/>
                    <w:bidi w:val="0"/>
                    <w:rPr>
                      <w:rFonts w:hint="default"/>
                    </w:rPr>
                  </w:pPr>
                </w:p>
              </w:tc>
            </w:tr>
            <w:tr w14:paraId="3A734E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312"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22FBBB34">
                  <w:pPr>
                    <w:pStyle w:val="15"/>
                    <w:keepNext w:val="0"/>
                    <w:pageBreakBefore w:val="0"/>
                    <w:kinsoku/>
                    <w:overflowPunct/>
                    <w:bidi w:val="0"/>
                    <w:rPr>
                      <w:rFonts w:hint="default"/>
                      <w:lang w:val="en-US" w:eastAsia="zh-CN"/>
                    </w:rPr>
                  </w:pPr>
                  <w:r>
                    <w:rPr>
                      <w:rFonts w:hint="default"/>
                      <w:lang w:val="en-US" w:eastAsia="zh-CN"/>
                    </w:rPr>
                    <w:t>DA003</w:t>
                  </w:r>
                </w:p>
                <w:p w14:paraId="271E099E">
                  <w:pPr>
                    <w:pStyle w:val="15"/>
                    <w:keepNext w:val="0"/>
                    <w:pageBreakBefore w:val="0"/>
                    <w:kinsoku/>
                    <w:overflowPunct/>
                    <w:bidi w:val="0"/>
                    <w:rPr>
                      <w:rFonts w:hint="default"/>
                      <w:lang w:val="en-US" w:eastAsia="zh-CN"/>
                    </w:rPr>
                  </w:pPr>
                  <w:r>
                    <w:rPr>
                      <w:rFonts w:hint="default"/>
                      <w:lang w:val="en-US" w:eastAsia="zh-CN"/>
                    </w:rPr>
                    <w:t>羟基丙酸流化床干燥</w:t>
                  </w:r>
                </w:p>
                <w:p w14:paraId="36DB14FC">
                  <w:pPr>
                    <w:pStyle w:val="15"/>
                    <w:keepNext w:val="0"/>
                    <w:pageBreakBefore w:val="0"/>
                    <w:kinsoku/>
                    <w:overflowPunct/>
                    <w:bidi w:val="0"/>
                    <w:rPr>
                      <w:rFonts w:hint="default"/>
                    </w:rPr>
                  </w:pPr>
                  <w:r>
                    <w:rPr>
                      <w:rFonts w:hint="default"/>
                      <w:lang w:val="en-US" w:eastAsia="zh-CN"/>
                    </w:rPr>
                    <w:t>废气排放口</w:t>
                  </w:r>
                </w:p>
              </w:tc>
              <w:tc>
                <w:tcPr>
                  <w:tcW w:w="1448" w:type="pct"/>
                  <w:gridSpan w:val="2"/>
                  <w:tcBorders>
                    <w:tl2br w:val="nil"/>
                    <w:tr2bl w:val="nil"/>
                  </w:tcBorders>
                  <w:shd w:val="clear" w:color="auto" w:fill="auto"/>
                  <w:tcMar>
                    <w:top w:w="0" w:type="dxa"/>
                    <w:left w:w="0" w:type="dxa"/>
                    <w:bottom w:w="0" w:type="dxa"/>
                    <w:right w:w="0" w:type="dxa"/>
                  </w:tcMar>
                  <w:vAlign w:val="center"/>
                </w:tcPr>
                <w:p w14:paraId="79C9F0B5">
                  <w:pPr>
                    <w:pStyle w:val="15"/>
                    <w:keepNext w:val="0"/>
                    <w:pageBreakBefore w:val="0"/>
                    <w:kinsoku/>
                    <w:overflowPunct/>
                    <w:bidi w:val="0"/>
                    <w:rPr>
                      <w:rFonts w:hint="eastAsia"/>
                    </w:rPr>
                  </w:pPr>
                  <w:r>
                    <w:rPr>
                      <w:rFonts w:hint="eastAsia"/>
                      <w:lang w:val="en-US" w:eastAsia="zh-CN"/>
                    </w:rPr>
                    <w:t>标干流量</w:t>
                  </w:r>
                </w:p>
              </w:tc>
              <w:tc>
                <w:tcPr>
                  <w:tcW w:w="485" w:type="pct"/>
                  <w:tcBorders>
                    <w:tl2br w:val="nil"/>
                    <w:tr2bl w:val="nil"/>
                  </w:tcBorders>
                  <w:shd w:val="clear" w:color="auto" w:fill="auto"/>
                  <w:tcMar>
                    <w:top w:w="0" w:type="dxa"/>
                    <w:left w:w="0" w:type="dxa"/>
                    <w:bottom w:w="0" w:type="dxa"/>
                    <w:right w:w="0" w:type="dxa"/>
                  </w:tcMar>
                  <w:vAlign w:val="center"/>
                </w:tcPr>
                <w:p w14:paraId="30E5A1F0">
                  <w:pPr>
                    <w:pStyle w:val="15"/>
                    <w:keepNext w:val="0"/>
                    <w:pageBreakBefore w:val="0"/>
                    <w:kinsoku/>
                    <w:overflowPunct/>
                    <w:bidi w:val="0"/>
                    <w:rPr>
                      <w:rFonts w:hint="default"/>
                    </w:rPr>
                  </w:pPr>
                  <w:r>
                    <w:rPr>
                      <w:rFonts w:hint="default"/>
                      <w:lang w:val="en-US" w:eastAsia="zh-CN"/>
                    </w:rPr>
                    <w:t>m³/h</w:t>
                  </w:r>
                </w:p>
              </w:tc>
              <w:tc>
                <w:tcPr>
                  <w:tcW w:w="804" w:type="pct"/>
                  <w:tcBorders>
                    <w:tl2br w:val="nil"/>
                    <w:tr2bl w:val="nil"/>
                  </w:tcBorders>
                  <w:shd w:val="clear" w:color="auto" w:fill="auto"/>
                  <w:tcMar>
                    <w:top w:w="0" w:type="dxa"/>
                    <w:left w:w="0" w:type="dxa"/>
                    <w:bottom w:w="0" w:type="dxa"/>
                    <w:right w:w="0" w:type="dxa"/>
                  </w:tcMar>
                  <w:vAlign w:val="center"/>
                </w:tcPr>
                <w:p w14:paraId="0D3DDA6F">
                  <w:pPr>
                    <w:pStyle w:val="15"/>
                    <w:keepNext w:val="0"/>
                    <w:pageBreakBefore w:val="0"/>
                    <w:kinsoku/>
                    <w:overflowPunct/>
                    <w:bidi w:val="0"/>
                    <w:rPr>
                      <w:rFonts w:hint="default"/>
                    </w:rPr>
                  </w:pPr>
                  <w:r>
                    <w:rPr>
                      <w:rFonts w:hint="default"/>
                      <w:lang w:val="en-US" w:eastAsia="zh-CN"/>
                    </w:rPr>
                    <w:t>16132.5</w:t>
                  </w:r>
                </w:p>
              </w:tc>
              <w:tc>
                <w:tcPr>
                  <w:tcW w:w="816" w:type="pct"/>
                  <w:tcBorders>
                    <w:tl2br w:val="nil"/>
                    <w:tr2bl w:val="nil"/>
                  </w:tcBorders>
                  <w:shd w:val="clear" w:color="auto" w:fill="auto"/>
                  <w:noWrap/>
                  <w:tcMar>
                    <w:top w:w="0" w:type="dxa"/>
                    <w:left w:w="0" w:type="dxa"/>
                    <w:bottom w:w="0" w:type="dxa"/>
                    <w:right w:w="0" w:type="dxa"/>
                  </w:tcMar>
                  <w:vAlign w:val="center"/>
                </w:tcPr>
                <w:p w14:paraId="3EA3BA13">
                  <w:pPr>
                    <w:pStyle w:val="15"/>
                    <w:keepNext w:val="0"/>
                    <w:pageBreakBefore w:val="0"/>
                    <w:kinsoku/>
                    <w:overflowPunct/>
                    <w:bidi w:val="0"/>
                    <w:rPr>
                      <w:rFonts w:hint="eastAsia"/>
                    </w:rPr>
                  </w:pPr>
                </w:p>
              </w:tc>
            </w:tr>
            <w:tr w14:paraId="45F6C0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6832DCA7">
                  <w:pPr>
                    <w:pStyle w:val="15"/>
                    <w:keepNext w:val="0"/>
                    <w:pageBreakBefore w:val="0"/>
                    <w:kinsoku/>
                    <w:overflowPunct/>
                    <w:bidi w:val="0"/>
                    <w:rPr>
                      <w:rFonts w:hint="default"/>
                    </w:rPr>
                  </w:pPr>
                </w:p>
              </w:tc>
              <w:tc>
                <w:tcPr>
                  <w:tcW w:w="803" w:type="pct"/>
                  <w:vMerge w:val="restart"/>
                  <w:tcBorders>
                    <w:tl2br w:val="nil"/>
                    <w:tr2bl w:val="nil"/>
                  </w:tcBorders>
                  <w:shd w:val="clear" w:color="auto" w:fill="auto"/>
                  <w:tcMar>
                    <w:top w:w="0" w:type="dxa"/>
                    <w:left w:w="0" w:type="dxa"/>
                    <w:bottom w:w="0" w:type="dxa"/>
                    <w:right w:w="0" w:type="dxa"/>
                  </w:tcMar>
                  <w:vAlign w:val="center"/>
                </w:tcPr>
                <w:p w14:paraId="793F2412">
                  <w:pPr>
                    <w:pStyle w:val="15"/>
                    <w:keepNext w:val="0"/>
                    <w:pageBreakBefore w:val="0"/>
                    <w:kinsoku/>
                    <w:overflowPunct/>
                    <w:bidi w:val="0"/>
                    <w:rPr>
                      <w:rFonts w:hint="eastAsia"/>
                    </w:rPr>
                  </w:pPr>
                  <w:r>
                    <w:rPr>
                      <w:rFonts w:hint="eastAsia"/>
                      <w:lang w:val="en-US" w:eastAsia="zh-CN"/>
                    </w:rPr>
                    <w:t>颗粒物</w:t>
                  </w:r>
                </w:p>
              </w:tc>
              <w:tc>
                <w:tcPr>
                  <w:tcW w:w="645" w:type="pct"/>
                  <w:tcBorders>
                    <w:tl2br w:val="nil"/>
                    <w:tr2bl w:val="nil"/>
                  </w:tcBorders>
                  <w:shd w:val="clear" w:color="auto" w:fill="auto"/>
                  <w:tcMar>
                    <w:top w:w="0" w:type="dxa"/>
                    <w:left w:w="0" w:type="dxa"/>
                    <w:bottom w:w="0" w:type="dxa"/>
                    <w:right w:w="0" w:type="dxa"/>
                  </w:tcMar>
                  <w:vAlign w:val="center"/>
                </w:tcPr>
                <w:p w14:paraId="2788FF26">
                  <w:pPr>
                    <w:pStyle w:val="15"/>
                    <w:keepNext w:val="0"/>
                    <w:pageBreakBefore w:val="0"/>
                    <w:kinsoku/>
                    <w:overflowPunct/>
                    <w:bidi w:val="0"/>
                    <w:rPr>
                      <w:rFonts w:hint="eastAsia"/>
                    </w:rPr>
                  </w:pPr>
                  <w:r>
                    <w:rPr>
                      <w:rFonts w:hint="eastAsia"/>
                      <w:lang w:val="en-US" w:eastAsia="zh-CN"/>
                    </w:rPr>
                    <w:t>实测值</w:t>
                  </w:r>
                </w:p>
              </w:tc>
              <w:tc>
                <w:tcPr>
                  <w:tcW w:w="485" w:type="pct"/>
                  <w:tcBorders>
                    <w:tl2br w:val="nil"/>
                    <w:tr2bl w:val="nil"/>
                  </w:tcBorders>
                  <w:shd w:val="clear" w:color="auto" w:fill="auto"/>
                  <w:tcMar>
                    <w:top w:w="0" w:type="dxa"/>
                    <w:left w:w="0" w:type="dxa"/>
                    <w:bottom w:w="0" w:type="dxa"/>
                    <w:right w:w="0" w:type="dxa"/>
                  </w:tcMar>
                  <w:vAlign w:val="center"/>
                </w:tcPr>
                <w:p w14:paraId="69AD6EA1">
                  <w:pPr>
                    <w:pStyle w:val="15"/>
                    <w:keepNext w:val="0"/>
                    <w:pageBreakBefore w:val="0"/>
                    <w:kinsoku/>
                    <w:overflowPunct/>
                    <w:bidi w:val="0"/>
                    <w:rPr>
                      <w:rFonts w:hint="default"/>
                    </w:rPr>
                  </w:pPr>
                  <w:r>
                    <w:rPr>
                      <w:rFonts w:hint="default"/>
                      <w:lang w:val="en-US" w:eastAsia="zh-CN"/>
                    </w:rPr>
                    <w:t>mg/m³</w:t>
                  </w:r>
                </w:p>
              </w:tc>
              <w:tc>
                <w:tcPr>
                  <w:tcW w:w="804" w:type="pct"/>
                  <w:tcBorders>
                    <w:tl2br w:val="nil"/>
                    <w:tr2bl w:val="nil"/>
                  </w:tcBorders>
                  <w:shd w:val="clear" w:color="auto" w:fill="auto"/>
                  <w:tcMar>
                    <w:top w:w="0" w:type="dxa"/>
                    <w:left w:w="0" w:type="dxa"/>
                    <w:bottom w:w="0" w:type="dxa"/>
                    <w:right w:w="0" w:type="dxa"/>
                  </w:tcMar>
                  <w:vAlign w:val="center"/>
                </w:tcPr>
                <w:p w14:paraId="287F48B9">
                  <w:pPr>
                    <w:pStyle w:val="15"/>
                    <w:keepNext w:val="0"/>
                    <w:pageBreakBefore w:val="0"/>
                    <w:kinsoku/>
                    <w:overflowPunct/>
                    <w:bidi w:val="0"/>
                    <w:rPr>
                      <w:rFonts w:hint="default"/>
                    </w:rPr>
                  </w:pPr>
                  <w:r>
                    <w:rPr>
                      <w:rFonts w:hint="default"/>
                      <w:lang w:val="en-US" w:eastAsia="zh-CN"/>
                    </w:rPr>
                    <w:t>8.45</w:t>
                  </w:r>
                </w:p>
              </w:tc>
              <w:tc>
                <w:tcPr>
                  <w:tcW w:w="816" w:type="pct"/>
                  <w:vMerge w:val="restart"/>
                  <w:tcBorders>
                    <w:tl2br w:val="nil"/>
                    <w:tr2bl w:val="nil"/>
                  </w:tcBorders>
                  <w:shd w:val="clear" w:color="auto" w:fill="auto"/>
                  <w:noWrap/>
                  <w:tcMar>
                    <w:top w:w="0" w:type="dxa"/>
                    <w:left w:w="0" w:type="dxa"/>
                    <w:bottom w:w="0" w:type="dxa"/>
                    <w:right w:w="0" w:type="dxa"/>
                  </w:tcMar>
                  <w:vAlign w:val="center"/>
                </w:tcPr>
                <w:p w14:paraId="3CE7AE45">
                  <w:pPr>
                    <w:pStyle w:val="15"/>
                    <w:keepNext w:val="0"/>
                    <w:pageBreakBefore w:val="0"/>
                    <w:kinsoku/>
                    <w:overflowPunct/>
                    <w:bidi w:val="0"/>
                    <w:rPr>
                      <w:rFonts w:hint="default"/>
                    </w:rPr>
                  </w:pPr>
                  <w:r>
                    <w:rPr>
                      <w:rFonts w:hint="default"/>
                      <w:lang w:val="en-US" w:eastAsia="zh-CN"/>
                    </w:rPr>
                    <w:t>1.091</w:t>
                  </w:r>
                </w:p>
              </w:tc>
            </w:tr>
            <w:tr w14:paraId="428B75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0B4FC6C">
                  <w:pPr>
                    <w:pStyle w:val="15"/>
                    <w:keepNext w:val="0"/>
                    <w:pageBreakBefore w:val="0"/>
                    <w:kinsoku/>
                    <w:overflowPunct/>
                    <w:bidi w:val="0"/>
                    <w:rPr>
                      <w:rFonts w:hint="default"/>
                    </w:rPr>
                  </w:pPr>
                </w:p>
              </w:tc>
              <w:tc>
                <w:tcPr>
                  <w:tcW w:w="803" w:type="pct"/>
                  <w:vMerge w:val="continue"/>
                  <w:tcBorders>
                    <w:tl2br w:val="nil"/>
                    <w:tr2bl w:val="nil"/>
                  </w:tcBorders>
                  <w:shd w:val="clear" w:color="auto" w:fill="auto"/>
                  <w:tcMar>
                    <w:top w:w="0" w:type="dxa"/>
                    <w:left w:w="0" w:type="dxa"/>
                    <w:bottom w:w="0" w:type="dxa"/>
                    <w:right w:w="0" w:type="dxa"/>
                  </w:tcMar>
                  <w:vAlign w:val="center"/>
                </w:tcPr>
                <w:p w14:paraId="2E8283F0">
                  <w:pPr>
                    <w:pStyle w:val="15"/>
                    <w:keepNext w:val="0"/>
                    <w:pageBreakBefore w:val="0"/>
                    <w:kinsoku/>
                    <w:overflowPunct/>
                    <w:bidi w:val="0"/>
                    <w:rPr>
                      <w:rFonts w:hint="eastAsia"/>
                    </w:rPr>
                  </w:pPr>
                </w:p>
              </w:tc>
              <w:tc>
                <w:tcPr>
                  <w:tcW w:w="645" w:type="pct"/>
                  <w:tcBorders>
                    <w:tl2br w:val="nil"/>
                    <w:tr2bl w:val="nil"/>
                  </w:tcBorders>
                  <w:shd w:val="clear" w:color="auto" w:fill="auto"/>
                  <w:tcMar>
                    <w:top w:w="0" w:type="dxa"/>
                    <w:left w:w="0" w:type="dxa"/>
                    <w:bottom w:w="0" w:type="dxa"/>
                    <w:right w:w="0" w:type="dxa"/>
                  </w:tcMar>
                  <w:vAlign w:val="center"/>
                </w:tcPr>
                <w:p w14:paraId="48F157F0">
                  <w:pPr>
                    <w:pStyle w:val="15"/>
                    <w:keepNext w:val="0"/>
                    <w:pageBreakBefore w:val="0"/>
                    <w:kinsoku/>
                    <w:overflowPunct/>
                    <w:bidi w:val="0"/>
                    <w:rPr>
                      <w:rFonts w:hint="eastAsia"/>
                    </w:rPr>
                  </w:pPr>
                  <w:r>
                    <w:rPr>
                      <w:rFonts w:hint="eastAsia"/>
                      <w:lang w:val="en-US" w:eastAsia="zh-CN"/>
                    </w:rPr>
                    <w:t>排放速率</w:t>
                  </w:r>
                </w:p>
              </w:tc>
              <w:tc>
                <w:tcPr>
                  <w:tcW w:w="485" w:type="pct"/>
                  <w:tcBorders>
                    <w:tl2br w:val="nil"/>
                    <w:tr2bl w:val="nil"/>
                  </w:tcBorders>
                  <w:shd w:val="clear" w:color="auto" w:fill="auto"/>
                  <w:tcMar>
                    <w:top w:w="0" w:type="dxa"/>
                    <w:left w:w="0" w:type="dxa"/>
                    <w:bottom w:w="0" w:type="dxa"/>
                    <w:right w:w="0" w:type="dxa"/>
                  </w:tcMar>
                  <w:vAlign w:val="center"/>
                </w:tcPr>
                <w:p w14:paraId="2C7BB03C">
                  <w:pPr>
                    <w:pStyle w:val="15"/>
                    <w:keepNext w:val="0"/>
                    <w:pageBreakBefore w:val="0"/>
                    <w:kinsoku/>
                    <w:overflowPunct/>
                    <w:bidi w:val="0"/>
                    <w:rPr>
                      <w:rFonts w:hint="default"/>
                    </w:rPr>
                  </w:pPr>
                  <w:r>
                    <w:rPr>
                      <w:rFonts w:hint="default"/>
                      <w:lang w:val="en-US" w:eastAsia="zh-CN"/>
                    </w:rPr>
                    <w:t>kg/h</w:t>
                  </w:r>
                </w:p>
              </w:tc>
              <w:tc>
                <w:tcPr>
                  <w:tcW w:w="804" w:type="pct"/>
                  <w:tcBorders>
                    <w:tl2br w:val="nil"/>
                    <w:tr2bl w:val="nil"/>
                  </w:tcBorders>
                  <w:shd w:val="clear" w:color="auto" w:fill="auto"/>
                  <w:tcMar>
                    <w:top w:w="0" w:type="dxa"/>
                    <w:left w:w="0" w:type="dxa"/>
                    <w:bottom w:w="0" w:type="dxa"/>
                    <w:right w:w="0" w:type="dxa"/>
                  </w:tcMar>
                  <w:vAlign w:val="center"/>
                </w:tcPr>
                <w:p w14:paraId="3ED64BAB">
                  <w:pPr>
                    <w:pStyle w:val="15"/>
                    <w:keepNext w:val="0"/>
                    <w:pageBreakBefore w:val="0"/>
                    <w:kinsoku/>
                    <w:overflowPunct/>
                    <w:bidi w:val="0"/>
                    <w:rPr>
                      <w:rFonts w:hint="default"/>
                    </w:rPr>
                  </w:pPr>
                  <w:r>
                    <w:rPr>
                      <w:rFonts w:hint="default"/>
                      <w:lang w:val="en-US" w:eastAsia="zh-CN"/>
                    </w:rPr>
                    <w:t>0.14</w:t>
                  </w:r>
                </w:p>
              </w:tc>
              <w:tc>
                <w:tcPr>
                  <w:tcW w:w="816" w:type="pct"/>
                  <w:vMerge w:val="continue"/>
                  <w:tcBorders>
                    <w:tl2br w:val="nil"/>
                    <w:tr2bl w:val="nil"/>
                  </w:tcBorders>
                  <w:shd w:val="clear" w:color="auto" w:fill="auto"/>
                  <w:noWrap/>
                  <w:tcMar>
                    <w:top w:w="0" w:type="dxa"/>
                    <w:left w:w="0" w:type="dxa"/>
                    <w:bottom w:w="0" w:type="dxa"/>
                    <w:right w:w="0" w:type="dxa"/>
                  </w:tcMar>
                  <w:vAlign w:val="center"/>
                </w:tcPr>
                <w:p w14:paraId="48878271">
                  <w:pPr>
                    <w:pStyle w:val="15"/>
                    <w:keepNext w:val="0"/>
                    <w:pageBreakBefore w:val="0"/>
                    <w:kinsoku/>
                    <w:overflowPunct/>
                    <w:bidi w:val="0"/>
                    <w:rPr>
                      <w:rFonts w:hint="default"/>
                    </w:rPr>
                  </w:pPr>
                </w:p>
              </w:tc>
            </w:tr>
            <w:tr w14:paraId="5CEEC8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08D33359">
                  <w:pPr>
                    <w:pStyle w:val="15"/>
                    <w:keepNext w:val="0"/>
                    <w:pageBreakBefore w:val="0"/>
                    <w:kinsoku/>
                    <w:overflowPunct/>
                    <w:bidi w:val="0"/>
                    <w:rPr>
                      <w:rFonts w:hint="eastAsia"/>
                      <w:lang w:val="en-US" w:eastAsia="zh-CN"/>
                    </w:rPr>
                  </w:pPr>
                  <w:r>
                    <w:rPr>
                      <w:rFonts w:hint="eastAsia"/>
                      <w:lang w:val="en-US" w:eastAsia="zh-CN"/>
                    </w:rPr>
                    <w:t>验收监测期间</w:t>
                  </w:r>
                </w:p>
                <w:p w14:paraId="1F536EA9">
                  <w:pPr>
                    <w:pStyle w:val="15"/>
                    <w:keepNext w:val="0"/>
                    <w:pageBreakBefore w:val="0"/>
                    <w:kinsoku/>
                    <w:overflowPunct/>
                    <w:bidi w:val="0"/>
                    <w:rPr>
                      <w:rFonts w:hint="eastAsia"/>
                    </w:rPr>
                  </w:pPr>
                  <w:r>
                    <w:rPr>
                      <w:rFonts w:hint="eastAsia"/>
                      <w:lang w:val="en-US" w:eastAsia="zh-CN"/>
                    </w:rPr>
                    <w:t>实测总量控制</w:t>
                  </w: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635860AF">
                  <w:pPr>
                    <w:pStyle w:val="15"/>
                    <w:keepNext w:val="0"/>
                    <w:pageBreakBefore w:val="0"/>
                    <w:kinsoku/>
                    <w:overflowPunct/>
                    <w:bidi w:val="0"/>
                    <w:rPr>
                      <w:rFonts w:hint="eastAsia"/>
                    </w:rPr>
                  </w:pPr>
                  <w:r>
                    <w:rPr>
                      <w:rFonts w:hint="eastAsia"/>
                      <w:lang w:val="en-US" w:eastAsia="zh-CN"/>
                    </w:rPr>
                    <w:t>颗粒物</w:t>
                  </w:r>
                </w:p>
              </w:tc>
              <w:tc>
                <w:tcPr>
                  <w:tcW w:w="816" w:type="pct"/>
                  <w:tcBorders>
                    <w:tl2br w:val="nil"/>
                    <w:tr2bl w:val="nil"/>
                  </w:tcBorders>
                  <w:shd w:val="clear" w:color="auto" w:fill="auto"/>
                  <w:noWrap/>
                  <w:tcMar>
                    <w:top w:w="0" w:type="dxa"/>
                    <w:left w:w="0" w:type="dxa"/>
                    <w:bottom w:w="0" w:type="dxa"/>
                    <w:right w:w="0" w:type="dxa"/>
                  </w:tcMar>
                  <w:vAlign w:val="center"/>
                </w:tcPr>
                <w:p w14:paraId="245EC58B">
                  <w:pPr>
                    <w:pStyle w:val="15"/>
                    <w:keepNext w:val="0"/>
                    <w:pageBreakBefore w:val="0"/>
                    <w:kinsoku/>
                    <w:overflowPunct/>
                    <w:bidi w:val="0"/>
                    <w:rPr>
                      <w:rFonts w:hint="default"/>
                    </w:rPr>
                  </w:pPr>
                  <w:r>
                    <w:rPr>
                      <w:rFonts w:hint="default"/>
                      <w:lang w:val="en-US" w:eastAsia="zh-CN"/>
                    </w:rPr>
                    <w:t>1.091</w:t>
                  </w:r>
                </w:p>
              </w:tc>
            </w:tr>
            <w:tr w14:paraId="504765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723C1106">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4A61972C">
                  <w:pPr>
                    <w:pStyle w:val="15"/>
                    <w:keepNext w:val="0"/>
                    <w:pageBreakBefore w:val="0"/>
                    <w:kinsoku/>
                    <w:overflowPunct/>
                    <w:bidi w:val="0"/>
                    <w:rPr>
                      <w:rFonts w:hint="eastAsia"/>
                    </w:rPr>
                  </w:pPr>
                  <w:r>
                    <w:rPr>
                      <w:rFonts w:hint="eastAsia"/>
                      <w:lang w:val="en-US" w:eastAsia="zh-CN"/>
                    </w:rPr>
                    <w:t>二氧化硫</w:t>
                  </w:r>
                </w:p>
              </w:tc>
              <w:tc>
                <w:tcPr>
                  <w:tcW w:w="816" w:type="pct"/>
                  <w:tcBorders>
                    <w:tl2br w:val="nil"/>
                    <w:tr2bl w:val="nil"/>
                  </w:tcBorders>
                  <w:shd w:val="clear" w:color="auto" w:fill="auto"/>
                  <w:noWrap/>
                  <w:tcMar>
                    <w:top w:w="0" w:type="dxa"/>
                    <w:left w:w="0" w:type="dxa"/>
                    <w:bottom w:w="0" w:type="dxa"/>
                    <w:right w:w="0" w:type="dxa"/>
                  </w:tcMar>
                  <w:vAlign w:val="center"/>
                </w:tcPr>
                <w:p w14:paraId="38BA5E7A">
                  <w:pPr>
                    <w:pStyle w:val="15"/>
                    <w:keepNext w:val="0"/>
                    <w:pageBreakBefore w:val="0"/>
                    <w:kinsoku/>
                    <w:overflowPunct/>
                    <w:bidi w:val="0"/>
                    <w:rPr>
                      <w:rFonts w:hint="default"/>
                    </w:rPr>
                  </w:pPr>
                  <w:r>
                    <w:rPr>
                      <w:rFonts w:hint="default"/>
                      <w:lang w:val="en-US" w:eastAsia="zh-CN"/>
                    </w:rPr>
                    <w:t>0.5</w:t>
                  </w:r>
                </w:p>
              </w:tc>
            </w:tr>
            <w:tr w14:paraId="6216F5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4E98B8EE">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59D94E63">
                  <w:pPr>
                    <w:pStyle w:val="15"/>
                    <w:keepNext w:val="0"/>
                    <w:pageBreakBefore w:val="0"/>
                    <w:kinsoku/>
                    <w:overflowPunct/>
                    <w:bidi w:val="0"/>
                    <w:rPr>
                      <w:rFonts w:hint="default"/>
                    </w:rPr>
                  </w:pPr>
                  <w:r>
                    <w:rPr>
                      <w:rFonts w:hint="default"/>
                      <w:lang w:val="en-US" w:eastAsia="zh-CN"/>
                    </w:rPr>
                    <w:t>NMHC</w:t>
                  </w:r>
                </w:p>
              </w:tc>
              <w:tc>
                <w:tcPr>
                  <w:tcW w:w="816" w:type="pct"/>
                  <w:tcBorders>
                    <w:tl2br w:val="nil"/>
                    <w:tr2bl w:val="nil"/>
                  </w:tcBorders>
                  <w:shd w:val="clear" w:color="auto" w:fill="auto"/>
                  <w:noWrap/>
                  <w:tcMar>
                    <w:top w:w="0" w:type="dxa"/>
                    <w:left w:w="0" w:type="dxa"/>
                    <w:bottom w:w="0" w:type="dxa"/>
                    <w:right w:w="0" w:type="dxa"/>
                  </w:tcMar>
                  <w:vAlign w:val="center"/>
                </w:tcPr>
                <w:p w14:paraId="3F1387F3">
                  <w:pPr>
                    <w:pStyle w:val="15"/>
                    <w:keepNext w:val="0"/>
                    <w:pageBreakBefore w:val="0"/>
                    <w:kinsoku/>
                    <w:overflowPunct/>
                    <w:bidi w:val="0"/>
                    <w:rPr>
                      <w:rFonts w:hint="default"/>
                    </w:rPr>
                  </w:pPr>
                  <w:r>
                    <w:rPr>
                      <w:rFonts w:hint="default"/>
                      <w:lang w:val="en-US" w:eastAsia="zh-CN"/>
                    </w:rPr>
                    <w:t xml:space="preserve">0.40 </w:t>
                  </w:r>
                </w:p>
              </w:tc>
            </w:tr>
            <w:tr w14:paraId="2B2A61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12B1F37E">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4B59F7C7">
                  <w:pPr>
                    <w:pStyle w:val="15"/>
                    <w:keepNext w:val="0"/>
                    <w:pageBreakBefore w:val="0"/>
                    <w:kinsoku/>
                    <w:overflowPunct/>
                    <w:bidi w:val="0"/>
                    <w:rPr>
                      <w:rFonts w:hint="eastAsia"/>
                    </w:rPr>
                  </w:pPr>
                  <w:r>
                    <w:rPr>
                      <w:rFonts w:hint="eastAsia"/>
                      <w:lang w:val="en-US" w:eastAsia="zh-CN"/>
                    </w:rPr>
                    <w:t>HCl</w:t>
                  </w:r>
                </w:p>
              </w:tc>
              <w:tc>
                <w:tcPr>
                  <w:tcW w:w="816" w:type="pct"/>
                  <w:tcBorders>
                    <w:tl2br w:val="nil"/>
                    <w:tr2bl w:val="nil"/>
                  </w:tcBorders>
                  <w:shd w:val="clear" w:color="auto" w:fill="auto"/>
                  <w:noWrap/>
                  <w:tcMar>
                    <w:top w:w="0" w:type="dxa"/>
                    <w:left w:w="0" w:type="dxa"/>
                    <w:bottom w:w="0" w:type="dxa"/>
                    <w:right w:w="0" w:type="dxa"/>
                  </w:tcMar>
                  <w:vAlign w:val="center"/>
                </w:tcPr>
                <w:p w14:paraId="7132A013">
                  <w:pPr>
                    <w:pStyle w:val="15"/>
                    <w:keepNext w:val="0"/>
                    <w:pageBreakBefore w:val="0"/>
                    <w:kinsoku/>
                    <w:overflowPunct/>
                    <w:bidi w:val="0"/>
                    <w:rPr>
                      <w:rFonts w:hint="default"/>
                    </w:rPr>
                  </w:pPr>
                  <w:r>
                    <w:rPr>
                      <w:rFonts w:hint="default"/>
                      <w:lang w:val="en-US" w:eastAsia="zh-CN"/>
                    </w:rPr>
                    <w:t>0.072</w:t>
                  </w:r>
                </w:p>
              </w:tc>
            </w:tr>
            <w:tr w14:paraId="5BEC27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3C7B5D55">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453B7219">
                  <w:pPr>
                    <w:pStyle w:val="15"/>
                    <w:keepNext w:val="0"/>
                    <w:pageBreakBefore w:val="0"/>
                    <w:kinsoku/>
                    <w:overflowPunct/>
                    <w:bidi w:val="0"/>
                    <w:rPr>
                      <w:rFonts w:hint="eastAsia"/>
                    </w:rPr>
                  </w:pPr>
                  <w:r>
                    <w:rPr>
                      <w:rFonts w:hint="eastAsia"/>
                      <w:lang w:val="en-US" w:eastAsia="zh-CN"/>
                    </w:rPr>
                    <w:t>甲醇</w:t>
                  </w:r>
                </w:p>
              </w:tc>
              <w:tc>
                <w:tcPr>
                  <w:tcW w:w="816" w:type="pct"/>
                  <w:tcBorders>
                    <w:tl2br w:val="nil"/>
                    <w:tr2bl w:val="nil"/>
                  </w:tcBorders>
                  <w:shd w:val="clear" w:color="auto" w:fill="auto"/>
                  <w:noWrap/>
                  <w:tcMar>
                    <w:top w:w="0" w:type="dxa"/>
                    <w:left w:w="0" w:type="dxa"/>
                    <w:bottom w:w="0" w:type="dxa"/>
                    <w:right w:w="0" w:type="dxa"/>
                  </w:tcMar>
                  <w:vAlign w:val="center"/>
                </w:tcPr>
                <w:p w14:paraId="46C51E8A">
                  <w:pPr>
                    <w:pStyle w:val="15"/>
                    <w:keepNext w:val="0"/>
                    <w:pageBreakBefore w:val="0"/>
                    <w:kinsoku/>
                    <w:overflowPunct/>
                    <w:bidi w:val="0"/>
                    <w:rPr>
                      <w:rFonts w:hint="default"/>
                    </w:rPr>
                  </w:pPr>
                  <w:r>
                    <w:rPr>
                      <w:rFonts w:hint="default"/>
                      <w:lang w:val="en-US" w:eastAsia="zh-CN"/>
                    </w:rPr>
                    <w:t>0.092</w:t>
                  </w:r>
                </w:p>
              </w:tc>
            </w:tr>
            <w:tr w14:paraId="74C2F4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5244B711">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6DE39428">
                  <w:pPr>
                    <w:pStyle w:val="15"/>
                    <w:keepNext w:val="0"/>
                    <w:pageBreakBefore w:val="0"/>
                    <w:kinsoku/>
                    <w:overflowPunct/>
                    <w:bidi w:val="0"/>
                    <w:rPr>
                      <w:rFonts w:hint="eastAsia"/>
                    </w:rPr>
                  </w:pPr>
                  <w:r>
                    <w:rPr>
                      <w:rFonts w:hint="eastAsia"/>
                      <w:lang w:val="en-US" w:eastAsia="zh-CN"/>
                    </w:rPr>
                    <w:t>硫化氢</w:t>
                  </w:r>
                </w:p>
              </w:tc>
              <w:tc>
                <w:tcPr>
                  <w:tcW w:w="816" w:type="pct"/>
                  <w:tcBorders>
                    <w:tl2br w:val="nil"/>
                    <w:tr2bl w:val="nil"/>
                  </w:tcBorders>
                  <w:shd w:val="clear" w:color="auto" w:fill="auto"/>
                  <w:noWrap/>
                  <w:tcMar>
                    <w:top w:w="0" w:type="dxa"/>
                    <w:left w:w="0" w:type="dxa"/>
                    <w:bottom w:w="0" w:type="dxa"/>
                    <w:right w:w="0" w:type="dxa"/>
                  </w:tcMar>
                  <w:vAlign w:val="center"/>
                </w:tcPr>
                <w:p w14:paraId="5B12637C">
                  <w:pPr>
                    <w:pStyle w:val="15"/>
                    <w:keepNext w:val="0"/>
                    <w:pageBreakBefore w:val="0"/>
                    <w:kinsoku/>
                    <w:overflowPunct/>
                    <w:bidi w:val="0"/>
                    <w:rPr>
                      <w:rFonts w:hint="default"/>
                    </w:rPr>
                  </w:pPr>
                  <w:r>
                    <w:rPr>
                      <w:rFonts w:hint="default"/>
                      <w:lang w:val="en-US" w:eastAsia="zh-CN"/>
                    </w:rPr>
                    <w:t>/</w:t>
                  </w:r>
                </w:p>
              </w:tc>
            </w:tr>
            <w:tr w14:paraId="465F09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2D09496A">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5B5C8C5A">
                  <w:pPr>
                    <w:pStyle w:val="15"/>
                    <w:keepNext w:val="0"/>
                    <w:pageBreakBefore w:val="0"/>
                    <w:kinsoku/>
                    <w:overflowPunct/>
                    <w:bidi w:val="0"/>
                    <w:rPr>
                      <w:rFonts w:hint="eastAsia"/>
                    </w:rPr>
                  </w:pPr>
                  <w:r>
                    <w:rPr>
                      <w:rFonts w:hint="eastAsia"/>
                      <w:lang w:val="en-US" w:eastAsia="zh-CN"/>
                    </w:rPr>
                    <w:t>氨</w:t>
                  </w:r>
                </w:p>
              </w:tc>
              <w:tc>
                <w:tcPr>
                  <w:tcW w:w="816" w:type="pct"/>
                  <w:tcBorders>
                    <w:tl2br w:val="nil"/>
                    <w:tr2bl w:val="nil"/>
                  </w:tcBorders>
                  <w:shd w:val="clear" w:color="auto" w:fill="auto"/>
                  <w:noWrap/>
                  <w:tcMar>
                    <w:top w:w="0" w:type="dxa"/>
                    <w:left w:w="0" w:type="dxa"/>
                    <w:bottom w:w="0" w:type="dxa"/>
                    <w:right w:w="0" w:type="dxa"/>
                  </w:tcMar>
                  <w:vAlign w:val="center"/>
                </w:tcPr>
                <w:p w14:paraId="492E1A9D">
                  <w:pPr>
                    <w:pStyle w:val="15"/>
                    <w:keepNext w:val="0"/>
                    <w:pageBreakBefore w:val="0"/>
                    <w:kinsoku/>
                    <w:overflowPunct/>
                    <w:bidi w:val="0"/>
                    <w:rPr>
                      <w:rFonts w:hint="default"/>
                    </w:rPr>
                  </w:pPr>
                  <w:r>
                    <w:rPr>
                      <w:rFonts w:hint="default"/>
                      <w:lang w:val="en-US" w:eastAsia="zh-CN"/>
                    </w:rPr>
                    <w:t>0.074</w:t>
                  </w:r>
                </w:p>
              </w:tc>
            </w:tr>
            <w:tr w14:paraId="1D1289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restart"/>
                  <w:tcBorders>
                    <w:tl2br w:val="nil"/>
                    <w:tr2bl w:val="nil"/>
                  </w:tcBorders>
                  <w:shd w:val="clear" w:color="auto" w:fill="auto"/>
                  <w:tcMar>
                    <w:top w:w="0" w:type="dxa"/>
                    <w:left w:w="0" w:type="dxa"/>
                    <w:bottom w:w="0" w:type="dxa"/>
                    <w:right w:w="0" w:type="dxa"/>
                  </w:tcMar>
                  <w:vAlign w:val="center"/>
                </w:tcPr>
                <w:p w14:paraId="52DE458F">
                  <w:pPr>
                    <w:pStyle w:val="15"/>
                    <w:keepNext w:val="0"/>
                    <w:pageBreakBefore w:val="0"/>
                    <w:kinsoku/>
                    <w:overflowPunct/>
                    <w:bidi w:val="0"/>
                    <w:rPr>
                      <w:rFonts w:hint="eastAsia"/>
                      <w:lang w:val="en-US" w:eastAsia="zh-CN"/>
                    </w:rPr>
                  </w:pPr>
                  <w:r>
                    <w:rPr>
                      <w:rFonts w:hint="eastAsia"/>
                      <w:lang w:val="en-US" w:eastAsia="zh-CN"/>
                    </w:rPr>
                    <w:t>折算满负荷</w:t>
                  </w:r>
                </w:p>
                <w:p w14:paraId="47EB2045">
                  <w:pPr>
                    <w:pStyle w:val="15"/>
                    <w:keepNext w:val="0"/>
                    <w:pageBreakBefore w:val="0"/>
                    <w:kinsoku/>
                    <w:overflowPunct/>
                    <w:bidi w:val="0"/>
                    <w:rPr>
                      <w:rFonts w:hint="eastAsia"/>
                    </w:rPr>
                  </w:pPr>
                  <w:r>
                    <w:rPr>
                      <w:rFonts w:hint="eastAsia"/>
                      <w:lang w:val="en-US" w:eastAsia="zh-CN"/>
                    </w:rPr>
                    <w:t>排放总量</w:t>
                  </w: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4A3DF722">
                  <w:pPr>
                    <w:pStyle w:val="15"/>
                    <w:keepNext w:val="0"/>
                    <w:pageBreakBefore w:val="0"/>
                    <w:kinsoku/>
                    <w:overflowPunct/>
                    <w:bidi w:val="0"/>
                    <w:rPr>
                      <w:rFonts w:hint="eastAsia"/>
                    </w:rPr>
                  </w:pPr>
                  <w:r>
                    <w:rPr>
                      <w:rFonts w:hint="eastAsia"/>
                      <w:lang w:val="en-US" w:eastAsia="zh-CN"/>
                    </w:rPr>
                    <w:t>颗粒物</w:t>
                  </w:r>
                </w:p>
              </w:tc>
              <w:tc>
                <w:tcPr>
                  <w:tcW w:w="816" w:type="pct"/>
                  <w:tcBorders>
                    <w:tl2br w:val="nil"/>
                    <w:tr2bl w:val="nil"/>
                  </w:tcBorders>
                  <w:shd w:val="clear" w:color="auto" w:fill="auto"/>
                  <w:noWrap/>
                  <w:tcMar>
                    <w:top w:w="0" w:type="dxa"/>
                    <w:left w:w="0" w:type="dxa"/>
                    <w:bottom w:w="0" w:type="dxa"/>
                    <w:right w:w="0" w:type="dxa"/>
                  </w:tcMar>
                  <w:vAlign w:val="center"/>
                </w:tcPr>
                <w:p w14:paraId="5A93ADC4">
                  <w:pPr>
                    <w:pStyle w:val="15"/>
                    <w:keepNext w:val="0"/>
                    <w:pageBreakBefore w:val="0"/>
                    <w:kinsoku/>
                    <w:overflowPunct/>
                    <w:bidi w:val="0"/>
                    <w:rPr>
                      <w:rFonts w:hint="default"/>
                    </w:rPr>
                  </w:pPr>
                  <w:r>
                    <w:rPr>
                      <w:rFonts w:hint="default"/>
                      <w:lang w:val="en-US" w:eastAsia="zh-CN"/>
                    </w:rPr>
                    <w:t>1.36375</w:t>
                  </w:r>
                </w:p>
              </w:tc>
            </w:tr>
            <w:tr w14:paraId="2921FB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08B7A9C0">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1E296967">
                  <w:pPr>
                    <w:pStyle w:val="15"/>
                    <w:keepNext w:val="0"/>
                    <w:pageBreakBefore w:val="0"/>
                    <w:kinsoku/>
                    <w:overflowPunct/>
                    <w:bidi w:val="0"/>
                    <w:rPr>
                      <w:rFonts w:hint="eastAsia"/>
                    </w:rPr>
                  </w:pPr>
                  <w:r>
                    <w:rPr>
                      <w:rFonts w:hint="eastAsia"/>
                      <w:lang w:val="en-US" w:eastAsia="zh-CN"/>
                    </w:rPr>
                    <w:t>二氧化硫</w:t>
                  </w:r>
                </w:p>
              </w:tc>
              <w:tc>
                <w:tcPr>
                  <w:tcW w:w="816" w:type="pct"/>
                  <w:tcBorders>
                    <w:tl2br w:val="nil"/>
                    <w:tr2bl w:val="nil"/>
                  </w:tcBorders>
                  <w:shd w:val="clear" w:color="auto" w:fill="auto"/>
                  <w:noWrap/>
                  <w:tcMar>
                    <w:top w:w="0" w:type="dxa"/>
                    <w:left w:w="0" w:type="dxa"/>
                    <w:bottom w:w="0" w:type="dxa"/>
                    <w:right w:w="0" w:type="dxa"/>
                  </w:tcMar>
                  <w:vAlign w:val="center"/>
                </w:tcPr>
                <w:p w14:paraId="216F7667">
                  <w:pPr>
                    <w:pStyle w:val="15"/>
                    <w:keepNext w:val="0"/>
                    <w:pageBreakBefore w:val="0"/>
                    <w:kinsoku/>
                    <w:overflowPunct/>
                    <w:bidi w:val="0"/>
                    <w:rPr>
                      <w:rFonts w:hint="default"/>
                    </w:rPr>
                  </w:pPr>
                  <w:r>
                    <w:rPr>
                      <w:rFonts w:hint="default"/>
                      <w:lang w:val="en-US" w:eastAsia="zh-CN"/>
                    </w:rPr>
                    <w:t>0.62</w:t>
                  </w:r>
                </w:p>
              </w:tc>
            </w:tr>
            <w:tr w14:paraId="3401B7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0721BA6C">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135009BE">
                  <w:pPr>
                    <w:pStyle w:val="15"/>
                    <w:keepNext w:val="0"/>
                    <w:pageBreakBefore w:val="0"/>
                    <w:kinsoku/>
                    <w:overflowPunct/>
                    <w:bidi w:val="0"/>
                    <w:rPr>
                      <w:rFonts w:hint="default"/>
                    </w:rPr>
                  </w:pPr>
                  <w:r>
                    <w:rPr>
                      <w:rFonts w:hint="default"/>
                      <w:lang w:val="en-US" w:eastAsia="zh-CN"/>
                    </w:rPr>
                    <w:t>NMHC</w:t>
                  </w:r>
                </w:p>
              </w:tc>
              <w:tc>
                <w:tcPr>
                  <w:tcW w:w="816" w:type="pct"/>
                  <w:tcBorders>
                    <w:tl2br w:val="nil"/>
                    <w:tr2bl w:val="nil"/>
                  </w:tcBorders>
                  <w:shd w:val="clear" w:color="auto" w:fill="auto"/>
                  <w:noWrap/>
                  <w:tcMar>
                    <w:top w:w="0" w:type="dxa"/>
                    <w:left w:w="0" w:type="dxa"/>
                    <w:bottom w:w="0" w:type="dxa"/>
                    <w:right w:w="0" w:type="dxa"/>
                  </w:tcMar>
                  <w:vAlign w:val="center"/>
                </w:tcPr>
                <w:p w14:paraId="7C763B30">
                  <w:pPr>
                    <w:pStyle w:val="15"/>
                    <w:keepNext w:val="0"/>
                    <w:pageBreakBefore w:val="0"/>
                    <w:kinsoku/>
                    <w:overflowPunct/>
                    <w:bidi w:val="0"/>
                    <w:rPr>
                      <w:rFonts w:hint="default"/>
                    </w:rPr>
                  </w:pPr>
                  <w:r>
                    <w:rPr>
                      <w:rFonts w:hint="default"/>
                      <w:lang w:val="en-US" w:eastAsia="zh-CN"/>
                    </w:rPr>
                    <w:t>0.5</w:t>
                  </w:r>
                </w:p>
              </w:tc>
            </w:tr>
            <w:tr w14:paraId="596B96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0CD80AF2">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42208DC8">
                  <w:pPr>
                    <w:pStyle w:val="15"/>
                    <w:keepNext w:val="0"/>
                    <w:pageBreakBefore w:val="0"/>
                    <w:kinsoku/>
                    <w:overflowPunct/>
                    <w:bidi w:val="0"/>
                    <w:rPr>
                      <w:rFonts w:hint="eastAsia"/>
                    </w:rPr>
                  </w:pPr>
                  <w:r>
                    <w:rPr>
                      <w:rFonts w:hint="eastAsia"/>
                      <w:lang w:val="en-US" w:eastAsia="zh-CN"/>
                    </w:rPr>
                    <w:t>HCl</w:t>
                  </w:r>
                </w:p>
              </w:tc>
              <w:tc>
                <w:tcPr>
                  <w:tcW w:w="816" w:type="pct"/>
                  <w:tcBorders>
                    <w:tl2br w:val="nil"/>
                    <w:tr2bl w:val="nil"/>
                  </w:tcBorders>
                  <w:shd w:val="clear" w:color="auto" w:fill="auto"/>
                  <w:noWrap/>
                  <w:tcMar>
                    <w:top w:w="0" w:type="dxa"/>
                    <w:left w:w="0" w:type="dxa"/>
                    <w:bottom w:w="0" w:type="dxa"/>
                    <w:right w:w="0" w:type="dxa"/>
                  </w:tcMar>
                  <w:vAlign w:val="center"/>
                </w:tcPr>
                <w:p w14:paraId="01E85572">
                  <w:pPr>
                    <w:pStyle w:val="15"/>
                    <w:keepNext w:val="0"/>
                    <w:pageBreakBefore w:val="0"/>
                    <w:kinsoku/>
                    <w:overflowPunct/>
                    <w:bidi w:val="0"/>
                    <w:rPr>
                      <w:rFonts w:hint="eastAsia"/>
                    </w:rPr>
                  </w:pPr>
                  <w:r>
                    <w:rPr>
                      <w:rFonts w:hint="eastAsia"/>
                      <w:lang w:val="en-US" w:eastAsia="zh-CN"/>
                    </w:rPr>
                    <w:t xml:space="preserve">0.09 </w:t>
                  </w:r>
                </w:p>
              </w:tc>
            </w:tr>
            <w:tr w14:paraId="1C5B0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73DC9DA8">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3ED7EF45">
                  <w:pPr>
                    <w:pStyle w:val="15"/>
                    <w:keepNext w:val="0"/>
                    <w:pageBreakBefore w:val="0"/>
                    <w:kinsoku/>
                    <w:overflowPunct/>
                    <w:bidi w:val="0"/>
                    <w:rPr>
                      <w:rFonts w:hint="eastAsia"/>
                    </w:rPr>
                  </w:pPr>
                  <w:r>
                    <w:rPr>
                      <w:rFonts w:hint="eastAsia"/>
                      <w:lang w:val="en-US" w:eastAsia="zh-CN"/>
                    </w:rPr>
                    <w:t>甲醇</w:t>
                  </w:r>
                </w:p>
              </w:tc>
              <w:tc>
                <w:tcPr>
                  <w:tcW w:w="816" w:type="pct"/>
                  <w:tcBorders>
                    <w:tl2br w:val="nil"/>
                    <w:tr2bl w:val="nil"/>
                  </w:tcBorders>
                  <w:shd w:val="clear" w:color="auto" w:fill="auto"/>
                  <w:noWrap/>
                  <w:tcMar>
                    <w:top w:w="0" w:type="dxa"/>
                    <w:left w:w="0" w:type="dxa"/>
                    <w:bottom w:w="0" w:type="dxa"/>
                    <w:right w:w="0" w:type="dxa"/>
                  </w:tcMar>
                  <w:vAlign w:val="center"/>
                </w:tcPr>
                <w:p w14:paraId="70EC4D59">
                  <w:pPr>
                    <w:pStyle w:val="15"/>
                    <w:keepNext w:val="0"/>
                    <w:pageBreakBefore w:val="0"/>
                    <w:kinsoku/>
                    <w:overflowPunct/>
                    <w:bidi w:val="0"/>
                    <w:rPr>
                      <w:rFonts w:hint="eastAsia"/>
                    </w:rPr>
                  </w:pPr>
                  <w:r>
                    <w:rPr>
                      <w:rFonts w:hint="eastAsia"/>
                      <w:lang w:val="en-US" w:eastAsia="zh-CN"/>
                    </w:rPr>
                    <w:t>0.115</w:t>
                  </w:r>
                </w:p>
              </w:tc>
            </w:tr>
            <w:tr w14:paraId="1BC62B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5082D9A5">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27962FBA">
                  <w:pPr>
                    <w:pStyle w:val="15"/>
                    <w:keepNext w:val="0"/>
                    <w:pageBreakBefore w:val="0"/>
                    <w:kinsoku/>
                    <w:overflowPunct/>
                    <w:bidi w:val="0"/>
                    <w:rPr>
                      <w:rFonts w:hint="eastAsia"/>
                    </w:rPr>
                  </w:pPr>
                  <w:r>
                    <w:rPr>
                      <w:rFonts w:hint="eastAsia"/>
                      <w:lang w:val="en-US" w:eastAsia="zh-CN"/>
                    </w:rPr>
                    <w:t>硫化氢</w:t>
                  </w:r>
                </w:p>
              </w:tc>
              <w:tc>
                <w:tcPr>
                  <w:tcW w:w="816" w:type="pct"/>
                  <w:tcBorders>
                    <w:tl2br w:val="nil"/>
                    <w:tr2bl w:val="nil"/>
                  </w:tcBorders>
                  <w:shd w:val="clear" w:color="auto" w:fill="auto"/>
                  <w:noWrap/>
                  <w:tcMar>
                    <w:top w:w="0" w:type="dxa"/>
                    <w:left w:w="0" w:type="dxa"/>
                    <w:bottom w:w="0" w:type="dxa"/>
                    <w:right w:w="0" w:type="dxa"/>
                  </w:tcMar>
                  <w:vAlign w:val="center"/>
                </w:tcPr>
                <w:p w14:paraId="2EDE8511">
                  <w:pPr>
                    <w:pStyle w:val="15"/>
                    <w:keepNext w:val="0"/>
                    <w:pageBreakBefore w:val="0"/>
                    <w:kinsoku/>
                    <w:overflowPunct/>
                    <w:bidi w:val="0"/>
                    <w:rPr>
                      <w:rFonts w:hint="eastAsia"/>
                    </w:rPr>
                  </w:pPr>
                  <w:r>
                    <w:rPr>
                      <w:rFonts w:hint="eastAsia"/>
                      <w:lang w:val="en-US" w:eastAsia="zh-CN"/>
                    </w:rPr>
                    <w:t>0.09</w:t>
                  </w:r>
                </w:p>
              </w:tc>
            </w:tr>
            <w:tr w14:paraId="44A2DB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5" w:type="pct"/>
                  <w:vMerge w:val="continue"/>
                  <w:tcBorders>
                    <w:tl2br w:val="nil"/>
                    <w:tr2bl w:val="nil"/>
                  </w:tcBorders>
                  <w:shd w:val="clear" w:color="auto" w:fill="auto"/>
                  <w:tcMar>
                    <w:top w:w="0" w:type="dxa"/>
                    <w:left w:w="0" w:type="dxa"/>
                    <w:bottom w:w="0" w:type="dxa"/>
                    <w:right w:w="0" w:type="dxa"/>
                  </w:tcMar>
                  <w:vAlign w:val="center"/>
                </w:tcPr>
                <w:p w14:paraId="768B0CCB">
                  <w:pPr>
                    <w:pStyle w:val="15"/>
                    <w:keepNext w:val="0"/>
                    <w:pageBreakBefore w:val="0"/>
                    <w:kinsoku/>
                    <w:overflowPunct/>
                    <w:bidi w:val="0"/>
                    <w:rPr>
                      <w:rFonts w:hint="eastAsia"/>
                    </w:rPr>
                  </w:pPr>
                </w:p>
              </w:tc>
              <w:tc>
                <w:tcPr>
                  <w:tcW w:w="2738" w:type="pct"/>
                  <w:gridSpan w:val="4"/>
                  <w:tcBorders>
                    <w:tl2br w:val="nil"/>
                    <w:tr2bl w:val="nil"/>
                  </w:tcBorders>
                  <w:shd w:val="clear" w:color="auto" w:fill="auto"/>
                  <w:noWrap/>
                  <w:tcMar>
                    <w:top w:w="0" w:type="dxa"/>
                    <w:left w:w="0" w:type="dxa"/>
                    <w:bottom w:w="0" w:type="dxa"/>
                    <w:right w:w="0" w:type="dxa"/>
                  </w:tcMar>
                  <w:vAlign w:val="center"/>
                </w:tcPr>
                <w:p w14:paraId="1B11404A">
                  <w:pPr>
                    <w:pStyle w:val="15"/>
                    <w:keepNext w:val="0"/>
                    <w:pageBreakBefore w:val="0"/>
                    <w:kinsoku/>
                    <w:overflowPunct/>
                    <w:bidi w:val="0"/>
                    <w:rPr>
                      <w:rFonts w:hint="eastAsia"/>
                    </w:rPr>
                  </w:pPr>
                  <w:r>
                    <w:rPr>
                      <w:rFonts w:hint="eastAsia"/>
                      <w:lang w:val="en-US" w:eastAsia="zh-CN"/>
                    </w:rPr>
                    <w:t>氨</w:t>
                  </w:r>
                </w:p>
              </w:tc>
              <w:tc>
                <w:tcPr>
                  <w:tcW w:w="816" w:type="pct"/>
                  <w:tcBorders>
                    <w:tl2br w:val="nil"/>
                    <w:tr2bl w:val="nil"/>
                  </w:tcBorders>
                  <w:shd w:val="clear" w:color="auto" w:fill="auto"/>
                  <w:noWrap/>
                  <w:tcMar>
                    <w:top w:w="0" w:type="dxa"/>
                    <w:left w:w="0" w:type="dxa"/>
                    <w:bottom w:w="0" w:type="dxa"/>
                    <w:right w:w="0" w:type="dxa"/>
                  </w:tcMar>
                  <w:vAlign w:val="center"/>
                </w:tcPr>
                <w:p w14:paraId="6AC43EB8">
                  <w:pPr>
                    <w:pStyle w:val="15"/>
                    <w:keepNext w:val="0"/>
                    <w:pageBreakBefore w:val="0"/>
                    <w:kinsoku/>
                    <w:overflowPunct/>
                    <w:bidi w:val="0"/>
                    <w:rPr>
                      <w:rFonts w:hint="eastAsia"/>
                    </w:rPr>
                  </w:pPr>
                  <w:r>
                    <w:rPr>
                      <w:rFonts w:hint="eastAsia"/>
                      <w:lang w:val="en-US" w:eastAsia="zh-CN"/>
                    </w:rPr>
                    <w:t>0.0925</w:t>
                  </w:r>
                </w:p>
              </w:tc>
            </w:tr>
            <w:tr w14:paraId="74564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00" w:type="pct"/>
                  <w:gridSpan w:val="6"/>
                  <w:tcBorders>
                    <w:tl2br w:val="nil"/>
                    <w:tr2bl w:val="nil"/>
                  </w:tcBorders>
                  <w:shd w:val="clear" w:color="auto" w:fill="auto"/>
                  <w:noWrap/>
                  <w:tcMar>
                    <w:top w:w="0" w:type="dxa"/>
                    <w:left w:w="0" w:type="dxa"/>
                    <w:bottom w:w="0" w:type="dxa"/>
                    <w:right w:w="0" w:type="dxa"/>
                  </w:tcMar>
                  <w:vAlign w:val="center"/>
                </w:tcPr>
                <w:p w14:paraId="4B7EB5C2">
                  <w:pPr>
                    <w:pStyle w:val="15"/>
                    <w:keepNext w:val="0"/>
                    <w:pageBreakBefore w:val="0"/>
                    <w:kinsoku/>
                    <w:overflowPunct/>
                    <w:bidi w:val="0"/>
                    <w:rPr>
                      <w:rFonts w:hint="eastAsia"/>
                    </w:rPr>
                  </w:pPr>
                  <w:r>
                    <w:rPr>
                      <w:rFonts w:hint="eastAsia"/>
                      <w:lang w:val="en-US" w:eastAsia="zh-CN"/>
                    </w:rPr>
                    <w:t>注：数据保留小数点后</w:t>
                  </w:r>
                  <w:r>
                    <w:rPr>
                      <w:rFonts w:hint="default"/>
                      <w:lang w:val="en-US" w:eastAsia="zh-CN"/>
                    </w:rPr>
                    <w:t>2</w:t>
                  </w:r>
                  <w:r>
                    <w:rPr>
                      <w:rFonts w:hint="eastAsia"/>
                      <w:lang w:val="en-US" w:eastAsia="zh-CN"/>
                    </w:rPr>
                    <w:t>位有效数字</w:t>
                  </w:r>
                </w:p>
              </w:tc>
            </w:tr>
          </w:tbl>
          <w:p w14:paraId="2BFF9061">
            <w:pPr>
              <w:keepNext w:val="0"/>
              <w:pageBreakBefore w:val="0"/>
              <w:kinsoku/>
              <w:overflowPunct/>
              <w:bidi w:val="0"/>
              <w:rPr>
                <w:rFonts w:hint="default"/>
                <w:lang w:val="en-US" w:eastAsia="zh-CN"/>
              </w:rPr>
            </w:pPr>
          </w:p>
        </w:tc>
      </w:tr>
      <w:tr w14:paraId="73B3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45" w:type="dxa"/>
            <w:vAlign w:val="center"/>
          </w:tcPr>
          <w:p w14:paraId="2260A70F">
            <w:pPr>
              <w:pStyle w:val="3"/>
              <w:keepNext w:val="0"/>
              <w:pageBreakBefore w:val="0"/>
              <w:kinsoku/>
              <w:overflowPunct/>
              <w:bidi w:val="0"/>
              <w:jc w:val="center"/>
              <w:rPr>
                <w:rFonts w:hint="eastAsia"/>
              </w:rPr>
            </w:pPr>
            <w:r>
              <w:rPr>
                <w:rFonts w:hint="eastAsia"/>
              </w:rPr>
              <w:t>与项目有关的原有环境污染问题</w:t>
            </w:r>
          </w:p>
        </w:tc>
        <w:tc>
          <w:tcPr>
            <w:tcW w:w="7932" w:type="dxa"/>
            <w:vAlign w:val="top"/>
          </w:tcPr>
          <w:p w14:paraId="3C8FC9B9">
            <w:pPr>
              <w:pStyle w:val="3"/>
              <w:keepNext w:val="0"/>
              <w:pageBreakBefore w:val="0"/>
              <w:kinsoku/>
              <w:overflowPunct/>
              <w:bidi w:val="0"/>
              <w:rPr>
                <w:rFonts w:hint="eastAsia"/>
                <w:lang w:val="en-US" w:eastAsia="zh-CN"/>
              </w:rPr>
            </w:pPr>
            <w:r>
              <w:rPr>
                <w:rFonts w:hint="eastAsia"/>
                <w:lang w:val="en-US" w:eastAsia="zh-CN"/>
              </w:rPr>
              <w:t>1.与本项目有关的主要环境问题</w:t>
            </w:r>
          </w:p>
          <w:p w14:paraId="6E71F041">
            <w:pPr>
              <w:keepNext w:val="0"/>
              <w:pageBreakBefore w:val="0"/>
              <w:kinsoku/>
              <w:overflowPunct/>
              <w:bidi w:val="0"/>
              <w:rPr>
                <w:rFonts w:hint="eastAsia"/>
                <w:lang w:val="en-US" w:eastAsia="zh-CN"/>
              </w:rPr>
            </w:pPr>
            <w:r>
              <w:rPr>
                <w:rFonts w:hint="eastAsia"/>
                <w:lang w:val="en-US" w:eastAsia="zh-CN"/>
              </w:rPr>
              <w:t>现有工程酸碱罐区内2座200m</w:t>
            </w:r>
            <w:r>
              <w:rPr>
                <w:rFonts w:hint="eastAsia"/>
                <w:vertAlign w:val="superscript"/>
                <w:lang w:val="en-US" w:eastAsia="zh-CN"/>
              </w:rPr>
              <w:t>3</w:t>
            </w:r>
            <w:r>
              <w:rPr>
                <w:rFonts w:hint="eastAsia"/>
                <w:lang w:val="en-US" w:eastAsia="zh-CN"/>
              </w:rPr>
              <w:t>立式固定顶玻璃钢31%盐酸储罐、1台400m³固定顶液碱储罐。酸碱罐区设置长50m、宽32m、高1m的围堰，罐区地面已采取防渗处理，但部分地面存在破损。</w:t>
            </w:r>
          </w:p>
          <w:p w14:paraId="207FD06C">
            <w:pPr>
              <w:pStyle w:val="3"/>
              <w:keepNext w:val="0"/>
              <w:pageBreakBefore w:val="0"/>
              <w:kinsoku/>
              <w:overflowPunct/>
              <w:bidi w:val="0"/>
              <w:rPr>
                <w:rFonts w:hint="eastAsia"/>
                <w:lang w:val="en-US" w:eastAsia="zh-CN"/>
              </w:rPr>
            </w:pPr>
            <w:r>
              <w:rPr>
                <w:rFonts w:hint="eastAsia"/>
                <w:lang w:val="en-US" w:eastAsia="zh-CN"/>
              </w:rPr>
              <w:t>2.整改措施</w:t>
            </w:r>
          </w:p>
          <w:p w14:paraId="79C735DD">
            <w:pPr>
              <w:keepNext w:val="0"/>
              <w:pageBreakBefore w:val="0"/>
              <w:kinsoku/>
              <w:overflowPunct/>
              <w:bidi w:val="0"/>
              <w:rPr>
                <w:rFonts w:hint="default"/>
                <w:lang w:val="en-US" w:eastAsia="zh-CN"/>
              </w:rPr>
            </w:pPr>
            <w:r>
              <w:rPr>
                <w:rFonts w:hint="eastAsia"/>
                <w:lang w:val="en-US" w:eastAsia="zh-CN"/>
              </w:rPr>
              <w:t>对现有酸碱罐区防渗措施进行修缮。</w:t>
            </w:r>
          </w:p>
        </w:tc>
      </w:tr>
    </w:tbl>
    <w:p w14:paraId="059171C5">
      <w:pPr>
        <w:pStyle w:val="2"/>
        <w:bidi w:val="0"/>
      </w:pPr>
      <w:r>
        <w:t>三、区域环境质量现状、环境保护目标及评价标准</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6A842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86" w:hRule="atLeast"/>
          <w:jc w:val="center"/>
        </w:trPr>
        <w:tc>
          <w:tcPr>
            <w:tcW w:w="800" w:type="dxa"/>
            <w:vAlign w:val="center"/>
          </w:tcPr>
          <w:p w14:paraId="76D44743">
            <w:pPr>
              <w:pStyle w:val="3"/>
              <w:bidi w:val="0"/>
              <w:jc w:val="center"/>
            </w:pPr>
            <w:r>
              <w:t>区域</w:t>
            </w:r>
          </w:p>
          <w:p w14:paraId="5EBACB00">
            <w:pPr>
              <w:pStyle w:val="3"/>
              <w:bidi w:val="0"/>
              <w:jc w:val="center"/>
            </w:pPr>
            <w:r>
              <w:t>环境</w:t>
            </w:r>
          </w:p>
          <w:p w14:paraId="0E6B704C">
            <w:pPr>
              <w:pStyle w:val="3"/>
              <w:bidi w:val="0"/>
              <w:jc w:val="center"/>
            </w:pPr>
            <w:r>
              <w:t>质量</w:t>
            </w:r>
          </w:p>
          <w:p w14:paraId="221746A9">
            <w:pPr>
              <w:pStyle w:val="3"/>
              <w:bidi w:val="0"/>
              <w:jc w:val="center"/>
            </w:pPr>
            <w:r>
              <w:t>现状</w:t>
            </w:r>
          </w:p>
        </w:tc>
        <w:tc>
          <w:tcPr>
            <w:tcW w:w="8190" w:type="dxa"/>
            <w:vAlign w:val="center"/>
          </w:tcPr>
          <w:p w14:paraId="614CEFEC">
            <w:pPr>
              <w:pStyle w:val="3"/>
              <w:bidi w:val="0"/>
              <w:rPr>
                <w:rFonts w:hint="eastAsia"/>
                <w:lang w:val="en-US" w:eastAsia="zh-CN"/>
              </w:rPr>
            </w:pPr>
            <w:r>
              <w:t>1</w:t>
            </w:r>
            <w:r>
              <w:rPr>
                <w:rFonts w:hint="eastAsia"/>
                <w:lang w:val="en-US" w:eastAsia="zh-CN"/>
              </w:rPr>
              <w:t>.环境空气质量现状调查与评价</w:t>
            </w:r>
          </w:p>
          <w:p w14:paraId="54A1E7CB">
            <w:pPr>
              <w:pStyle w:val="4"/>
              <w:bidi w:val="0"/>
              <w:rPr>
                <w:rFonts w:hint="eastAsia"/>
              </w:rPr>
            </w:pPr>
            <w:r>
              <w:rPr>
                <w:rFonts w:hint="eastAsia"/>
                <w:lang w:val="en-US" w:eastAsia="zh-CN"/>
              </w:rPr>
              <w:t>1.1</w:t>
            </w:r>
            <w:r>
              <w:rPr>
                <w:rFonts w:hint="eastAsia"/>
              </w:rPr>
              <w:t>环境空气质量现状基本污染物评价</w:t>
            </w:r>
          </w:p>
          <w:p w14:paraId="519329CD">
            <w:pPr>
              <w:rPr>
                <w:rFonts w:hint="default"/>
                <w:color w:val="auto"/>
                <w:lang w:val="en-US" w:eastAsia="zh-CN"/>
              </w:rPr>
            </w:pPr>
            <w:r>
              <w:rPr>
                <w:rFonts w:hint="eastAsia"/>
                <w:color w:val="auto"/>
                <w:lang w:val="en-US" w:eastAsia="zh-CN"/>
              </w:rPr>
              <w:t>（1）数据来源</w:t>
            </w:r>
          </w:p>
          <w:p w14:paraId="6A3F3B27">
            <w:pPr>
              <w:rPr>
                <w:rFonts w:hint="eastAsia"/>
                <w:color w:val="auto"/>
                <w:lang w:val="en-US" w:eastAsia="zh-CN"/>
              </w:rPr>
            </w:pPr>
            <w:r>
              <w:rPr>
                <w:rFonts w:hint="eastAsia"/>
                <w:color w:val="auto"/>
                <w:lang w:val="en-US" w:eastAsia="zh-CN"/>
              </w:rPr>
              <w:t>根据《环境影响评价技术导则 大气环境》（HJ 2.2-2018）中“项目所在区域达标判定，优先采用国家或地方生态环境主管部门公开发布的评价基准年环境质量公告或环境质量报告中的数据或结论”“评价范围内没有环境空气质量监测网络数据或公开发布的环境空气质量现状监测数据的，可选择符合HJ 664规定，并且与评价范围地理位置临近，地形、气候条件相近的环境空气质量城市点或区域点监测数据”的规定，本次评价选用距离项目最近的环境空气质量监测点（克拉玛依市独山子区站点）。本次评价选取距离项目最近的克拉玛依市独山子区监测站点2024年的监测数据作为环境空气现状评价。</w:t>
            </w:r>
          </w:p>
          <w:p w14:paraId="148AF4E0">
            <w:pPr>
              <w:rPr>
                <w:rFonts w:hint="default"/>
                <w:color w:val="auto"/>
                <w:lang w:val="en-US" w:eastAsia="zh-CN"/>
              </w:rPr>
            </w:pPr>
            <w:r>
              <w:rPr>
                <w:rFonts w:hint="eastAsia"/>
                <w:color w:val="auto"/>
                <w:lang w:val="en-US" w:eastAsia="zh-CN"/>
              </w:rPr>
              <w:t>（2）评价标准</w:t>
            </w:r>
          </w:p>
          <w:p w14:paraId="2BE091FB">
            <w:pPr>
              <w:rPr>
                <w:rFonts w:hint="eastAsia"/>
                <w:color w:val="auto"/>
                <w:lang w:val="en-US" w:eastAsia="zh-CN"/>
              </w:rPr>
            </w:pPr>
            <w:r>
              <w:rPr>
                <w:rFonts w:hint="eastAsia" w:cs="Times New Roman"/>
                <w:color w:val="auto"/>
                <w:highlight w:val="none"/>
                <w:lang w:val="zh-CN"/>
              </w:rPr>
              <w:t>根据《环境空气质量标准》（GB</w:t>
            </w:r>
            <w:r>
              <w:rPr>
                <w:rFonts w:hint="eastAsia" w:cs="Times New Roman"/>
                <w:color w:val="auto"/>
                <w:highlight w:val="none"/>
                <w:lang w:val="en-US" w:eastAsia="zh-CN"/>
              </w:rPr>
              <w:t xml:space="preserve"> </w:t>
            </w:r>
            <w:r>
              <w:rPr>
                <w:rFonts w:hint="eastAsia" w:cs="Times New Roman"/>
                <w:color w:val="auto"/>
                <w:highlight w:val="none"/>
                <w:lang w:val="zh-CN"/>
              </w:rPr>
              <w:t>3095-20</w:t>
            </w:r>
            <w:r>
              <w:rPr>
                <w:rFonts w:hint="eastAsia" w:cs="Times New Roman"/>
                <w:color w:val="auto"/>
                <w:highlight w:val="none"/>
                <w:lang w:val="en-US" w:eastAsia="zh-CN"/>
              </w:rPr>
              <w:t>26</w:t>
            </w:r>
            <w:r>
              <w:rPr>
                <w:rFonts w:hint="eastAsia" w:cs="Times New Roman"/>
                <w:color w:val="auto"/>
                <w:highlight w:val="none"/>
                <w:lang w:val="zh-CN"/>
              </w:rPr>
              <w:t>），项目属于空气环境二类区，基本污染物SO</w:t>
            </w:r>
            <w:r>
              <w:rPr>
                <w:rFonts w:hint="eastAsia" w:cs="Times New Roman"/>
                <w:color w:val="auto"/>
                <w:highlight w:val="none"/>
                <w:vertAlign w:val="subscript"/>
                <w:lang w:val="zh-CN"/>
              </w:rPr>
              <w:t>2</w:t>
            </w:r>
            <w:r>
              <w:rPr>
                <w:rFonts w:hint="eastAsia" w:cs="Times New Roman"/>
                <w:color w:val="auto"/>
                <w:highlight w:val="none"/>
                <w:lang w:val="zh-CN"/>
              </w:rPr>
              <w:t>、NO</w:t>
            </w:r>
            <w:r>
              <w:rPr>
                <w:rFonts w:hint="eastAsia" w:cs="Times New Roman"/>
                <w:color w:val="auto"/>
                <w:highlight w:val="none"/>
                <w:vertAlign w:val="subscript"/>
                <w:lang w:val="zh-CN"/>
              </w:rPr>
              <w:t>2</w:t>
            </w:r>
            <w:r>
              <w:rPr>
                <w:rFonts w:hint="eastAsia" w:cs="Times New Roman"/>
                <w:color w:val="auto"/>
                <w:highlight w:val="none"/>
                <w:lang w:val="zh-CN"/>
              </w:rPr>
              <w:t>、PM</w:t>
            </w:r>
            <w:r>
              <w:rPr>
                <w:rFonts w:hint="eastAsia" w:cs="Times New Roman"/>
                <w:color w:val="auto"/>
                <w:highlight w:val="none"/>
                <w:vertAlign w:val="subscript"/>
                <w:lang w:val="zh-CN"/>
              </w:rPr>
              <w:t>10</w:t>
            </w:r>
            <w:r>
              <w:rPr>
                <w:rFonts w:hint="eastAsia" w:cs="Times New Roman"/>
                <w:color w:val="auto"/>
                <w:highlight w:val="none"/>
                <w:lang w:val="zh-CN"/>
              </w:rPr>
              <w:t>、</w:t>
            </w:r>
            <w:r>
              <w:rPr>
                <w:rFonts w:hint="eastAsia" w:cs="Times New Roman"/>
                <w:color w:val="auto"/>
                <w:highlight w:val="none"/>
                <w:lang w:val="en-US" w:eastAsia="zh-CN"/>
              </w:rPr>
              <w:t>PM</w:t>
            </w:r>
            <w:r>
              <w:rPr>
                <w:rFonts w:hint="eastAsia" w:cs="Times New Roman"/>
                <w:color w:val="auto"/>
                <w:highlight w:val="none"/>
                <w:vertAlign w:val="subscript"/>
                <w:lang w:val="en-US" w:eastAsia="zh-CN"/>
              </w:rPr>
              <w:t>2.5</w:t>
            </w:r>
            <w:r>
              <w:rPr>
                <w:rFonts w:hint="eastAsia" w:cs="Times New Roman"/>
                <w:color w:val="auto"/>
                <w:highlight w:val="none"/>
                <w:lang w:val="zh-CN"/>
              </w:rPr>
              <w:t>、CO和O</w:t>
            </w:r>
            <w:r>
              <w:rPr>
                <w:rFonts w:hint="eastAsia" w:cs="Times New Roman"/>
                <w:color w:val="auto"/>
                <w:highlight w:val="none"/>
                <w:vertAlign w:val="subscript"/>
                <w:lang w:val="zh-CN"/>
              </w:rPr>
              <w:t>3</w:t>
            </w:r>
            <w:r>
              <w:rPr>
                <w:rFonts w:hint="eastAsia" w:cs="Times New Roman"/>
                <w:color w:val="auto"/>
                <w:highlight w:val="none"/>
                <w:lang w:val="zh-CN"/>
              </w:rPr>
              <w:t>执行</w:t>
            </w:r>
            <w:r>
              <w:rPr>
                <w:rFonts w:hint="eastAsia"/>
                <w:color w:val="auto"/>
                <w:lang w:val="en-US" w:eastAsia="zh-CN"/>
              </w:rPr>
              <w:t>中表1过渡阶段浓度限值二级标准</w:t>
            </w:r>
            <w:r>
              <w:rPr>
                <w:rFonts w:hint="eastAsia" w:cs="Times New Roman"/>
                <w:color w:val="auto"/>
                <w:highlight w:val="none"/>
                <w:lang w:val="zh-CN"/>
              </w:rPr>
              <w:t>。</w:t>
            </w:r>
          </w:p>
          <w:p w14:paraId="35367728">
            <w:pPr>
              <w:rPr>
                <w:rFonts w:hint="default"/>
                <w:color w:val="auto"/>
                <w:lang w:val="en-US" w:eastAsia="zh-CN"/>
              </w:rPr>
            </w:pPr>
            <w:r>
              <w:rPr>
                <w:rFonts w:hint="eastAsia"/>
                <w:color w:val="auto"/>
                <w:lang w:val="en-US" w:eastAsia="zh-CN"/>
              </w:rPr>
              <w:t>（3）评价方法</w:t>
            </w:r>
          </w:p>
          <w:p w14:paraId="0B3A54A5">
            <w:pPr>
              <w:rPr>
                <w:rFonts w:hint="eastAsia"/>
                <w:color w:val="auto"/>
                <w:lang w:val="en-US" w:eastAsia="zh-CN"/>
              </w:rPr>
            </w:pPr>
            <w:r>
              <w:rPr>
                <w:rFonts w:hint="eastAsia"/>
                <w:color w:val="auto"/>
                <w:lang w:val="en-US" w:eastAsia="zh-CN"/>
              </w:rPr>
              <w:t>按照《环境空气质量评价技术规范》（HJ 663-2026）中各评价项目的年评价指标进行判定。年评价指标中的年均浓度和相应百分位数24h平均或8h平均质量浓度满足GB 3095中浓度限值要求的，即为达标。对于超标的污染物，计算其超标倍数和超标率。</w:t>
            </w:r>
          </w:p>
          <w:p w14:paraId="6C777D50">
            <w:pPr>
              <w:rPr>
                <w:rFonts w:hint="eastAsia"/>
                <w:color w:val="auto"/>
                <w:lang w:val="en-US" w:eastAsia="zh-CN"/>
              </w:rPr>
            </w:pPr>
            <w:r>
              <w:rPr>
                <w:rFonts w:hint="eastAsia"/>
                <w:color w:val="auto"/>
                <w:lang w:val="en-US" w:eastAsia="zh-CN"/>
              </w:rPr>
              <w:t>（4）项目所在区域达标区判定</w:t>
            </w:r>
          </w:p>
          <w:p w14:paraId="0014AEE7">
            <w:pPr>
              <w:rPr>
                <w:rFonts w:hint="eastAsia"/>
                <w:color w:val="auto"/>
                <w:lang w:val="en-US" w:eastAsia="zh-CN"/>
              </w:rPr>
            </w:pPr>
            <w:r>
              <w:rPr>
                <w:rFonts w:hint="eastAsia"/>
                <w:color w:val="auto"/>
                <w:lang w:val="en-US" w:eastAsia="zh-CN"/>
              </w:rPr>
              <w:t>基本污染物环境空气质量现状评价统计结果见下表13。</w:t>
            </w:r>
          </w:p>
          <w:p w14:paraId="4E9F74B3">
            <w:pPr>
              <w:pStyle w:val="16"/>
              <w:bidi w:val="0"/>
              <w:rPr>
                <w:rFonts w:hint="default"/>
                <w:lang w:val="en-US" w:eastAsia="zh-CN"/>
              </w:rPr>
            </w:pPr>
            <w:r>
              <w:t xml:space="preserve">表 </w:t>
            </w:r>
            <w:r>
              <w:fldChar w:fldCharType="begin"/>
            </w:r>
            <w:r>
              <w:instrText xml:space="preserve"> SEQ 表 \* ARABIC </w:instrText>
            </w:r>
            <w:r>
              <w:fldChar w:fldCharType="separate"/>
            </w:r>
            <w:r>
              <w:t>13</w:t>
            </w:r>
            <w:r>
              <w:fldChar w:fldCharType="end"/>
            </w:r>
            <w:r>
              <w:rPr>
                <w:rFonts w:hint="eastAsia"/>
                <w:lang w:val="en-US" w:eastAsia="zh-CN"/>
              </w:rPr>
              <w:t xml:space="preserve">  区域空气质量现状评价结果一览表</w:t>
            </w: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69"/>
              <w:gridCol w:w="2617"/>
              <w:gridCol w:w="1233"/>
              <w:gridCol w:w="1233"/>
              <w:gridCol w:w="919"/>
              <w:gridCol w:w="970"/>
            </w:tblGrid>
            <w:tr w14:paraId="0EC14F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trPr>
              <w:tc>
                <w:tcPr>
                  <w:tcW w:w="610" w:type="pct"/>
                  <w:tcBorders>
                    <w:tl2br w:val="nil"/>
                    <w:tr2bl w:val="nil"/>
                  </w:tcBorders>
                  <w:tcMar>
                    <w:top w:w="0" w:type="dxa"/>
                    <w:left w:w="0" w:type="dxa"/>
                    <w:bottom w:w="0" w:type="dxa"/>
                    <w:right w:w="0" w:type="dxa"/>
                  </w:tcMar>
                  <w:vAlign w:val="center"/>
                </w:tcPr>
                <w:p w14:paraId="161C34F7">
                  <w:pPr>
                    <w:pStyle w:val="15"/>
                    <w:bidi w:val="0"/>
                  </w:pPr>
                  <w:r>
                    <w:t>评价因子</w:t>
                  </w:r>
                </w:p>
              </w:tc>
              <w:tc>
                <w:tcPr>
                  <w:tcW w:w="1647" w:type="pct"/>
                  <w:tcBorders>
                    <w:tl2br w:val="nil"/>
                    <w:tr2bl w:val="nil"/>
                  </w:tcBorders>
                  <w:tcMar>
                    <w:top w:w="0" w:type="dxa"/>
                    <w:left w:w="0" w:type="dxa"/>
                    <w:bottom w:w="0" w:type="dxa"/>
                    <w:right w:w="0" w:type="dxa"/>
                  </w:tcMar>
                  <w:vAlign w:val="center"/>
                </w:tcPr>
                <w:p w14:paraId="51D7D8D6">
                  <w:pPr>
                    <w:pStyle w:val="15"/>
                    <w:bidi w:val="0"/>
                  </w:pPr>
                  <w:r>
                    <w:t>年评价指标</w:t>
                  </w:r>
                </w:p>
              </w:tc>
              <w:tc>
                <w:tcPr>
                  <w:tcW w:w="776" w:type="pct"/>
                  <w:tcBorders>
                    <w:tl2br w:val="nil"/>
                    <w:tr2bl w:val="nil"/>
                  </w:tcBorders>
                  <w:tcMar>
                    <w:top w:w="0" w:type="dxa"/>
                    <w:left w:w="0" w:type="dxa"/>
                    <w:bottom w:w="0" w:type="dxa"/>
                    <w:right w:w="0" w:type="dxa"/>
                  </w:tcMar>
                  <w:vAlign w:val="center"/>
                </w:tcPr>
                <w:p w14:paraId="2A054472">
                  <w:pPr>
                    <w:pStyle w:val="15"/>
                    <w:bidi w:val="0"/>
                  </w:pPr>
                  <w:r>
                    <w:t>现状浓度</w:t>
                  </w:r>
                </w:p>
                <w:p w14:paraId="42F80DA2">
                  <w:pPr>
                    <w:pStyle w:val="15"/>
                    <w:bidi w:val="0"/>
                  </w:pPr>
                  <w:r>
                    <w:t>μg/m</w:t>
                  </w:r>
                  <w:r>
                    <w:rPr>
                      <w:vertAlign w:val="superscript"/>
                    </w:rPr>
                    <w:t>3</w:t>
                  </w:r>
                </w:p>
              </w:tc>
              <w:tc>
                <w:tcPr>
                  <w:tcW w:w="776" w:type="pct"/>
                  <w:tcBorders>
                    <w:tl2br w:val="nil"/>
                    <w:tr2bl w:val="nil"/>
                  </w:tcBorders>
                  <w:tcMar>
                    <w:top w:w="0" w:type="dxa"/>
                    <w:left w:w="0" w:type="dxa"/>
                    <w:bottom w:w="0" w:type="dxa"/>
                    <w:right w:w="0" w:type="dxa"/>
                  </w:tcMar>
                  <w:vAlign w:val="center"/>
                </w:tcPr>
                <w:p w14:paraId="26F1CAB2">
                  <w:pPr>
                    <w:pStyle w:val="15"/>
                    <w:bidi w:val="0"/>
                  </w:pPr>
                  <w:r>
                    <w:t>评价标准</w:t>
                  </w:r>
                </w:p>
                <w:p w14:paraId="677A1C3F">
                  <w:pPr>
                    <w:pStyle w:val="15"/>
                    <w:bidi w:val="0"/>
                  </w:pPr>
                  <w:r>
                    <w:t>μg/m</w:t>
                  </w:r>
                  <w:r>
                    <w:rPr>
                      <w:vertAlign w:val="superscript"/>
                    </w:rPr>
                    <w:t>3</w:t>
                  </w:r>
                </w:p>
              </w:tc>
              <w:tc>
                <w:tcPr>
                  <w:tcW w:w="578" w:type="pct"/>
                  <w:tcBorders>
                    <w:tl2br w:val="nil"/>
                    <w:tr2bl w:val="nil"/>
                  </w:tcBorders>
                  <w:tcMar>
                    <w:top w:w="0" w:type="dxa"/>
                    <w:left w:w="0" w:type="dxa"/>
                    <w:bottom w:w="0" w:type="dxa"/>
                    <w:right w:w="0" w:type="dxa"/>
                  </w:tcMar>
                  <w:vAlign w:val="center"/>
                </w:tcPr>
                <w:p w14:paraId="30822116">
                  <w:pPr>
                    <w:pStyle w:val="15"/>
                    <w:bidi w:val="0"/>
                  </w:pPr>
                  <w:r>
                    <w:t>占标率%</w:t>
                  </w:r>
                </w:p>
              </w:tc>
              <w:tc>
                <w:tcPr>
                  <w:tcW w:w="610" w:type="pct"/>
                  <w:tcBorders>
                    <w:tl2br w:val="nil"/>
                    <w:tr2bl w:val="nil"/>
                  </w:tcBorders>
                  <w:tcMar>
                    <w:top w:w="0" w:type="dxa"/>
                    <w:left w:w="0" w:type="dxa"/>
                    <w:bottom w:w="0" w:type="dxa"/>
                    <w:right w:w="0" w:type="dxa"/>
                  </w:tcMar>
                  <w:vAlign w:val="center"/>
                </w:tcPr>
                <w:p w14:paraId="4309B397">
                  <w:pPr>
                    <w:pStyle w:val="15"/>
                    <w:bidi w:val="0"/>
                  </w:pPr>
                  <w:r>
                    <w:t>达标情况</w:t>
                  </w:r>
                </w:p>
              </w:tc>
            </w:tr>
            <w:tr w14:paraId="14261F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0" w:type="pct"/>
                  <w:tcBorders>
                    <w:tl2br w:val="nil"/>
                    <w:tr2bl w:val="nil"/>
                  </w:tcBorders>
                  <w:tcMar>
                    <w:top w:w="0" w:type="dxa"/>
                    <w:left w:w="0" w:type="dxa"/>
                    <w:bottom w:w="0" w:type="dxa"/>
                    <w:right w:w="0" w:type="dxa"/>
                  </w:tcMar>
                  <w:vAlign w:val="center"/>
                </w:tcPr>
                <w:p w14:paraId="2B16AD6F">
                  <w:pPr>
                    <w:pStyle w:val="15"/>
                    <w:bidi w:val="0"/>
                  </w:pPr>
                  <w:r>
                    <w:t>SO</w:t>
                  </w:r>
                  <w:r>
                    <w:rPr>
                      <w:vertAlign w:val="subscript"/>
                    </w:rPr>
                    <w:t>2</w:t>
                  </w:r>
                </w:p>
              </w:tc>
              <w:tc>
                <w:tcPr>
                  <w:tcW w:w="1647" w:type="pct"/>
                  <w:tcBorders>
                    <w:tl2br w:val="nil"/>
                    <w:tr2bl w:val="nil"/>
                  </w:tcBorders>
                  <w:tcMar>
                    <w:top w:w="0" w:type="dxa"/>
                    <w:left w:w="0" w:type="dxa"/>
                    <w:bottom w:w="0" w:type="dxa"/>
                    <w:right w:w="0" w:type="dxa"/>
                  </w:tcMar>
                  <w:vAlign w:val="center"/>
                </w:tcPr>
                <w:p w14:paraId="06CFCD4B">
                  <w:pPr>
                    <w:pStyle w:val="15"/>
                    <w:bidi w:val="0"/>
                  </w:pPr>
                  <w:r>
                    <w:t>年平均</w:t>
                  </w:r>
                </w:p>
              </w:tc>
              <w:tc>
                <w:tcPr>
                  <w:tcW w:w="776" w:type="pct"/>
                  <w:tcBorders>
                    <w:tl2br w:val="nil"/>
                    <w:tr2bl w:val="nil"/>
                  </w:tcBorders>
                  <w:tcMar>
                    <w:top w:w="0" w:type="dxa"/>
                    <w:left w:w="0" w:type="dxa"/>
                    <w:bottom w:w="0" w:type="dxa"/>
                    <w:right w:w="0" w:type="dxa"/>
                  </w:tcMar>
                  <w:vAlign w:val="center"/>
                </w:tcPr>
                <w:p w14:paraId="2C1AE42D">
                  <w:pPr>
                    <w:pStyle w:val="15"/>
                    <w:bidi w:val="0"/>
                  </w:pPr>
                  <w:r>
                    <w:t>7</w:t>
                  </w:r>
                </w:p>
              </w:tc>
              <w:tc>
                <w:tcPr>
                  <w:tcW w:w="776" w:type="pct"/>
                  <w:tcBorders>
                    <w:tl2br w:val="nil"/>
                    <w:tr2bl w:val="nil"/>
                  </w:tcBorders>
                  <w:tcMar>
                    <w:top w:w="0" w:type="dxa"/>
                    <w:left w:w="0" w:type="dxa"/>
                    <w:bottom w:w="0" w:type="dxa"/>
                    <w:right w:w="0" w:type="dxa"/>
                  </w:tcMar>
                  <w:vAlign w:val="center"/>
                </w:tcPr>
                <w:p w14:paraId="63641F6C">
                  <w:pPr>
                    <w:pStyle w:val="15"/>
                    <w:bidi w:val="0"/>
                  </w:pPr>
                  <w:r>
                    <w:t>60</w:t>
                  </w:r>
                </w:p>
              </w:tc>
              <w:tc>
                <w:tcPr>
                  <w:tcW w:w="578" w:type="pct"/>
                  <w:tcBorders>
                    <w:tl2br w:val="nil"/>
                    <w:tr2bl w:val="nil"/>
                  </w:tcBorders>
                  <w:tcMar>
                    <w:top w:w="0" w:type="dxa"/>
                    <w:left w:w="0" w:type="dxa"/>
                    <w:bottom w:w="0" w:type="dxa"/>
                    <w:right w:w="0" w:type="dxa"/>
                  </w:tcMar>
                  <w:vAlign w:val="center"/>
                </w:tcPr>
                <w:p w14:paraId="57C39375">
                  <w:pPr>
                    <w:pStyle w:val="15"/>
                    <w:bidi w:val="0"/>
                  </w:pPr>
                  <w:r>
                    <w:t>11.67</w:t>
                  </w:r>
                </w:p>
              </w:tc>
              <w:tc>
                <w:tcPr>
                  <w:tcW w:w="610" w:type="pct"/>
                  <w:tcBorders>
                    <w:tl2br w:val="nil"/>
                    <w:tr2bl w:val="nil"/>
                  </w:tcBorders>
                  <w:tcMar>
                    <w:top w:w="0" w:type="dxa"/>
                    <w:left w:w="0" w:type="dxa"/>
                    <w:bottom w:w="0" w:type="dxa"/>
                    <w:right w:w="0" w:type="dxa"/>
                  </w:tcMar>
                  <w:vAlign w:val="center"/>
                </w:tcPr>
                <w:p w14:paraId="13DD5BFC">
                  <w:pPr>
                    <w:pStyle w:val="15"/>
                    <w:bidi w:val="0"/>
                  </w:pPr>
                  <w:r>
                    <w:t>达标</w:t>
                  </w:r>
                </w:p>
              </w:tc>
            </w:tr>
            <w:tr w14:paraId="44A286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0" w:type="pct"/>
                  <w:tcBorders>
                    <w:tl2br w:val="nil"/>
                    <w:tr2bl w:val="nil"/>
                  </w:tcBorders>
                  <w:tcMar>
                    <w:top w:w="0" w:type="dxa"/>
                    <w:left w:w="0" w:type="dxa"/>
                    <w:bottom w:w="0" w:type="dxa"/>
                    <w:right w:w="0" w:type="dxa"/>
                  </w:tcMar>
                  <w:vAlign w:val="center"/>
                </w:tcPr>
                <w:p w14:paraId="3EE53F01">
                  <w:pPr>
                    <w:pStyle w:val="15"/>
                    <w:bidi w:val="0"/>
                  </w:pPr>
                  <w:r>
                    <w:t>NO</w:t>
                  </w:r>
                  <w:r>
                    <w:rPr>
                      <w:vertAlign w:val="subscript"/>
                    </w:rPr>
                    <w:t>2</w:t>
                  </w:r>
                </w:p>
              </w:tc>
              <w:tc>
                <w:tcPr>
                  <w:tcW w:w="1647" w:type="pct"/>
                  <w:tcBorders>
                    <w:tl2br w:val="nil"/>
                    <w:tr2bl w:val="nil"/>
                  </w:tcBorders>
                  <w:tcMar>
                    <w:top w:w="0" w:type="dxa"/>
                    <w:left w:w="0" w:type="dxa"/>
                    <w:bottom w:w="0" w:type="dxa"/>
                    <w:right w:w="0" w:type="dxa"/>
                  </w:tcMar>
                  <w:vAlign w:val="center"/>
                </w:tcPr>
                <w:p w14:paraId="35E703AF">
                  <w:pPr>
                    <w:pStyle w:val="15"/>
                    <w:bidi w:val="0"/>
                  </w:pPr>
                  <w:r>
                    <w:t>年平均</w:t>
                  </w:r>
                </w:p>
              </w:tc>
              <w:tc>
                <w:tcPr>
                  <w:tcW w:w="776" w:type="pct"/>
                  <w:tcBorders>
                    <w:tl2br w:val="nil"/>
                    <w:tr2bl w:val="nil"/>
                  </w:tcBorders>
                  <w:tcMar>
                    <w:top w:w="0" w:type="dxa"/>
                    <w:left w:w="0" w:type="dxa"/>
                    <w:bottom w:w="0" w:type="dxa"/>
                    <w:right w:w="0" w:type="dxa"/>
                  </w:tcMar>
                  <w:vAlign w:val="center"/>
                </w:tcPr>
                <w:p w14:paraId="22DDDC7A">
                  <w:pPr>
                    <w:pStyle w:val="15"/>
                    <w:bidi w:val="0"/>
                  </w:pPr>
                  <w:r>
                    <w:t>17</w:t>
                  </w:r>
                </w:p>
              </w:tc>
              <w:tc>
                <w:tcPr>
                  <w:tcW w:w="776" w:type="pct"/>
                  <w:tcBorders>
                    <w:tl2br w:val="nil"/>
                    <w:tr2bl w:val="nil"/>
                  </w:tcBorders>
                  <w:tcMar>
                    <w:top w:w="0" w:type="dxa"/>
                    <w:left w:w="0" w:type="dxa"/>
                    <w:bottom w:w="0" w:type="dxa"/>
                    <w:right w:w="0" w:type="dxa"/>
                  </w:tcMar>
                  <w:vAlign w:val="center"/>
                </w:tcPr>
                <w:p w14:paraId="4BF14696">
                  <w:pPr>
                    <w:pStyle w:val="15"/>
                    <w:bidi w:val="0"/>
                  </w:pPr>
                  <w:r>
                    <w:t>40</w:t>
                  </w:r>
                </w:p>
              </w:tc>
              <w:tc>
                <w:tcPr>
                  <w:tcW w:w="578" w:type="pct"/>
                  <w:tcBorders>
                    <w:tl2br w:val="nil"/>
                    <w:tr2bl w:val="nil"/>
                  </w:tcBorders>
                  <w:tcMar>
                    <w:top w:w="0" w:type="dxa"/>
                    <w:left w:w="0" w:type="dxa"/>
                    <w:bottom w:w="0" w:type="dxa"/>
                    <w:right w:w="0" w:type="dxa"/>
                  </w:tcMar>
                  <w:vAlign w:val="center"/>
                </w:tcPr>
                <w:p w14:paraId="6E11AB99">
                  <w:pPr>
                    <w:pStyle w:val="15"/>
                    <w:bidi w:val="0"/>
                  </w:pPr>
                  <w:r>
                    <w:t>42.5</w:t>
                  </w:r>
                </w:p>
              </w:tc>
              <w:tc>
                <w:tcPr>
                  <w:tcW w:w="610" w:type="pct"/>
                  <w:tcBorders>
                    <w:tl2br w:val="nil"/>
                    <w:tr2bl w:val="nil"/>
                  </w:tcBorders>
                  <w:tcMar>
                    <w:top w:w="0" w:type="dxa"/>
                    <w:left w:w="0" w:type="dxa"/>
                    <w:bottom w:w="0" w:type="dxa"/>
                    <w:right w:w="0" w:type="dxa"/>
                  </w:tcMar>
                  <w:vAlign w:val="center"/>
                </w:tcPr>
                <w:p w14:paraId="43A415B6">
                  <w:pPr>
                    <w:pStyle w:val="15"/>
                    <w:bidi w:val="0"/>
                  </w:pPr>
                  <w:r>
                    <w:t>达标</w:t>
                  </w:r>
                </w:p>
              </w:tc>
            </w:tr>
            <w:tr w14:paraId="166B80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0" w:type="pct"/>
                  <w:tcBorders>
                    <w:tl2br w:val="nil"/>
                    <w:tr2bl w:val="nil"/>
                  </w:tcBorders>
                  <w:tcMar>
                    <w:top w:w="0" w:type="dxa"/>
                    <w:left w:w="0" w:type="dxa"/>
                    <w:bottom w:w="0" w:type="dxa"/>
                    <w:right w:w="0" w:type="dxa"/>
                  </w:tcMar>
                  <w:vAlign w:val="center"/>
                </w:tcPr>
                <w:p w14:paraId="52A6A116">
                  <w:pPr>
                    <w:pStyle w:val="15"/>
                    <w:bidi w:val="0"/>
                  </w:pPr>
                  <w:r>
                    <w:t>PM</w:t>
                  </w:r>
                  <w:r>
                    <w:rPr>
                      <w:vertAlign w:val="subscript"/>
                    </w:rPr>
                    <w:t>10</w:t>
                  </w:r>
                </w:p>
              </w:tc>
              <w:tc>
                <w:tcPr>
                  <w:tcW w:w="1647" w:type="pct"/>
                  <w:tcBorders>
                    <w:tl2br w:val="nil"/>
                    <w:tr2bl w:val="nil"/>
                  </w:tcBorders>
                  <w:tcMar>
                    <w:top w:w="0" w:type="dxa"/>
                    <w:left w:w="0" w:type="dxa"/>
                    <w:bottom w:w="0" w:type="dxa"/>
                    <w:right w:w="0" w:type="dxa"/>
                  </w:tcMar>
                  <w:vAlign w:val="center"/>
                </w:tcPr>
                <w:p w14:paraId="2C14F854">
                  <w:pPr>
                    <w:pStyle w:val="15"/>
                    <w:bidi w:val="0"/>
                  </w:pPr>
                  <w:r>
                    <w:t>年平均</w:t>
                  </w:r>
                </w:p>
              </w:tc>
              <w:tc>
                <w:tcPr>
                  <w:tcW w:w="776" w:type="pct"/>
                  <w:tcBorders>
                    <w:tl2br w:val="nil"/>
                    <w:tr2bl w:val="nil"/>
                  </w:tcBorders>
                  <w:tcMar>
                    <w:top w:w="0" w:type="dxa"/>
                    <w:left w:w="0" w:type="dxa"/>
                    <w:bottom w:w="0" w:type="dxa"/>
                    <w:right w:w="0" w:type="dxa"/>
                  </w:tcMar>
                  <w:vAlign w:val="center"/>
                </w:tcPr>
                <w:p w14:paraId="49C6A81D">
                  <w:pPr>
                    <w:pStyle w:val="15"/>
                    <w:bidi w:val="0"/>
                  </w:pPr>
                  <w:r>
                    <w:t>39</w:t>
                  </w:r>
                </w:p>
              </w:tc>
              <w:tc>
                <w:tcPr>
                  <w:tcW w:w="776" w:type="pct"/>
                  <w:tcBorders>
                    <w:tl2br w:val="nil"/>
                    <w:tr2bl w:val="nil"/>
                  </w:tcBorders>
                  <w:tcMar>
                    <w:top w:w="0" w:type="dxa"/>
                    <w:left w:w="0" w:type="dxa"/>
                    <w:bottom w:w="0" w:type="dxa"/>
                    <w:right w:w="0" w:type="dxa"/>
                  </w:tcMar>
                  <w:vAlign w:val="center"/>
                </w:tcPr>
                <w:p w14:paraId="14DCB624">
                  <w:pPr>
                    <w:pStyle w:val="15"/>
                    <w:bidi w:val="0"/>
                    <w:rPr>
                      <w:rFonts w:hint="default"/>
                      <w:lang w:val="en-US" w:eastAsia="zh-CN"/>
                    </w:rPr>
                  </w:pPr>
                  <w:r>
                    <w:rPr>
                      <w:rFonts w:hint="eastAsia"/>
                      <w:lang w:val="en-US" w:eastAsia="zh-CN"/>
                    </w:rPr>
                    <w:t>60</w:t>
                  </w:r>
                </w:p>
              </w:tc>
              <w:tc>
                <w:tcPr>
                  <w:tcW w:w="578" w:type="pct"/>
                  <w:tcBorders>
                    <w:tl2br w:val="nil"/>
                    <w:tr2bl w:val="nil"/>
                  </w:tcBorders>
                  <w:tcMar>
                    <w:top w:w="0" w:type="dxa"/>
                    <w:left w:w="0" w:type="dxa"/>
                    <w:bottom w:w="0" w:type="dxa"/>
                    <w:right w:w="0" w:type="dxa"/>
                  </w:tcMar>
                  <w:vAlign w:val="center"/>
                </w:tcPr>
                <w:p w14:paraId="61D21FBD">
                  <w:pPr>
                    <w:pStyle w:val="15"/>
                    <w:bidi w:val="0"/>
                    <w:rPr>
                      <w:rFonts w:hint="default"/>
                      <w:lang w:val="en-US" w:eastAsia="zh-CN"/>
                    </w:rPr>
                  </w:pPr>
                  <w:r>
                    <w:rPr>
                      <w:rFonts w:hint="eastAsia"/>
                      <w:lang w:val="en-US" w:eastAsia="zh-CN"/>
                    </w:rPr>
                    <w:t>65</w:t>
                  </w:r>
                </w:p>
              </w:tc>
              <w:tc>
                <w:tcPr>
                  <w:tcW w:w="610" w:type="pct"/>
                  <w:tcBorders>
                    <w:tl2br w:val="nil"/>
                    <w:tr2bl w:val="nil"/>
                  </w:tcBorders>
                  <w:tcMar>
                    <w:top w:w="0" w:type="dxa"/>
                    <w:left w:w="0" w:type="dxa"/>
                    <w:bottom w:w="0" w:type="dxa"/>
                    <w:right w:w="0" w:type="dxa"/>
                  </w:tcMar>
                  <w:vAlign w:val="center"/>
                </w:tcPr>
                <w:p w14:paraId="395CA720">
                  <w:pPr>
                    <w:pStyle w:val="15"/>
                    <w:bidi w:val="0"/>
                  </w:pPr>
                  <w:r>
                    <w:t>达标</w:t>
                  </w:r>
                </w:p>
              </w:tc>
            </w:tr>
            <w:tr w14:paraId="2B4BD3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0" w:type="pct"/>
                  <w:tcBorders>
                    <w:tl2br w:val="nil"/>
                    <w:tr2bl w:val="nil"/>
                  </w:tcBorders>
                  <w:tcMar>
                    <w:top w:w="0" w:type="dxa"/>
                    <w:left w:w="0" w:type="dxa"/>
                    <w:bottom w:w="0" w:type="dxa"/>
                    <w:right w:w="0" w:type="dxa"/>
                  </w:tcMar>
                  <w:vAlign w:val="center"/>
                </w:tcPr>
                <w:p w14:paraId="009979A7">
                  <w:pPr>
                    <w:pStyle w:val="15"/>
                    <w:bidi w:val="0"/>
                  </w:pPr>
                  <w:r>
                    <w:t>PM</w:t>
                  </w:r>
                  <w:r>
                    <w:rPr>
                      <w:vertAlign w:val="subscript"/>
                    </w:rPr>
                    <w:t>2.5</w:t>
                  </w:r>
                </w:p>
              </w:tc>
              <w:tc>
                <w:tcPr>
                  <w:tcW w:w="1647" w:type="pct"/>
                  <w:tcBorders>
                    <w:tl2br w:val="nil"/>
                    <w:tr2bl w:val="nil"/>
                  </w:tcBorders>
                  <w:tcMar>
                    <w:top w:w="0" w:type="dxa"/>
                    <w:left w:w="0" w:type="dxa"/>
                    <w:bottom w:w="0" w:type="dxa"/>
                    <w:right w:w="0" w:type="dxa"/>
                  </w:tcMar>
                  <w:vAlign w:val="center"/>
                </w:tcPr>
                <w:p w14:paraId="2F20A5AD">
                  <w:pPr>
                    <w:pStyle w:val="15"/>
                    <w:bidi w:val="0"/>
                  </w:pPr>
                  <w:r>
                    <w:t>年平均</w:t>
                  </w:r>
                </w:p>
              </w:tc>
              <w:tc>
                <w:tcPr>
                  <w:tcW w:w="776" w:type="pct"/>
                  <w:tcBorders>
                    <w:tl2br w:val="nil"/>
                    <w:tr2bl w:val="nil"/>
                  </w:tcBorders>
                  <w:tcMar>
                    <w:top w:w="0" w:type="dxa"/>
                    <w:left w:w="0" w:type="dxa"/>
                    <w:bottom w:w="0" w:type="dxa"/>
                    <w:right w:w="0" w:type="dxa"/>
                  </w:tcMar>
                  <w:vAlign w:val="center"/>
                </w:tcPr>
                <w:p w14:paraId="14420C64">
                  <w:pPr>
                    <w:pStyle w:val="15"/>
                    <w:bidi w:val="0"/>
                  </w:pPr>
                  <w:r>
                    <w:t>22</w:t>
                  </w:r>
                </w:p>
              </w:tc>
              <w:tc>
                <w:tcPr>
                  <w:tcW w:w="776" w:type="pct"/>
                  <w:tcBorders>
                    <w:tl2br w:val="nil"/>
                    <w:tr2bl w:val="nil"/>
                  </w:tcBorders>
                  <w:tcMar>
                    <w:top w:w="0" w:type="dxa"/>
                    <w:left w:w="0" w:type="dxa"/>
                    <w:bottom w:w="0" w:type="dxa"/>
                    <w:right w:w="0" w:type="dxa"/>
                  </w:tcMar>
                  <w:vAlign w:val="center"/>
                </w:tcPr>
                <w:p w14:paraId="1B33DEB2">
                  <w:pPr>
                    <w:pStyle w:val="15"/>
                    <w:bidi w:val="0"/>
                    <w:rPr>
                      <w:rFonts w:hint="default"/>
                      <w:lang w:val="en-US" w:eastAsia="zh-CN"/>
                    </w:rPr>
                  </w:pPr>
                  <w:r>
                    <w:rPr>
                      <w:rFonts w:hint="eastAsia"/>
                      <w:lang w:val="en-US" w:eastAsia="zh-CN"/>
                    </w:rPr>
                    <w:t>30</w:t>
                  </w:r>
                </w:p>
              </w:tc>
              <w:tc>
                <w:tcPr>
                  <w:tcW w:w="578" w:type="pct"/>
                  <w:tcBorders>
                    <w:tl2br w:val="nil"/>
                    <w:tr2bl w:val="nil"/>
                  </w:tcBorders>
                  <w:tcMar>
                    <w:top w:w="0" w:type="dxa"/>
                    <w:left w:w="0" w:type="dxa"/>
                    <w:bottom w:w="0" w:type="dxa"/>
                    <w:right w:w="0" w:type="dxa"/>
                  </w:tcMar>
                  <w:vAlign w:val="center"/>
                </w:tcPr>
                <w:p w14:paraId="19ED03D4">
                  <w:pPr>
                    <w:pStyle w:val="15"/>
                    <w:bidi w:val="0"/>
                    <w:rPr>
                      <w:rFonts w:hint="default"/>
                      <w:lang w:val="en-US" w:eastAsia="zh-CN"/>
                    </w:rPr>
                  </w:pPr>
                  <w:r>
                    <w:rPr>
                      <w:rFonts w:hint="eastAsia"/>
                      <w:lang w:val="en-US" w:eastAsia="zh-CN"/>
                    </w:rPr>
                    <w:t>73.33</w:t>
                  </w:r>
                </w:p>
              </w:tc>
              <w:tc>
                <w:tcPr>
                  <w:tcW w:w="610" w:type="pct"/>
                  <w:tcBorders>
                    <w:tl2br w:val="nil"/>
                    <w:tr2bl w:val="nil"/>
                  </w:tcBorders>
                  <w:tcMar>
                    <w:top w:w="0" w:type="dxa"/>
                    <w:left w:w="0" w:type="dxa"/>
                    <w:bottom w:w="0" w:type="dxa"/>
                    <w:right w:w="0" w:type="dxa"/>
                  </w:tcMar>
                  <w:vAlign w:val="center"/>
                </w:tcPr>
                <w:p w14:paraId="208E95AF">
                  <w:pPr>
                    <w:pStyle w:val="15"/>
                    <w:bidi w:val="0"/>
                  </w:pPr>
                  <w:r>
                    <w:t>达标</w:t>
                  </w:r>
                </w:p>
              </w:tc>
            </w:tr>
            <w:tr w14:paraId="74578E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0" w:type="pct"/>
                  <w:tcBorders>
                    <w:tl2br w:val="nil"/>
                    <w:tr2bl w:val="nil"/>
                  </w:tcBorders>
                  <w:tcMar>
                    <w:top w:w="0" w:type="dxa"/>
                    <w:left w:w="0" w:type="dxa"/>
                    <w:bottom w:w="0" w:type="dxa"/>
                    <w:right w:w="0" w:type="dxa"/>
                  </w:tcMar>
                  <w:vAlign w:val="center"/>
                </w:tcPr>
                <w:p w14:paraId="6F837818">
                  <w:pPr>
                    <w:pStyle w:val="15"/>
                    <w:bidi w:val="0"/>
                  </w:pPr>
                  <w:r>
                    <w:t>CO</w:t>
                  </w:r>
                </w:p>
              </w:tc>
              <w:tc>
                <w:tcPr>
                  <w:tcW w:w="1647" w:type="pct"/>
                  <w:tcBorders>
                    <w:tl2br w:val="nil"/>
                    <w:tr2bl w:val="nil"/>
                  </w:tcBorders>
                  <w:tcMar>
                    <w:top w:w="0" w:type="dxa"/>
                    <w:left w:w="0" w:type="dxa"/>
                    <w:bottom w:w="0" w:type="dxa"/>
                    <w:right w:w="0" w:type="dxa"/>
                  </w:tcMar>
                  <w:vAlign w:val="center"/>
                </w:tcPr>
                <w:p w14:paraId="3A91019D">
                  <w:pPr>
                    <w:pStyle w:val="15"/>
                    <w:bidi w:val="0"/>
                  </w:pPr>
                  <w:r>
                    <w:t>24小时平均第95百分位数</w:t>
                  </w:r>
                </w:p>
              </w:tc>
              <w:tc>
                <w:tcPr>
                  <w:tcW w:w="776" w:type="pct"/>
                  <w:tcBorders>
                    <w:tl2br w:val="nil"/>
                    <w:tr2bl w:val="nil"/>
                  </w:tcBorders>
                  <w:tcMar>
                    <w:top w:w="0" w:type="dxa"/>
                    <w:left w:w="0" w:type="dxa"/>
                    <w:bottom w:w="0" w:type="dxa"/>
                    <w:right w:w="0" w:type="dxa"/>
                  </w:tcMar>
                  <w:vAlign w:val="center"/>
                </w:tcPr>
                <w:p w14:paraId="394E34BC">
                  <w:pPr>
                    <w:pStyle w:val="15"/>
                    <w:bidi w:val="0"/>
                  </w:pPr>
                  <w:r>
                    <w:t>1</w:t>
                  </w:r>
                  <w:r>
                    <w:rPr>
                      <w:rFonts w:hint="eastAsia"/>
                      <w:lang w:eastAsia="zh-CN"/>
                    </w:rPr>
                    <w:t>(</w:t>
                  </w:r>
                  <w:r>
                    <w:t>mg/m</w:t>
                  </w:r>
                  <w:r>
                    <w:rPr>
                      <w:vertAlign w:val="superscript"/>
                    </w:rPr>
                    <w:t>3</w:t>
                  </w:r>
                  <w:r>
                    <w:rPr>
                      <w:rFonts w:hint="eastAsia"/>
                      <w:vertAlign w:val="superscript"/>
                      <w:lang w:eastAsia="zh-CN"/>
                    </w:rPr>
                    <w:t>)</w:t>
                  </w:r>
                </w:p>
              </w:tc>
              <w:tc>
                <w:tcPr>
                  <w:tcW w:w="776" w:type="pct"/>
                  <w:tcBorders>
                    <w:tl2br w:val="nil"/>
                    <w:tr2bl w:val="nil"/>
                  </w:tcBorders>
                  <w:tcMar>
                    <w:top w:w="0" w:type="dxa"/>
                    <w:left w:w="0" w:type="dxa"/>
                    <w:bottom w:w="0" w:type="dxa"/>
                    <w:right w:w="0" w:type="dxa"/>
                  </w:tcMar>
                  <w:vAlign w:val="center"/>
                </w:tcPr>
                <w:p w14:paraId="416A14A7">
                  <w:pPr>
                    <w:pStyle w:val="15"/>
                    <w:bidi w:val="0"/>
                  </w:pPr>
                  <w:r>
                    <w:t>4</w:t>
                  </w:r>
                  <w:r>
                    <w:rPr>
                      <w:rFonts w:hint="eastAsia"/>
                      <w:lang w:eastAsia="zh-CN"/>
                    </w:rPr>
                    <w:t>(</w:t>
                  </w:r>
                  <w:r>
                    <w:t>mg/m</w:t>
                  </w:r>
                  <w:r>
                    <w:rPr>
                      <w:vertAlign w:val="superscript"/>
                    </w:rPr>
                    <w:t>3</w:t>
                  </w:r>
                  <w:r>
                    <w:rPr>
                      <w:rFonts w:hint="eastAsia"/>
                      <w:vertAlign w:val="superscript"/>
                      <w:lang w:eastAsia="zh-CN"/>
                    </w:rPr>
                    <w:t>)</w:t>
                  </w:r>
                </w:p>
              </w:tc>
              <w:tc>
                <w:tcPr>
                  <w:tcW w:w="578" w:type="pct"/>
                  <w:tcBorders>
                    <w:tl2br w:val="nil"/>
                    <w:tr2bl w:val="nil"/>
                  </w:tcBorders>
                  <w:tcMar>
                    <w:top w:w="0" w:type="dxa"/>
                    <w:left w:w="0" w:type="dxa"/>
                    <w:bottom w:w="0" w:type="dxa"/>
                    <w:right w:w="0" w:type="dxa"/>
                  </w:tcMar>
                  <w:vAlign w:val="center"/>
                </w:tcPr>
                <w:p w14:paraId="0C079B00">
                  <w:pPr>
                    <w:pStyle w:val="15"/>
                    <w:bidi w:val="0"/>
                  </w:pPr>
                  <w:r>
                    <w:t>25</w:t>
                  </w:r>
                </w:p>
              </w:tc>
              <w:tc>
                <w:tcPr>
                  <w:tcW w:w="610" w:type="pct"/>
                  <w:tcBorders>
                    <w:tl2br w:val="nil"/>
                    <w:tr2bl w:val="nil"/>
                  </w:tcBorders>
                  <w:tcMar>
                    <w:top w:w="0" w:type="dxa"/>
                    <w:left w:w="0" w:type="dxa"/>
                    <w:bottom w:w="0" w:type="dxa"/>
                    <w:right w:w="0" w:type="dxa"/>
                  </w:tcMar>
                  <w:vAlign w:val="center"/>
                </w:tcPr>
                <w:p w14:paraId="15E82138">
                  <w:pPr>
                    <w:pStyle w:val="15"/>
                    <w:bidi w:val="0"/>
                  </w:pPr>
                  <w:r>
                    <w:t>达标</w:t>
                  </w:r>
                </w:p>
              </w:tc>
            </w:tr>
            <w:tr w14:paraId="1C34A1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0" w:type="pct"/>
                  <w:tcBorders>
                    <w:tl2br w:val="nil"/>
                    <w:tr2bl w:val="nil"/>
                  </w:tcBorders>
                  <w:tcMar>
                    <w:top w:w="0" w:type="dxa"/>
                    <w:left w:w="0" w:type="dxa"/>
                    <w:bottom w:w="0" w:type="dxa"/>
                    <w:right w:w="0" w:type="dxa"/>
                  </w:tcMar>
                  <w:vAlign w:val="center"/>
                </w:tcPr>
                <w:p w14:paraId="3E0F0DFD">
                  <w:pPr>
                    <w:pStyle w:val="15"/>
                    <w:bidi w:val="0"/>
                  </w:pPr>
                  <w:r>
                    <w:t>O</w:t>
                  </w:r>
                  <w:r>
                    <w:rPr>
                      <w:vertAlign w:val="subscript"/>
                    </w:rPr>
                    <w:t>3</w:t>
                  </w:r>
                </w:p>
              </w:tc>
              <w:tc>
                <w:tcPr>
                  <w:tcW w:w="1647" w:type="pct"/>
                  <w:tcBorders>
                    <w:tl2br w:val="nil"/>
                    <w:tr2bl w:val="nil"/>
                  </w:tcBorders>
                  <w:tcMar>
                    <w:top w:w="0" w:type="dxa"/>
                    <w:left w:w="0" w:type="dxa"/>
                    <w:bottom w:w="0" w:type="dxa"/>
                    <w:right w:w="0" w:type="dxa"/>
                  </w:tcMar>
                  <w:vAlign w:val="center"/>
                </w:tcPr>
                <w:p w14:paraId="31BBF545">
                  <w:pPr>
                    <w:pStyle w:val="15"/>
                    <w:bidi w:val="0"/>
                  </w:pPr>
                  <w:r>
                    <w:t>日最大8小时平均第90百</w:t>
                  </w:r>
                </w:p>
                <w:p w14:paraId="5333334A">
                  <w:pPr>
                    <w:pStyle w:val="15"/>
                    <w:bidi w:val="0"/>
                  </w:pPr>
                  <w:r>
                    <w:t>分位数</w:t>
                  </w:r>
                </w:p>
              </w:tc>
              <w:tc>
                <w:tcPr>
                  <w:tcW w:w="776" w:type="pct"/>
                  <w:tcBorders>
                    <w:tl2br w:val="nil"/>
                    <w:tr2bl w:val="nil"/>
                  </w:tcBorders>
                  <w:tcMar>
                    <w:top w:w="0" w:type="dxa"/>
                    <w:left w:w="0" w:type="dxa"/>
                    <w:bottom w:w="0" w:type="dxa"/>
                    <w:right w:w="0" w:type="dxa"/>
                  </w:tcMar>
                  <w:vAlign w:val="center"/>
                </w:tcPr>
                <w:p w14:paraId="74C208FC">
                  <w:pPr>
                    <w:pStyle w:val="15"/>
                    <w:bidi w:val="0"/>
                  </w:pPr>
                  <w:r>
                    <w:t>121</w:t>
                  </w:r>
                </w:p>
              </w:tc>
              <w:tc>
                <w:tcPr>
                  <w:tcW w:w="776" w:type="pct"/>
                  <w:tcBorders>
                    <w:tl2br w:val="nil"/>
                    <w:tr2bl w:val="nil"/>
                  </w:tcBorders>
                  <w:tcMar>
                    <w:top w:w="0" w:type="dxa"/>
                    <w:left w:w="0" w:type="dxa"/>
                    <w:bottom w:w="0" w:type="dxa"/>
                    <w:right w:w="0" w:type="dxa"/>
                  </w:tcMar>
                  <w:vAlign w:val="center"/>
                </w:tcPr>
                <w:p w14:paraId="44A628C2">
                  <w:pPr>
                    <w:pStyle w:val="15"/>
                    <w:bidi w:val="0"/>
                  </w:pPr>
                  <w:r>
                    <w:t>160</w:t>
                  </w:r>
                </w:p>
              </w:tc>
              <w:tc>
                <w:tcPr>
                  <w:tcW w:w="578" w:type="pct"/>
                  <w:tcBorders>
                    <w:tl2br w:val="nil"/>
                    <w:tr2bl w:val="nil"/>
                  </w:tcBorders>
                  <w:tcMar>
                    <w:top w:w="0" w:type="dxa"/>
                    <w:left w:w="0" w:type="dxa"/>
                    <w:bottom w:w="0" w:type="dxa"/>
                    <w:right w:w="0" w:type="dxa"/>
                  </w:tcMar>
                  <w:vAlign w:val="center"/>
                </w:tcPr>
                <w:p w14:paraId="07F2541C">
                  <w:pPr>
                    <w:pStyle w:val="15"/>
                    <w:bidi w:val="0"/>
                  </w:pPr>
                  <w:r>
                    <w:t>76.63</w:t>
                  </w:r>
                </w:p>
              </w:tc>
              <w:tc>
                <w:tcPr>
                  <w:tcW w:w="610" w:type="pct"/>
                  <w:tcBorders>
                    <w:tl2br w:val="nil"/>
                    <w:tr2bl w:val="nil"/>
                  </w:tcBorders>
                  <w:tcMar>
                    <w:top w:w="0" w:type="dxa"/>
                    <w:left w:w="0" w:type="dxa"/>
                    <w:bottom w:w="0" w:type="dxa"/>
                    <w:right w:w="0" w:type="dxa"/>
                  </w:tcMar>
                  <w:vAlign w:val="center"/>
                </w:tcPr>
                <w:p w14:paraId="3CD08001">
                  <w:pPr>
                    <w:pStyle w:val="15"/>
                    <w:bidi w:val="0"/>
                  </w:pPr>
                  <w:r>
                    <w:t>达标</w:t>
                  </w:r>
                </w:p>
              </w:tc>
            </w:tr>
          </w:tbl>
          <w:p w14:paraId="5DE9AF98">
            <w:pPr>
              <w:rPr>
                <w:rFonts w:hint="eastAsia"/>
                <w:color w:val="auto"/>
                <w:lang w:val="en-US" w:eastAsia="zh-CN"/>
              </w:rPr>
            </w:pPr>
            <w:r>
              <w:rPr>
                <w:rFonts w:hint="eastAsia"/>
                <w:color w:val="auto"/>
                <w:lang w:val="en-US" w:eastAsia="zh-CN"/>
              </w:rPr>
              <w:t>根据基本污染物环境空气质量现状评价统计结果，项目所在区域SO</w:t>
            </w:r>
            <w:r>
              <w:rPr>
                <w:rFonts w:hint="eastAsia"/>
                <w:color w:val="auto"/>
                <w:vertAlign w:val="subscript"/>
                <w:lang w:val="en-US" w:eastAsia="zh-CN"/>
              </w:rPr>
              <w:t>2</w:t>
            </w:r>
            <w:r>
              <w:rPr>
                <w:rFonts w:hint="eastAsia"/>
                <w:color w:val="auto"/>
                <w:lang w:val="en-US" w:eastAsia="zh-CN"/>
              </w:rPr>
              <w:t>、CO、O</w:t>
            </w:r>
            <w:r>
              <w:rPr>
                <w:rFonts w:hint="eastAsia"/>
                <w:color w:val="auto"/>
                <w:vertAlign w:val="subscript"/>
                <w:lang w:val="en-US" w:eastAsia="zh-CN"/>
              </w:rPr>
              <w:t>3</w:t>
            </w:r>
            <w:r>
              <w:rPr>
                <w:rFonts w:hint="eastAsia"/>
                <w:color w:val="auto"/>
                <w:lang w:val="en-US" w:eastAsia="zh-CN"/>
              </w:rPr>
              <w:t>、NO</w:t>
            </w:r>
            <w:r>
              <w:rPr>
                <w:rFonts w:hint="eastAsia"/>
                <w:color w:val="auto"/>
                <w:vertAlign w:val="subscript"/>
                <w:lang w:val="en-US" w:eastAsia="zh-CN"/>
              </w:rPr>
              <w:t>2</w:t>
            </w:r>
            <w:r>
              <w:rPr>
                <w:rFonts w:hint="eastAsia"/>
                <w:color w:val="auto"/>
                <w:lang w:val="en-US" w:eastAsia="zh-CN"/>
              </w:rPr>
              <w:t>、PM</w:t>
            </w:r>
            <w:r>
              <w:rPr>
                <w:rFonts w:hint="eastAsia"/>
                <w:color w:val="auto"/>
                <w:vertAlign w:val="subscript"/>
                <w:lang w:val="en-US" w:eastAsia="zh-CN"/>
              </w:rPr>
              <w:t>10</w:t>
            </w:r>
            <w:r>
              <w:rPr>
                <w:rFonts w:hint="eastAsia"/>
                <w:color w:val="auto"/>
                <w:lang w:val="en-US" w:eastAsia="zh-CN"/>
              </w:rPr>
              <w:t>、PM</w:t>
            </w:r>
            <w:r>
              <w:rPr>
                <w:rFonts w:hint="eastAsia"/>
                <w:color w:val="auto"/>
                <w:vertAlign w:val="subscript"/>
                <w:lang w:val="en-US" w:eastAsia="zh-CN"/>
              </w:rPr>
              <w:t>2.5</w:t>
            </w:r>
            <w:r>
              <w:rPr>
                <w:rFonts w:hint="eastAsia"/>
                <w:color w:val="auto"/>
                <w:lang w:val="en-US" w:eastAsia="zh-CN"/>
              </w:rPr>
              <w:t>的年均浓度均满足《环境空气质量标准》（GB 3095-2026）的过渡阶段二级标准要求，因此，本项目所在区域为达标区。</w:t>
            </w:r>
          </w:p>
          <w:p w14:paraId="2A367717">
            <w:pPr>
              <w:pStyle w:val="4"/>
              <w:bidi w:val="0"/>
              <w:rPr>
                <w:rFonts w:hint="eastAsia"/>
                <w:lang w:val="en-US" w:eastAsia="zh-CN"/>
              </w:rPr>
            </w:pPr>
            <w:r>
              <w:rPr>
                <w:rFonts w:hint="eastAsia"/>
                <w:lang w:val="en-US" w:eastAsia="zh-CN"/>
              </w:rPr>
              <w:t>1.2环境空气质量现状特征污染物评价</w:t>
            </w:r>
          </w:p>
          <w:p w14:paraId="1918B8FD">
            <w:pPr>
              <w:rPr>
                <w:rFonts w:hint="eastAsia"/>
                <w:color w:val="auto"/>
                <w:lang w:val="en-US" w:eastAsia="zh-CN"/>
              </w:rPr>
            </w:pPr>
            <w:r>
              <w:rPr>
                <w:rFonts w:hint="eastAsia"/>
                <w:lang w:val="en-US" w:eastAsia="zh-CN"/>
              </w:rPr>
              <w:t>本项目在现有厂区酸碱罐区内预留空地扩建4座200m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涉及大气环境特征污染物为TSP、HCl。本次引用《新疆久塔锦晨生物科技股份有限公司精细化工项目（一期）竣工环境保护验收监测报告》，其中委托新疆中测测试有限责任公司于2026年1月17日—1月24日开展现状监测数据。</w:t>
            </w:r>
          </w:p>
          <w:p w14:paraId="351716FB">
            <w:pPr>
              <w:rPr>
                <w:rFonts w:hint="default"/>
                <w:color w:val="auto"/>
                <w:lang w:val="en-US" w:eastAsia="zh-CN"/>
              </w:rPr>
            </w:pPr>
            <w:r>
              <w:rPr>
                <w:rFonts w:hint="eastAsia"/>
                <w:color w:val="auto"/>
                <w:lang w:val="en-US" w:eastAsia="zh-CN"/>
              </w:rPr>
              <w:t>（1）监测点位、监测因子及监测频次</w:t>
            </w:r>
          </w:p>
          <w:p w14:paraId="06028A3F">
            <w:pPr>
              <w:ind w:firstLine="480"/>
              <w:outlineLvl w:val="9"/>
              <w:rPr>
                <w:rFonts w:cs="Times New Roman"/>
                <w:color w:val="auto"/>
                <w:highlight w:val="none"/>
                <w:lang w:val="zh-CN"/>
              </w:rPr>
            </w:pPr>
            <w:r>
              <w:rPr>
                <w:rFonts w:cs="Times New Roman"/>
                <w:color w:val="auto"/>
                <w:highlight w:val="none"/>
                <w:lang w:val="zh-CN"/>
              </w:rPr>
              <w:t>监测点位设置情况见</w:t>
            </w:r>
            <w:r>
              <w:rPr>
                <w:rFonts w:hint="eastAsia" w:cs="Times New Roman"/>
                <w:color w:val="auto"/>
                <w:highlight w:val="none"/>
                <w:lang w:val="en-US" w:eastAsia="zh-CN"/>
              </w:rPr>
              <w:t>下表14</w:t>
            </w:r>
            <w:r>
              <w:rPr>
                <w:rFonts w:cs="Times New Roman"/>
                <w:color w:val="auto"/>
                <w:highlight w:val="none"/>
                <w:lang w:val="zh-CN"/>
              </w:rPr>
              <w:t>。</w:t>
            </w:r>
          </w:p>
          <w:p w14:paraId="0001DEA5">
            <w:pPr>
              <w:pStyle w:val="16"/>
              <w:bidi w:val="0"/>
            </w:pPr>
            <w:r>
              <w:t xml:space="preserve">表 </w:t>
            </w:r>
            <w:r>
              <w:fldChar w:fldCharType="begin"/>
            </w:r>
            <w:r>
              <w:instrText xml:space="preserve"> SEQ 表 \* ARABIC </w:instrText>
            </w:r>
            <w:r>
              <w:fldChar w:fldCharType="separate"/>
            </w:r>
            <w:r>
              <w:t>14</w:t>
            </w:r>
            <w:r>
              <w:fldChar w:fldCharType="end"/>
            </w:r>
            <w:r>
              <w:rPr>
                <w:rFonts w:hint="eastAsia"/>
                <w:lang w:val="en-US" w:eastAsia="zh-CN"/>
              </w:rPr>
              <w:t xml:space="preserve">  </w:t>
            </w:r>
            <w:r>
              <w:t>环境空气</w:t>
            </w:r>
            <w:r>
              <w:rPr>
                <w:rFonts w:hint="eastAsia"/>
                <w:lang w:val="en-US" w:eastAsia="zh-CN"/>
              </w:rPr>
              <w:t>补充</w:t>
            </w:r>
            <w:r>
              <w:t>现状监测布点一览表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85"/>
              <w:gridCol w:w="464"/>
              <w:gridCol w:w="1348"/>
              <w:gridCol w:w="1478"/>
              <w:gridCol w:w="3349"/>
            </w:tblGrid>
            <w:tr w14:paraId="46FCB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2" w:type="pct"/>
                  <w:vMerge w:val="restart"/>
                  <w:tcBorders>
                    <w:tl2br w:val="nil"/>
                    <w:tr2bl w:val="nil"/>
                  </w:tcBorders>
                  <w:noWrap w:val="0"/>
                  <w:tcMar>
                    <w:top w:w="0" w:type="dxa"/>
                    <w:left w:w="0" w:type="dxa"/>
                    <w:bottom w:w="0" w:type="dxa"/>
                    <w:right w:w="0" w:type="dxa"/>
                  </w:tcMar>
                  <w:vAlign w:val="center"/>
                </w:tcPr>
                <w:p w14:paraId="3D491A4D">
                  <w:pPr>
                    <w:pStyle w:val="15"/>
                    <w:bidi w:val="0"/>
                    <w:rPr>
                      <w:rFonts w:hint="eastAsia"/>
                      <w:lang w:val="en-US" w:eastAsia="zh-CN"/>
                    </w:rPr>
                  </w:pPr>
                  <w:r>
                    <w:rPr>
                      <w:rFonts w:hint="eastAsia"/>
                      <w:lang w:val="en-US" w:eastAsia="zh-CN"/>
                    </w:rPr>
                    <w:t>监测时间</w:t>
                  </w:r>
                </w:p>
              </w:tc>
              <w:tc>
                <w:tcPr>
                  <w:tcW w:w="179" w:type="pct"/>
                  <w:vMerge w:val="restart"/>
                  <w:tcBorders>
                    <w:tl2br w:val="nil"/>
                    <w:tr2bl w:val="nil"/>
                  </w:tcBorders>
                  <w:noWrap w:val="0"/>
                  <w:tcMar>
                    <w:top w:w="0" w:type="dxa"/>
                    <w:left w:w="0" w:type="dxa"/>
                    <w:bottom w:w="0" w:type="dxa"/>
                    <w:right w:w="0" w:type="dxa"/>
                  </w:tcMar>
                  <w:vAlign w:val="center"/>
                </w:tcPr>
                <w:p w14:paraId="7C2CD84D">
                  <w:pPr>
                    <w:pStyle w:val="15"/>
                    <w:bidi w:val="0"/>
                    <w:rPr>
                      <w:rFonts w:hint="default"/>
                    </w:rPr>
                  </w:pPr>
                  <w:r>
                    <w:rPr>
                      <w:rFonts w:hint="default"/>
                    </w:rPr>
                    <w:t>点位</w:t>
                  </w:r>
                </w:p>
              </w:tc>
              <w:tc>
                <w:tcPr>
                  <w:tcW w:w="292" w:type="pct"/>
                  <w:vMerge w:val="restart"/>
                  <w:tcBorders>
                    <w:tl2br w:val="nil"/>
                    <w:tr2bl w:val="nil"/>
                  </w:tcBorders>
                  <w:noWrap w:val="0"/>
                  <w:tcMar>
                    <w:top w:w="0" w:type="dxa"/>
                    <w:left w:w="0" w:type="dxa"/>
                    <w:bottom w:w="0" w:type="dxa"/>
                    <w:right w:w="0" w:type="dxa"/>
                  </w:tcMar>
                  <w:vAlign w:val="center"/>
                </w:tcPr>
                <w:p w14:paraId="7FCCC775">
                  <w:pPr>
                    <w:pStyle w:val="15"/>
                    <w:bidi w:val="0"/>
                    <w:rPr>
                      <w:rFonts w:hint="default"/>
                    </w:rPr>
                  </w:pPr>
                  <w:r>
                    <w:rPr>
                      <w:rFonts w:hint="default"/>
                    </w:rPr>
                    <w:t>名称</w:t>
                  </w:r>
                </w:p>
              </w:tc>
              <w:tc>
                <w:tcPr>
                  <w:tcW w:w="1778" w:type="pct"/>
                  <w:gridSpan w:val="2"/>
                  <w:tcBorders>
                    <w:tl2br w:val="nil"/>
                    <w:tr2bl w:val="nil"/>
                  </w:tcBorders>
                  <w:noWrap w:val="0"/>
                  <w:tcMar>
                    <w:top w:w="0" w:type="dxa"/>
                    <w:left w:w="0" w:type="dxa"/>
                    <w:bottom w:w="0" w:type="dxa"/>
                    <w:right w:w="0" w:type="dxa"/>
                  </w:tcMar>
                  <w:vAlign w:val="center"/>
                </w:tcPr>
                <w:p w14:paraId="1DF533DF">
                  <w:pPr>
                    <w:pStyle w:val="15"/>
                    <w:bidi w:val="0"/>
                    <w:rPr>
                      <w:rFonts w:hint="eastAsia"/>
                      <w:lang w:val="en-US" w:eastAsia="zh-CN"/>
                    </w:rPr>
                  </w:pPr>
                  <w:r>
                    <w:rPr>
                      <w:rFonts w:hint="eastAsia"/>
                      <w:lang w:val="en-US" w:eastAsia="zh-CN"/>
                    </w:rPr>
                    <w:t>坐标</w:t>
                  </w:r>
                </w:p>
              </w:tc>
              <w:tc>
                <w:tcPr>
                  <w:tcW w:w="2107" w:type="pct"/>
                  <w:vMerge w:val="restart"/>
                  <w:tcBorders>
                    <w:tl2br w:val="nil"/>
                    <w:tr2bl w:val="nil"/>
                  </w:tcBorders>
                  <w:noWrap w:val="0"/>
                  <w:tcMar>
                    <w:top w:w="0" w:type="dxa"/>
                    <w:left w:w="0" w:type="dxa"/>
                    <w:bottom w:w="0" w:type="dxa"/>
                    <w:right w:w="0" w:type="dxa"/>
                  </w:tcMar>
                  <w:vAlign w:val="center"/>
                </w:tcPr>
                <w:p w14:paraId="739BE695">
                  <w:pPr>
                    <w:pStyle w:val="15"/>
                    <w:bidi w:val="0"/>
                    <w:rPr>
                      <w:rFonts w:hint="default"/>
                      <w:lang w:val="en-US" w:eastAsia="zh-CN"/>
                    </w:rPr>
                  </w:pPr>
                  <w:r>
                    <w:rPr>
                      <w:rFonts w:hint="eastAsia"/>
                      <w:lang w:val="en-US" w:eastAsia="zh-CN"/>
                    </w:rPr>
                    <w:t>监测内容</w:t>
                  </w:r>
                </w:p>
              </w:tc>
            </w:tr>
            <w:tr w14:paraId="68BC9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2" w:type="pct"/>
                  <w:vMerge w:val="continue"/>
                  <w:tcBorders>
                    <w:tl2br w:val="nil"/>
                    <w:tr2bl w:val="nil"/>
                  </w:tcBorders>
                  <w:noWrap w:val="0"/>
                  <w:tcMar>
                    <w:top w:w="0" w:type="dxa"/>
                    <w:left w:w="0" w:type="dxa"/>
                    <w:bottom w:w="0" w:type="dxa"/>
                    <w:right w:w="0" w:type="dxa"/>
                  </w:tcMar>
                  <w:vAlign w:val="center"/>
                </w:tcPr>
                <w:p w14:paraId="12C625B2">
                  <w:pPr>
                    <w:pStyle w:val="15"/>
                    <w:bidi w:val="0"/>
                  </w:pPr>
                </w:p>
              </w:tc>
              <w:tc>
                <w:tcPr>
                  <w:tcW w:w="179" w:type="pct"/>
                  <w:vMerge w:val="continue"/>
                  <w:tcBorders>
                    <w:tl2br w:val="nil"/>
                    <w:tr2bl w:val="nil"/>
                  </w:tcBorders>
                  <w:noWrap w:val="0"/>
                  <w:tcMar>
                    <w:top w:w="0" w:type="dxa"/>
                    <w:left w:w="0" w:type="dxa"/>
                    <w:bottom w:w="0" w:type="dxa"/>
                    <w:right w:w="0" w:type="dxa"/>
                  </w:tcMar>
                  <w:vAlign w:val="center"/>
                </w:tcPr>
                <w:p w14:paraId="1B7006A4">
                  <w:pPr>
                    <w:pStyle w:val="15"/>
                    <w:bidi w:val="0"/>
                  </w:pPr>
                </w:p>
              </w:tc>
              <w:tc>
                <w:tcPr>
                  <w:tcW w:w="292" w:type="pct"/>
                  <w:vMerge w:val="continue"/>
                  <w:tcBorders>
                    <w:tl2br w:val="nil"/>
                    <w:tr2bl w:val="nil"/>
                  </w:tcBorders>
                  <w:noWrap w:val="0"/>
                  <w:tcMar>
                    <w:top w:w="0" w:type="dxa"/>
                    <w:left w:w="0" w:type="dxa"/>
                    <w:bottom w:w="0" w:type="dxa"/>
                    <w:right w:w="0" w:type="dxa"/>
                  </w:tcMar>
                  <w:vAlign w:val="center"/>
                </w:tcPr>
                <w:p w14:paraId="4D45A6C0">
                  <w:pPr>
                    <w:pStyle w:val="15"/>
                    <w:bidi w:val="0"/>
                  </w:pPr>
                </w:p>
              </w:tc>
              <w:tc>
                <w:tcPr>
                  <w:tcW w:w="848" w:type="pct"/>
                  <w:tcBorders>
                    <w:tl2br w:val="nil"/>
                    <w:tr2bl w:val="nil"/>
                  </w:tcBorders>
                  <w:shd w:val="clear" w:color="auto" w:fill="auto"/>
                  <w:noWrap w:val="0"/>
                  <w:tcMar>
                    <w:top w:w="0" w:type="dxa"/>
                    <w:left w:w="0" w:type="dxa"/>
                    <w:bottom w:w="0" w:type="dxa"/>
                    <w:right w:w="0" w:type="dxa"/>
                  </w:tcMar>
                  <w:vAlign w:val="center"/>
                </w:tcPr>
                <w:p w14:paraId="0086F814">
                  <w:pPr>
                    <w:pStyle w:val="15"/>
                    <w:bidi w:val="0"/>
                    <w:rPr>
                      <w:rFonts w:hint="default"/>
                      <w:lang w:val="en-US" w:eastAsia="zh-CN"/>
                    </w:rPr>
                  </w:pPr>
                  <w:r>
                    <w:rPr>
                      <w:rFonts w:hint="eastAsia"/>
                      <w:lang w:val="en-US" w:eastAsia="zh-CN"/>
                    </w:rPr>
                    <w:t>东经</w:t>
                  </w:r>
                </w:p>
              </w:tc>
              <w:tc>
                <w:tcPr>
                  <w:tcW w:w="929" w:type="pct"/>
                  <w:tcBorders>
                    <w:tl2br w:val="nil"/>
                    <w:tr2bl w:val="nil"/>
                  </w:tcBorders>
                  <w:shd w:val="clear" w:color="auto" w:fill="auto"/>
                  <w:noWrap w:val="0"/>
                  <w:tcMar>
                    <w:top w:w="0" w:type="dxa"/>
                    <w:left w:w="0" w:type="dxa"/>
                    <w:bottom w:w="0" w:type="dxa"/>
                    <w:right w:w="0" w:type="dxa"/>
                  </w:tcMar>
                  <w:vAlign w:val="center"/>
                </w:tcPr>
                <w:p w14:paraId="118087D0">
                  <w:pPr>
                    <w:pStyle w:val="15"/>
                    <w:bidi w:val="0"/>
                    <w:rPr>
                      <w:rFonts w:hint="eastAsia"/>
                      <w:lang w:val="en-US" w:eastAsia="zh-CN"/>
                    </w:rPr>
                  </w:pPr>
                  <w:r>
                    <w:rPr>
                      <w:rFonts w:hint="eastAsia"/>
                      <w:lang w:val="en-US" w:eastAsia="zh-CN"/>
                    </w:rPr>
                    <w:t>北纬</w:t>
                  </w:r>
                </w:p>
              </w:tc>
              <w:tc>
                <w:tcPr>
                  <w:tcW w:w="2107" w:type="pct"/>
                  <w:vMerge w:val="continue"/>
                  <w:tcBorders>
                    <w:tl2br w:val="nil"/>
                    <w:tr2bl w:val="nil"/>
                  </w:tcBorders>
                  <w:noWrap w:val="0"/>
                  <w:tcMar>
                    <w:top w:w="0" w:type="dxa"/>
                    <w:left w:w="0" w:type="dxa"/>
                    <w:bottom w:w="0" w:type="dxa"/>
                    <w:right w:w="0" w:type="dxa"/>
                  </w:tcMar>
                  <w:vAlign w:val="center"/>
                </w:tcPr>
                <w:p w14:paraId="56C9813A">
                  <w:pPr>
                    <w:pStyle w:val="15"/>
                    <w:bidi w:val="0"/>
                  </w:pPr>
                </w:p>
              </w:tc>
            </w:tr>
            <w:tr w14:paraId="6B84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restart"/>
                  <w:tcBorders>
                    <w:tl2br w:val="nil"/>
                    <w:tr2bl w:val="nil"/>
                  </w:tcBorders>
                  <w:noWrap w:val="0"/>
                  <w:tcMar>
                    <w:top w:w="0" w:type="dxa"/>
                    <w:left w:w="0" w:type="dxa"/>
                    <w:bottom w:w="0" w:type="dxa"/>
                    <w:right w:w="0" w:type="dxa"/>
                  </w:tcMar>
                  <w:vAlign w:val="center"/>
                </w:tcPr>
                <w:p w14:paraId="2CB5ECCE">
                  <w:pPr>
                    <w:pStyle w:val="15"/>
                    <w:bidi w:val="0"/>
                    <w:rPr>
                      <w:rFonts w:hint="eastAsia"/>
                      <w:lang w:val="en-US" w:eastAsia="zh-CN"/>
                    </w:rPr>
                  </w:pPr>
                  <w:r>
                    <w:rPr>
                      <w:rFonts w:hint="eastAsia"/>
                    </w:rPr>
                    <w:t>202</w:t>
                  </w:r>
                  <w:r>
                    <w:rPr>
                      <w:rFonts w:hint="eastAsia"/>
                      <w:lang w:val="en-US" w:eastAsia="zh-CN"/>
                    </w:rPr>
                    <w:t>6-01-17</w:t>
                  </w:r>
                </w:p>
                <w:p w14:paraId="71EC32DA">
                  <w:pPr>
                    <w:pStyle w:val="15"/>
                    <w:bidi w:val="0"/>
                    <w:rPr>
                      <w:rFonts w:hint="default"/>
                      <w:lang w:val="en-US" w:eastAsia="zh-CN"/>
                    </w:rPr>
                  </w:pPr>
                  <w:r>
                    <w:rPr>
                      <w:rFonts w:hint="eastAsia"/>
                      <w:lang w:val="en-US" w:eastAsia="zh-CN"/>
                    </w:rPr>
                    <w:t>~01-24</w:t>
                  </w:r>
                </w:p>
              </w:tc>
              <w:tc>
                <w:tcPr>
                  <w:tcW w:w="179" w:type="pct"/>
                  <w:tcBorders>
                    <w:tl2br w:val="nil"/>
                    <w:tr2bl w:val="nil"/>
                  </w:tcBorders>
                  <w:noWrap w:val="0"/>
                  <w:tcMar>
                    <w:top w:w="0" w:type="dxa"/>
                    <w:left w:w="0" w:type="dxa"/>
                    <w:bottom w:w="0" w:type="dxa"/>
                    <w:right w:w="0" w:type="dxa"/>
                  </w:tcMar>
                  <w:vAlign w:val="center"/>
                </w:tcPr>
                <w:p w14:paraId="0BB0655A">
                  <w:pPr>
                    <w:pStyle w:val="15"/>
                    <w:bidi w:val="0"/>
                    <w:rPr>
                      <w:rFonts w:hint="default"/>
                    </w:rPr>
                  </w:pPr>
                  <w:r>
                    <w:rPr>
                      <w:rFonts w:hint="default"/>
                    </w:rPr>
                    <w:t>1#</w:t>
                  </w:r>
                </w:p>
              </w:tc>
              <w:tc>
                <w:tcPr>
                  <w:tcW w:w="292" w:type="pct"/>
                  <w:tcBorders>
                    <w:tl2br w:val="nil"/>
                    <w:tr2bl w:val="nil"/>
                  </w:tcBorders>
                  <w:noWrap w:val="0"/>
                  <w:tcMar>
                    <w:top w:w="0" w:type="dxa"/>
                    <w:left w:w="0" w:type="dxa"/>
                    <w:bottom w:w="0" w:type="dxa"/>
                    <w:right w:w="0" w:type="dxa"/>
                  </w:tcMar>
                  <w:vAlign w:val="center"/>
                </w:tcPr>
                <w:p w14:paraId="0B6C94A8">
                  <w:pPr>
                    <w:pStyle w:val="15"/>
                    <w:bidi w:val="0"/>
                    <w:rPr>
                      <w:rFonts w:hint="default"/>
                    </w:rPr>
                  </w:pPr>
                  <w:r>
                    <w:rPr>
                      <w:rFonts w:hint="default"/>
                    </w:rPr>
                    <w:t>厂址</w:t>
                  </w:r>
                </w:p>
              </w:tc>
              <w:tc>
                <w:tcPr>
                  <w:tcW w:w="848" w:type="pct"/>
                  <w:tcBorders>
                    <w:tl2br w:val="nil"/>
                    <w:tr2bl w:val="nil"/>
                  </w:tcBorders>
                  <w:noWrap w:val="0"/>
                  <w:tcMar>
                    <w:top w:w="0" w:type="dxa"/>
                    <w:left w:w="0" w:type="dxa"/>
                    <w:bottom w:w="0" w:type="dxa"/>
                    <w:right w:w="0" w:type="dxa"/>
                  </w:tcMar>
                  <w:vAlign w:val="center"/>
                </w:tcPr>
                <w:p w14:paraId="55F6D60F">
                  <w:pPr>
                    <w:pStyle w:val="15"/>
                    <w:bidi w:val="0"/>
                    <w:rPr>
                      <w:rFonts w:hint="default"/>
                      <w:lang w:val="en-US" w:eastAsia="zh-CN"/>
                    </w:rPr>
                  </w:pPr>
                  <w:r>
                    <w:rPr>
                      <w:rFonts w:hint="default"/>
                      <w:lang w:val="en-US" w:eastAsia="zh-CN"/>
                    </w:rPr>
                    <w:t>84°52'40.8793"</w:t>
                  </w:r>
                </w:p>
              </w:tc>
              <w:tc>
                <w:tcPr>
                  <w:tcW w:w="929" w:type="pct"/>
                  <w:tcBorders>
                    <w:tl2br w:val="nil"/>
                    <w:tr2bl w:val="nil"/>
                  </w:tcBorders>
                  <w:noWrap w:val="0"/>
                  <w:tcMar>
                    <w:top w:w="0" w:type="dxa"/>
                    <w:left w:w="0" w:type="dxa"/>
                    <w:bottom w:w="0" w:type="dxa"/>
                    <w:right w:w="0" w:type="dxa"/>
                  </w:tcMar>
                  <w:vAlign w:val="center"/>
                </w:tcPr>
                <w:p w14:paraId="458C4443">
                  <w:pPr>
                    <w:pStyle w:val="15"/>
                    <w:bidi w:val="0"/>
                    <w:rPr>
                      <w:rFonts w:hint="eastAsia"/>
                      <w:lang w:val="en-US" w:eastAsia="zh-CN"/>
                    </w:rPr>
                  </w:pPr>
                  <w:r>
                    <w:rPr>
                      <w:rFonts w:hint="eastAsia"/>
                      <w:lang w:val="en-US" w:eastAsia="zh-CN"/>
                    </w:rPr>
                    <w:t>44°50'39.7000"</w:t>
                  </w:r>
                </w:p>
              </w:tc>
              <w:tc>
                <w:tcPr>
                  <w:tcW w:w="2107" w:type="pct"/>
                  <w:vMerge w:val="restart"/>
                  <w:tcBorders>
                    <w:tl2br w:val="nil"/>
                    <w:tr2bl w:val="nil"/>
                  </w:tcBorders>
                  <w:noWrap w:val="0"/>
                  <w:tcMar>
                    <w:top w:w="0" w:type="dxa"/>
                    <w:left w:w="0" w:type="dxa"/>
                    <w:bottom w:w="0" w:type="dxa"/>
                    <w:right w:w="0" w:type="dxa"/>
                  </w:tcMar>
                  <w:vAlign w:val="center"/>
                </w:tcPr>
                <w:p w14:paraId="715FFA78">
                  <w:pPr>
                    <w:pStyle w:val="15"/>
                    <w:bidi w:val="0"/>
                    <w:jc w:val="both"/>
                    <w:rPr>
                      <w:rFonts w:hint="eastAsia"/>
                      <w:color w:val="auto"/>
                      <w:lang w:val="en-US" w:eastAsia="zh-CN"/>
                    </w:rPr>
                  </w:pPr>
                  <w:r>
                    <w:rPr>
                      <w:rFonts w:hint="eastAsia"/>
                      <w:color w:val="auto"/>
                    </w:rPr>
                    <w:t>TSP</w:t>
                  </w:r>
                  <w:r>
                    <w:rPr>
                      <w:rFonts w:hint="eastAsia"/>
                      <w:color w:val="auto"/>
                      <w:lang w:eastAsia="zh-CN"/>
                    </w:rPr>
                    <w:t>（</w:t>
                  </w:r>
                  <w:r>
                    <w:rPr>
                      <w:rFonts w:hint="eastAsia"/>
                      <w:color w:val="auto"/>
                      <w:lang w:val="en-US" w:eastAsia="zh-CN"/>
                    </w:rPr>
                    <w:t>日均值</w:t>
                  </w:r>
                  <w:r>
                    <w:rPr>
                      <w:rFonts w:hint="eastAsia"/>
                      <w:color w:val="auto"/>
                      <w:lang w:eastAsia="zh-CN"/>
                    </w:rPr>
                    <w:t>）</w:t>
                  </w:r>
                  <w:r>
                    <w:rPr>
                      <w:rFonts w:hint="eastAsia"/>
                      <w:color w:val="auto"/>
                      <w:lang w:val="en-US" w:eastAsia="zh-CN"/>
                    </w:rPr>
                    <w:t>连续监测7天；</w:t>
                  </w:r>
                </w:p>
                <w:p w14:paraId="37C92354">
                  <w:pPr>
                    <w:pStyle w:val="15"/>
                    <w:bidi w:val="0"/>
                    <w:jc w:val="both"/>
                    <w:rPr>
                      <w:rFonts w:hint="default"/>
                      <w:color w:val="auto"/>
                      <w:lang w:val="en-US" w:eastAsia="zh-CN"/>
                    </w:rPr>
                  </w:pPr>
                  <w:r>
                    <w:rPr>
                      <w:rFonts w:hint="eastAsia"/>
                      <w:color w:val="auto"/>
                      <w:lang w:val="en-US" w:eastAsia="zh-CN"/>
                    </w:rPr>
                    <w:t>HCl（小时值、日均值）连续监测3天</w:t>
                  </w:r>
                </w:p>
              </w:tc>
            </w:tr>
            <w:tr w14:paraId="1F05D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pct"/>
                  <w:vMerge w:val="continue"/>
                  <w:tcBorders>
                    <w:tl2br w:val="nil"/>
                    <w:tr2bl w:val="nil"/>
                  </w:tcBorders>
                  <w:noWrap w:val="0"/>
                  <w:tcMar>
                    <w:top w:w="0" w:type="dxa"/>
                    <w:left w:w="0" w:type="dxa"/>
                    <w:bottom w:w="0" w:type="dxa"/>
                    <w:right w:w="0" w:type="dxa"/>
                  </w:tcMar>
                  <w:vAlign w:val="center"/>
                </w:tcPr>
                <w:p w14:paraId="382EC692">
                  <w:pPr>
                    <w:pStyle w:val="15"/>
                    <w:bidi w:val="0"/>
                    <w:rPr>
                      <w:rFonts w:hint="default"/>
                    </w:rPr>
                  </w:pPr>
                </w:p>
              </w:tc>
              <w:tc>
                <w:tcPr>
                  <w:tcW w:w="179" w:type="pct"/>
                  <w:tcBorders>
                    <w:tl2br w:val="nil"/>
                    <w:tr2bl w:val="nil"/>
                  </w:tcBorders>
                  <w:noWrap w:val="0"/>
                  <w:tcMar>
                    <w:top w:w="0" w:type="dxa"/>
                    <w:left w:w="0" w:type="dxa"/>
                    <w:bottom w:w="0" w:type="dxa"/>
                    <w:right w:w="0" w:type="dxa"/>
                  </w:tcMar>
                  <w:vAlign w:val="center"/>
                </w:tcPr>
                <w:p w14:paraId="4CA7F792">
                  <w:pPr>
                    <w:pStyle w:val="15"/>
                    <w:bidi w:val="0"/>
                    <w:rPr>
                      <w:rFonts w:hint="default"/>
                    </w:rPr>
                  </w:pPr>
                  <w:r>
                    <w:rPr>
                      <w:rFonts w:hint="default"/>
                    </w:rPr>
                    <w:t>2#</w:t>
                  </w:r>
                </w:p>
              </w:tc>
              <w:tc>
                <w:tcPr>
                  <w:tcW w:w="292" w:type="pct"/>
                  <w:tcBorders>
                    <w:tl2br w:val="nil"/>
                    <w:tr2bl w:val="nil"/>
                  </w:tcBorders>
                  <w:noWrap w:val="0"/>
                  <w:tcMar>
                    <w:top w:w="0" w:type="dxa"/>
                    <w:left w:w="0" w:type="dxa"/>
                    <w:bottom w:w="0" w:type="dxa"/>
                    <w:right w:w="0" w:type="dxa"/>
                  </w:tcMar>
                  <w:vAlign w:val="center"/>
                </w:tcPr>
                <w:p w14:paraId="60C53A21">
                  <w:pPr>
                    <w:pStyle w:val="15"/>
                    <w:bidi w:val="0"/>
                    <w:rPr>
                      <w:rFonts w:hint="default"/>
                    </w:rPr>
                  </w:pPr>
                  <w:r>
                    <w:rPr>
                      <w:rFonts w:hint="default"/>
                    </w:rPr>
                    <w:t>厂址下风向</w:t>
                  </w:r>
                </w:p>
              </w:tc>
              <w:tc>
                <w:tcPr>
                  <w:tcW w:w="848" w:type="pct"/>
                  <w:tcBorders>
                    <w:tl2br w:val="nil"/>
                    <w:tr2bl w:val="nil"/>
                  </w:tcBorders>
                  <w:noWrap w:val="0"/>
                  <w:tcMar>
                    <w:top w:w="0" w:type="dxa"/>
                    <w:left w:w="0" w:type="dxa"/>
                    <w:bottom w:w="0" w:type="dxa"/>
                    <w:right w:w="0" w:type="dxa"/>
                  </w:tcMar>
                  <w:vAlign w:val="center"/>
                </w:tcPr>
                <w:p w14:paraId="465B6AD3">
                  <w:pPr>
                    <w:pStyle w:val="15"/>
                    <w:bidi w:val="0"/>
                    <w:rPr>
                      <w:rFonts w:hint="default"/>
                    </w:rPr>
                  </w:pPr>
                  <w:r>
                    <w:rPr>
                      <w:rFonts w:hint="default"/>
                    </w:rPr>
                    <w:t>84°53'04.8493"</w:t>
                  </w:r>
                </w:p>
              </w:tc>
              <w:tc>
                <w:tcPr>
                  <w:tcW w:w="929" w:type="pct"/>
                  <w:tcBorders>
                    <w:tl2br w:val="nil"/>
                    <w:tr2bl w:val="nil"/>
                  </w:tcBorders>
                  <w:noWrap w:val="0"/>
                  <w:tcMar>
                    <w:top w:w="0" w:type="dxa"/>
                    <w:left w:w="0" w:type="dxa"/>
                    <w:bottom w:w="0" w:type="dxa"/>
                    <w:right w:w="0" w:type="dxa"/>
                  </w:tcMar>
                  <w:vAlign w:val="center"/>
                </w:tcPr>
                <w:p w14:paraId="60FE7FFF">
                  <w:pPr>
                    <w:pStyle w:val="15"/>
                    <w:bidi w:val="0"/>
                    <w:rPr>
                      <w:rFonts w:hint="default"/>
                    </w:rPr>
                  </w:pPr>
                  <w:r>
                    <w:rPr>
                      <w:rFonts w:hint="default"/>
                    </w:rPr>
                    <w:t>44°50'22.1832"</w:t>
                  </w:r>
                </w:p>
              </w:tc>
              <w:tc>
                <w:tcPr>
                  <w:tcW w:w="2107" w:type="pct"/>
                  <w:vMerge w:val="continue"/>
                  <w:tcBorders>
                    <w:tl2br w:val="nil"/>
                    <w:tr2bl w:val="nil"/>
                  </w:tcBorders>
                  <w:noWrap w:val="0"/>
                  <w:tcMar>
                    <w:top w:w="0" w:type="dxa"/>
                    <w:left w:w="0" w:type="dxa"/>
                    <w:bottom w:w="0" w:type="dxa"/>
                    <w:right w:w="0" w:type="dxa"/>
                  </w:tcMar>
                  <w:vAlign w:val="center"/>
                </w:tcPr>
                <w:p w14:paraId="4026BCCB">
                  <w:pPr>
                    <w:pStyle w:val="15"/>
                    <w:bidi w:val="0"/>
                    <w:rPr>
                      <w:rFonts w:hint="default"/>
                    </w:rPr>
                  </w:pPr>
                </w:p>
              </w:tc>
            </w:tr>
          </w:tbl>
          <w:p w14:paraId="00995C81">
            <w:pPr>
              <w:rPr>
                <w:rFonts w:hint="eastAsia"/>
                <w:color w:val="auto"/>
                <w:lang w:val="en-US" w:eastAsia="zh-CN"/>
              </w:rPr>
            </w:pPr>
            <w:r>
              <w:rPr>
                <w:rFonts w:hint="eastAsia"/>
                <w:color w:val="auto"/>
                <w:lang w:val="en-US" w:eastAsia="zh-CN"/>
              </w:rPr>
              <w:t>（2）分析方法</w:t>
            </w:r>
          </w:p>
          <w:p w14:paraId="19452605">
            <w:pPr>
              <w:ind w:firstLine="480"/>
              <w:outlineLvl w:val="9"/>
              <w:rPr>
                <w:rFonts w:cs="Times New Roman"/>
                <w:color w:val="auto"/>
                <w:highlight w:val="none"/>
                <w:lang w:val="zh-CN"/>
              </w:rPr>
            </w:pPr>
            <w:r>
              <w:rPr>
                <w:rFonts w:cs="Times New Roman"/>
                <w:color w:val="auto"/>
                <w:highlight w:val="none"/>
                <w:lang w:val="zh-CN"/>
              </w:rPr>
              <w:t>本次环境空气现状监测分析方法见</w:t>
            </w:r>
            <w:r>
              <w:rPr>
                <w:rFonts w:hint="eastAsia" w:cs="Times New Roman"/>
                <w:color w:val="auto"/>
                <w:highlight w:val="none"/>
                <w:lang w:val="en-US" w:eastAsia="zh-CN"/>
              </w:rPr>
              <w:t>下表15</w:t>
            </w:r>
            <w:r>
              <w:rPr>
                <w:rFonts w:cs="Times New Roman"/>
                <w:color w:val="auto"/>
                <w:highlight w:val="none"/>
                <w:lang w:val="zh-CN"/>
              </w:rPr>
              <w:t>。</w:t>
            </w:r>
          </w:p>
          <w:p w14:paraId="0D2B63C4">
            <w:pPr>
              <w:pStyle w:val="16"/>
              <w:bidi w:val="0"/>
              <w:rPr>
                <w:color w:val="auto"/>
                <w:highlight w:val="none"/>
              </w:rPr>
            </w:pPr>
            <w:r>
              <w:t xml:space="preserve">表 </w:t>
            </w:r>
            <w:r>
              <w:fldChar w:fldCharType="begin"/>
            </w:r>
            <w:r>
              <w:instrText xml:space="preserve"> SEQ 表 \* ARABIC </w:instrText>
            </w:r>
            <w:r>
              <w:fldChar w:fldCharType="separate"/>
            </w:r>
            <w:r>
              <w:t>15</w:t>
            </w:r>
            <w:r>
              <w:fldChar w:fldCharType="end"/>
            </w:r>
            <w:r>
              <w:rPr>
                <w:rFonts w:hint="eastAsia"/>
                <w:color w:val="auto"/>
                <w:lang w:val="en-US" w:eastAsia="zh-CN"/>
              </w:rPr>
              <w:t xml:space="preserve">  </w:t>
            </w:r>
            <w:r>
              <w:rPr>
                <w:color w:val="auto"/>
              </w:rPr>
              <w:t>环境空气现状监测分析方法一览表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5249"/>
              <w:gridCol w:w="1916"/>
            </w:tblGrid>
            <w:tr w14:paraId="06FEE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9" w:type="pct"/>
                  <w:tcBorders>
                    <w:tl2br w:val="nil"/>
                    <w:tr2bl w:val="nil"/>
                  </w:tcBorders>
                  <w:noWrap w:val="0"/>
                  <w:tcMar>
                    <w:top w:w="0" w:type="dxa"/>
                    <w:left w:w="0" w:type="dxa"/>
                    <w:bottom w:w="0" w:type="dxa"/>
                    <w:right w:w="0" w:type="dxa"/>
                  </w:tcMar>
                  <w:vAlign w:val="center"/>
                </w:tcPr>
                <w:p w14:paraId="29E09FF5">
                  <w:pPr>
                    <w:pStyle w:val="15"/>
                    <w:widowControl w:val="0"/>
                    <w:bidi w:val="0"/>
                    <w:rPr>
                      <w:rFonts w:hint="eastAsia"/>
                      <w:lang w:eastAsia="zh-CN"/>
                    </w:rPr>
                  </w:pPr>
                  <w:r>
                    <w:rPr>
                      <w:rFonts w:hint="eastAsia"/>
                      <w:lang w:eastAsia="zh-CN"/>
                    </w:rPr>
                    <w:t>检测项目</w:t>
                  </w:r>
                </w:p>
              </w:tc>
              <w:tc>
                <w:tcPr>
                  <w:tcW w:w="3304" w:type="pct"/>
                  <w:tcBorders>
                    <w:tl2br w:val="nil"/>
                    <w:tr2bl w:val="nil"/>
                  </w:tcBorders>
                  <w:noWrap w:val="0"/>
                  <w:tcMar>
                    <w:top w:w="0" w:type="dxa"/>
                    <w:left w:w="0" w:type="dxa"/>
                    <w:bottom w:w="0" w:type="dxa"/>
                    <w:right w:w="0" w:type="dxa"/>
                  </w:tcMar>
                  <w:vAlign w:val="center"/>
                </w:tcPr>
                <w:p w14:paraId="70F4B791">
                  <w:pPr>
                    <w:pStyle w:val="15"/>
                    <w:widowControl w:val="0"/>
                    <w:bidi w:val="0"/>
                    <w:rPr>
                      <w:rFonts w:hint="eastAsia"/>
                      <w:lang w:eastAsia="zh-CN"/>
                    </w:rPr>
                  </w:pPr>
                  <w:r>
                    <w:rPr>
                      <w:rFonts w:hint="eastAsia"/>
                      <w:lang w:eastAsia="zh-CN"/>
                    </w:rPr>
                    <w:t>检测依据</w:t>
                  </w:r>
                </w:p>
              </w:tc>
              <w:tc>
                <w:tcPr>
                  <w:tcW w:w="1206" w:type="pct"/>
                  <w:tcBorders>
                    <w:tl2br w:val="nil"/>
                    <w:tr2bl w:val="nil"/>
                  </w:tcBorders>
                  <w:noWrap w:val="0"/>
                  <w:tcMar>
                    <w:top w:w="0" w:type="dxa"/>
                    <w:left w:w="0" w:type="dxa"/>
                    <w:bottom w:w="0" w:type="dxa"/>
                    <w:right w:w="0" w:type="dxa"/>
                  </w:tcMar>
                  <w:vAlign w:val="center"/>
                </w:tcPr>
                <w:p w14:paraId="3B676BFB">
                  <w:pPr>
                    <w:pStyle w:val="15"/>
                    <w:widowControl w:val="0"/>
                    <w:bidi w:val="0"/>
                    <w:rPr>
                      <w:rFonts w:hint="eastAsia"/>
                      <w:lang w:eastAsia="zh-CN"/>
                    </w:rPr>
                  </w:pPr>
                  <w:r>
                    <w:rPr>
                      <w:rFonts w:hint="eastAsia"/>
                      <w:lang w:eastAsia="zh-CN"/>
                    </w:rPr>
                    <w:t>主检仪器</w:t>
                  </w:r>
                </w:p>
              </w:tc>
            </w:tr>
            <w:tr w14:paraId="6C7AD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9" w:type="pct"/>
                  <w:tcBorders>
                    <w:tl2br w:val="nil"/>
                    <w:tr2bl w:val="nil"/>
                  </w:tcBorders>
                  <w:noWrap w:val="0"/>
                  <w:tcMar>
                    <w:top w:w="0" w:type="dxa"/>
                    <w:left w:w="0" w:type="dxa"/>
                    <w:bottom w:w="0" w:type="dxa"/>
                    <w:right w:w="0" w:type="dxa"/>
                  </w:tcMar>
                  <w:vAlign w:val="center"/>
                </w:tcPr>
                <w:p w14:paraId="693B28B6">
                  <w:pPr>
                    <w:pStyle w:val="15"/>
                    <w:widowControl w:val="0"/>
                    <w:bidi w:val="0"/>
                    <w:rPr>
                      <w:rFonts w:hint="eastAsia"/>
                      <w:lang w:val="en-US" w:eastAsia="zh-CN"/>
                    </w:rPr>
                  </w:pPr>
                  <w:r>
                    <w:rPr>
                      <w:rFonts w:hint="default"/>
                      <w:lang w:val="en-US" w:eastAsia="zh-CN"/>
                    </w:rPr>
                    <w:t>总悬浮颗粒物</w:t>
                  </w:r>
                </w:p>
              </w:tc>
              <w:tc>
                <w:tcPr>
                  <w:tcW w:w="3304" w:type="pct"/>
                  <w:tcBorders>
                    <w:tl2br w:val="nil"/>
                    <w:tr2bl w:val="nil"/>
                  </w:tcBorders>
                  <w:shd w:val="clear" w:color="auto" w:fill="auto"/>
                  <w:noWrap w:val="0"/>
                  <w:tcMar>
                    <w:top w:w="0" w:type="dxa"/>
                    <w:left w:w="0" w:type="dxa"/>
                    <w:bottom w:w="0" w:type="dxa"/>
                    <w:right w:w="0" w:type="dxa"/>
                  </w:tcMar>
                  <w:vAlign w:val="center"/>
                </w:tcPr>
                <w:p w14:paraId="46CC3A68">
                  <w:pPr>
                    <w:pStyle w:val="15"/>
                    <w:widowControl w:val="0"/>
                    <w:bidi w:val="0"/>
                    <w:rPr>
                      <w:rFonts w:hint="default"/>
                      <w:lang w:val="en-US" w:eastAsia="zh-CN"/>
                    </w:rPr>
                  </w:pPr>
                  <w:r>
                    <w:rPr>
                      <w:rFonts w:hint="default"/>
                      <w:lang w:val="en-US" w:eastAsia="zh-CN"/>
                    </w:rPr>
                    <w:t>HJ 1263-2022环境空气 总悬浮颗粒物的测定 重量法</w:t>
                  </w:r>
                </w:p>
              </w:tc>
              <w:tc>
                <w:tcPr>
                  <w:tcW w:w="1206" w:type="pct"/>
                  <w:tcBorders>
                    <w:tl2br w:val="nil"/>
                    <w:tr2bl w:val="nil"/>
                  </w:tcBorders>
                  <w:shd w:val="clear" w:color="auto" w:fill="auto"/>
                  <w:noWrap w:val="0"/>
                  <w:tcMar>
                    <w:top w:w="0" w:type="dxa"/>
                    <w:left w:w="0" w:type="dxa"/>
                    <w:bottom w:w="0" w:type="dxa"/>
                    <w:right w:w="0" w:type="dxa"/>
                  </w:tcMar>
                  <w:vAlign w:val="center"/>
                </w:tcPr>
                <w:p w14:paraId="4BB8417F">
                  <w:pPr>
                    <w:pStyle w:val="15"/>
                    <w:widowControl w:val="0"/>
                    <w:bidi w:val="0"/>
                    <w:rPr>
                      <w:rFonts w:hint="default"/>
                      <w:lang w:val="en-US" w:eastAsia="zh-CN"/>
                    </w:rPr>
                  </w:pPr>
                  <w:r>
                    <w:rPr>
                      <w:rFonts w:hint="default"/>
                      <w:lang w:val="en-US" w:eastAsia="zh-CN"/>
                    </w:rPr>
                    <w:t>PT-104/55S电子天平XJZC511</w:t>
                  </w:r>
                </w:p>
              </w:tc>
            </w:tr>
            <w:tr w14:paraId="6EC07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9" w:type="pct"/>
                  <w:tcBorders>
                    <w:tl2br w:val="nil"/>
                    <w:tr2bl w:val="nil"/>
                  </w:tcBorders>
                  <w:noWrap w:val="0"/>
                  <w:tcMar>
                    <w:top w:w="0" w:type="dxa"/>
                    <w:left w:w="0" w:type="dxa"/>
                    <w:bottom w:w="0" w:type="dxa"/>
                    <w:right w:w="0" w:type="dxa"/>
                  </w:tcMar>
                  <w:vAlign w:val="center"/>
                </w:tcPr>
                <w:p w14:paraId="0EA7A1F9">
                  <w:pPr>
                    <w:pStyle w:val="15"/>
                    <w:widowControl w:val="0"/>
                    <w:bidi w:val="0"/>
                    <w:rPr>
                      <w:rFonts w:hint="default"/>
                      <w:lang w:val="en-US" w:eastAsia="zh-CN"/>
                    </w:rPr>
                  </w:pPr>
                  <w:r>
                    <w:rPr>
                      <w:rFonts w:hint="eastAsia"/>
                      <w:lang w:val="en-US" w:eastAsia="zh-CN"/>
                    </w:rPr>
                    <w:t>氯化氢</w:t>
                  </w:r>
                </w:p>
              </w:tc>
              <w:tc>
                <w:tcPr>
                  <w:tcW w:w="3304" w:type="pct"/>
                  <w:tcBorders>
                    <w:tl2br w:val="nil"/>
                    <w:tr2bl w:val="nil"/>
                  </w:tcBorders>
                  <w:noWrap w:val="0"/>
                  <w:tcMar>
                    <w:top w:w="0" w:type="dxa"/>
                    <w:left w:w="0" w:type="dxa"/>
                    <w:bottom w:w="0" w:type="dxa"/>
                    <w:right w:w="0" w:type="dxa"/>
                  </w:tcMar>
                  <w:vAlign w:val="center"/>
                </w:tcPr>
                <w:p w14:paraId="306CFDA1">
                  <w:pPr>
                    <w:pStyle w:val="15"/>
                    <w:widowControl w:val="0"/>
                    <w:bidi w:val="0"/>
                    <w:rPr>
                      <w:rFonts w:hint="default"/>
                      <w:lang w:val="en-US" w:eastAsia="zh-CN"/>
                    </w:rPr>
                  </w:pPr>
                  <w:r>
                    <w:rPr>
                      <w:rFonts w:hint="default"/>
                      <w:lang w:val="en-US" w:eastAsia="zh-CN"/>
                    </w:rPr>
                    <w:t>HJ 549-2016环境空气和废气氯化氢的测定 离子色谱法</w:t>
                  </w:r>
                </w:p>
              </w:tc>
              <w:tc>
                <w:tcPr>
                  <w:tcW w:w="1206" w:type="pct"/>
                  <w:tcBorders>
                    <w:tl2br w:val="nil"/>
                    <w:tr2bl w:val="nil"/>
                  </w:tcBorders>
                  <w:noWrap w:val="0"/>
                  <w:tcMar>
                    <w:top w:w="0" w:type="dxa"/>
                    <w:left w:w="0" w:type="dxa"/>
                    <w:bottom w:w="0" w:type="dxa"/>
                    <w:right w:w="0" w:type="dxa"/>
                  </w:tcMar>
                  <w:vAlign w:val="center"/>
                </w:tcPr>
                <w:p w14:paraId="6AABE1F5">
                  <w:pPr>
                    <w:pStyle w:val="15"/>
                    <w:widowControl w:val="0"/>
                    <w:bidi w:val="0"/>
                    <w:rPr>
                      <w:rFonts w:hint="default"/>
                      <w:lang w:val="en-US" w:eastAsia="zh-CN"/>
                    </w:rPr>
                  </w:pPr>
                  <w:r>
                    <w:rPr>
                      <w:rFonts w:hint="default"/>
                      <w:lang w:val="en-US" w:eastAsia="zh-CN"/>
                    </w:rPr>
                    <w:t>PIC-10A离子色谱仪XJZC</w:t>
                  </w:r>
                  <w:r>
                    <w:rPr>
                      <w:rFonts w:hint="eastAsia"/>
                      <w:lang w:val="en-US" w:eastAsia="zh-CN"/>
                    </w:rPr>
                    <w:t>318</w:t>
                  </w:r>
                </w:p>
              </w:tc>
            </w:tr>
          </w:tbl>
          <w:p w14:paraId="6B3529D0">
            <w:pPr>
              <w:rPr>
                <w:rFonts w:hint="eastAsia"/>
                <w:color w:val="auto"/>
                <w:lang w:val="en-US" w:eastAsia="zh-CN"/>
              </w:rPr>
            </w:pPr>
            <w:r>
              <w:rPr>
                <w:rFonts w:hint="eastAsia"/>
                <w:color w:val="auto"/>
                <w:lang w:val="en-US" w:eastAsia="zh-CN"/>
              </w:rPr>
              <w:t>（3）评价标准</w:t>
            </w:r>
          </w:p>
          <w:p w14:paraId="388ED08B">
            <w:pPr>
              <w:bidi w:val="0"/>
              <w:rPr>
                <w:rFonts w:hint="eastAsia"/>
                <w:lang w:val="en-US" w:eastAsia="zh-CN"/>
              </w:rPr>
            </w:pPr>
            <w:r>
              <w:rPr>
                <w:rFonts w:hint="eastAsia"/>
                <w:lang w:val="en-US" w:eastAsia="zh-CN"/>
              </w:rPr>
              <w:t>TSP执行《环境空气质量标准》（GB 3095-2026）中表1过渡阶段浓度限值二级标准；HCl执行《环境影响评价技术导则 大气环境》（HJ 2.2-2018）附录D中标准限值。</w:t>
            </w:r>
          </w:p>
          <w:p w14:paraId="69F68CB0">
            <w:pPr>
              <w:rPr>
                <w:rFonts w:hint="default"/>
                <w:color w:val="auto"/>
                <w:lang w:val="en-US" w:eastAsia="zh-CN"/>
              </w:rPr>
            </w:pPr>
            <w:r>
              <w:rPr>
                <w:rFonts w:hint="eastAsia"/>
                <w:lang w:val="en-US" w:eastAsia="zh-CN"/>
              </w:rPr>
              <w:t>（4）</w:t>
            </w:r>
            <w:r>
              <w:rPr>
                <w:rFonts w:hint="eastAsia"/>
                <w:color w:val="auto"/>
                <w:lang w:val="en-US" w:eastAsia="zh-CN"/>
              </w:rPr>
              <w:t>评价方法</w:t>
            </w:r>
          </w:p>
          <w:p w14:paraId="77B0BBC3">
            <w:pPr>
              <w:ind w:firstLine="480"/>
              <w:outlineLvl w:val="9"/>
              <w:rPr>
                <w:rFonts w:cs="Times New Roman"/>
                <w:color w:val="auto"/>
                <w:highlight w:val="none"/>
              </w:rPr>
            </w:pPr>
            <w:r>
              <w:rPr>
                <w:rFonts w:cs="Times New Roman"/>
                <w:color w:val="auto"/>
                <w:highlight w:val="none"/>
              </w:rPr>
              <w:t>环境空气质量现状评价方法采用统计监测浓度范围，同时计算其超标率及最大值超标倍数。采用单因子污染指数法进行评价，计算公式如下：</w:t>
            </w:r>
          </w:p>
          <w:p w14:paraId="681548CA">
            <w:pPr>
              <w:bidi w:val="0"/>
              <w:ind w:left="0" w:leftChars="0" w:firstLine="0" w:firstLineChars="0"/>
              <w:jc w:val="center"/>
              <w:rPr>
                <w:rFonts w:hint="eastAsia"/>
                <w:color w:val="auto"/>
                <w:lang w:val="en-US" w:eastAsia="zh-CN"/>
              </w:rPr>
            </w:pPr>
            <w:r>
              <w:rPr>
                <w:rFonts w:hint="default"/>
                <w:color w:val="auto"/>
                <w:lang w:val="en-US" w:eastAsia="zh-CN"/>
              </w:rPr>
              <w:drawing>
                <wp:inline distT="0" distB="0" distL="114300" distR="114300">
                  <wp:extent cx="914400" cy="485775"/>
                  <wp:effectExtent l="0" t="0" r="0" b="9525"/>
                  <wp:docPr id="58"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2"/>
                          <pic:cNvPicPr>
                            <a:picLocks noChangeAspect="1"/>
                          </pic:cNvPicPr>
                        </pic:nvPicPr>
                        <pic:blipFill>
                          <a:blip r:embed="rId11"/>
                          <a:stretch>
                            <a:fillRect/>
                          </a:stretch>
                        </pic:blipFill>
                        <pic:spPr>
                          <a:xfrm>
                            <a:off x="0" y="0"/>
                            <a:ext cx="914400" cy="485775"/>
                          </a:xfrm>
                          <a:prstGeom prst="rect">
                            <a:avLst/>
                          </a:prstGeom>
                          <a:noFill/>
                          <a:ln>
                            <a:noFill/>
                          </a:ln>
                        </pic:spPr>
                      </pic:pic>
                    </a:graphicData>
                  </a:graphic>
                </wp:inline>
              </w:drawing>
            </w:r>
          </w:p>
          <w:p w14:paraId="0CE71C22">
            <w:pPr>
              <w:bidi w:val="0"/>
              <w:outlineLvl w:val="9"/>
              <w:rPr>
                <w:rFonts w:hint="eastAsia"/>
                <w:color w:val="auto"/>
                <w:highlight w:val="none"/>
              </w:rPr>
            </w:pPr>
            <w:r>
              <w:rPr>
                <w:rFonts w:hint="eastAsia"/>
                <w:color w:val="auto"/>
                <w:highlight w:val="none"/>
              </w:rPr>
              <w:t>式中：Pi—第i种污染物的最大地面质量浓度占标率，%；</w:t>
            </w:r>
          </w:p>
          <w:p w14:paraId="55B9AF9B">
            <w:pPr>
              <w:bidi w:val="0"/>
              <w:outlineLvl w:val="9"/>
              <w:rPr>
                <w:rFonts w:hint="eastAsia"/>
                <w:color w:val="auto"/>
                <w:highlight w:val="none"/>
              </w:rPr>
            </w:pPr>
            <w:r>
              <w:rPr>
                <w:rFonts w:hint="eastAsia"/>
                <w:color w:val="auto"/>
                <w:highlight w:val="none"/>
              </w:rPr>
              <w:t>Ci—污染物i的实测浓度，µg/m</w:t>
            </w:r>
            <w:r>
              <w:rPr>
                <w:rFonts w:hint="eastAsia"/>
                <w:color w:val="auto"/>
                <w:highlight w:val="none"/>
                <w:vertAlign w:val="superscript"/>
                <w:lang w:val="en-US" w:eastAsia="zh-CN"/>
              </w:rPr>
              <w:t>3</w:t>
            </w:r>
            <w:r>
              <w:rPr>
                <w:rFonts w:hint="eastAsia"/>
                <w:color w:val="auto"/>
                <w:highlight w:val="none"/>
              </w:rPr>
              <w:t>；</w:t>
            </w:r>
          </w:p>
          <w:p w14:paraId="6DF50D04">
            <w:pPr>
              <w:rPr>
                <w:rFonts w:hint="eastAsia"/>
                <w:color w:val="auto"/>
                <w:lang w:val="en-US" w:eastAsia="zh-CN"/>
              </w:rPr>
            </w:pPr>
            <w:r>
              <w:rPr>
                <w:rFonts w:hint="eastAsia"/>
                <w:color w:val="auto"/>
                <w:highlight w:val="none"/>
              </w:rPr>
              <w:t>Coi—污染物i的环境空气标准浓度，µg/m</w:t>
            </w:r>
            <w:r>
              <w:rPr>
                <w:rFonts w:hint="eastAsia"/>
                <w:color w:val="auto"/>
                <w:highlight w:val="none"/>
                <w:vertAlign w:val="superscript"/>
                <w:lang w:val="en-US" w:eastAsia="zh-CN"/>
              </w:rPr>
              <w:t>3</w:t>
            </w:r>
            <w:r>
              <w:rPr>
                <w:rFonts w:hint="eastAsia"/>
                <w:color w:val="auto"/>
                <w:highlight w:val="none"/>
              </w:rPr>
              <w:t>。</w:t>
            </w:r>
          </w:p>
          <w:p w14:paraId="298BAC85">
            <w:pPr>
              <w:rPr>
                <w:rFonts w:hint="eastAsia"/>
                <w:color w:val="auto"/>
                <w:lang w:val="en-US" w:eastAsia="zh-CN"/>
              </w:rPr>
            </w:pPr>
            <w:r>
              <w:rPr>
                <w:rFonts w:hint="eastAsia"/>
                <w:color w:val="auto"/>
                <w:lang w:val="en-US" w:eastAsia="zh-CN"/>
              </w:rPr>
              <w:t>（5）监测结果统计分析</w:t>
            </w:r>
          </w:p>
          <w:p w14:paraId="1A9160CC">
            <w:pPr>
              <w:rPr>
                <w:rFonts w:hint="eastAsia" w:eastAsia="宋体"/>
                <w:color w:val="auto"/>
                <w:lang w:val="en-US" w:eastAsia="zh-CN"/>
              </w:rPr>
            </w:pPr>
            <w:r>
              <w:rPr>
                <w:rFonts w:cs="Times New Roman"/>
                <w:color w:val="auto"/>
                <w:highlight w:val="none"/>
              </w:rPr>
              <w:t>各项因子监测结果统计与评价见</w:t>
            </w:r>
            <w:r>
              <w:rPr>
                <w:rFonts w:hint="eastAsia" w:cs="Times New Roman"/>
                <w:color w:val="auto"/>
                <w:highlight w:val="none"/>
                <w:lang w:val="en-US" w:eastAsia="zh-CN"/>
              </w:rPr>
              <w:t>下表16、表17。</w:t>
            </w:r>
          </w:p>
          <w:p w14:paraId="5A5F8D83">
            <w:pPr>
              <w:pStyle w:val="16"/>
              <w:bidi w:val="0"/>
              <w:rPr>
                <w:rFonts w:hint="eastAsia"/>
                <w:lang w:val="en-US" w:eastAsia="zh-CN"/>
              </w:rPr>
            </w:pPr>
            <w:r>
              <w:t xml:space="preserve">表 </w:t>
            </w:r>
            <w:r>
              <w:fldChar w:fldCharType="begin"/>
            </w:r>
            <w:r>
              <w:instrText xml:space="preserve"> SEQ 表 \* ARABIC </w:instrText>
            </w:r>
            <w:r>
              <w:fldChar w:fldCharType="separate"/>
            </w:r>
            <w:r>
              <w:t>16</w:t>
            </w:r>
            <w:r>
              <w:fldChar w:fldCharType="end"/>
            </w:r>
            <w:r>
              <w:rPr>
                <w:rFonts w:hint="eastAsia"/>
                <w:lang w:val="en-US" w:eastAsia="zh-CN"/>
              </w:rPr>
              <w:t xml:space="preserve">  </w:t>
            </w:r>
            <w:r>
              <w:rPr>
                <w:rFonts w:hint="eastAsia"/>
              </w:rPr>
              <w:t>补充现状监测中</w:t>
            </w:r>
            <w:r>
              <w:rPr>
                <w:rFonts w:hint="eastAsia"/>
                <w:lang w:val="en-US" w:eastAsia="zh-CN"/>
              </w:rPr>
              <w:t>监测因子</w:t>
            </w:r>
            <w:r>
              <w:t>浓度统计结果</w:t>
            </w:r>
            <w:r>
              <w:rPr>
                <w:rFonts w:hint="eastAsia"/>
              </w:rPr>
              <w:t>一览表</w:t>
            </w:r>
            <w:r>
              <w:rPr>
                <w:rFonts w:hint="eastAsia"/>
                <w:lang w:eastAsia="zh-CN"/>
              </w:rPr>
              <w:t>（</w:t>
            </w:r>
            <w:r>
              <w:rPr>
                <w:rFonts w:hint="eastAsia"/>
                <w:lang w:val="en-US" w:eastAsia="zh-CN"/>
              </w:rPr>
              <w:t>小时值</w:t>
            </w:r>
            <w:r>
              <w:rPr>
                <w:rFonts w:hint="eastAsia"/>
                <w:lang w:eastAsia="zh-CN"/>
              </w:rPr>
              <w:t>）</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24"/>
              <w:gridCol w:w="1600"/>
              <w:gridCol w:w="1136"/>
              <w:gridCol w:w="1786"/>
              <w:gridCol w:w="1895"/>
            </w:tblGrid>
            <w:tr w14:paraId="06EBA1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681" w:type="pct"/>
                  <w:gridSpan w:val="3"/>
                  <w:tcBorders>
                    <w:tl2br w:val="nil"/>
                    <w:tr2bl w:val="nil"/>
                  </w:tcBorders>
                  <w:shd w:val="clear" w:color="auto" w:fill="auto"/>
                  <w:noWrap/>
                  <w:tcMar>
                    <w:top w:w="0" w:type="dxa"/>
                    <w:left w:w="0" w:type="dxa"/>
                    <w:bottom w:w="0" w:type="dxa"/>
                    <w:right w:w="0" w:type="dxa"/>
                  </w:tcMar>
                  <w:vAlign w:val="center"/>
                </w:tcPr>
                <w:p w14:paraId="54A8A3AC">
                  <w:pPr>
                    <w:pStyle w:val="15"/>
                    <w:bidi w:val="0"/>
                    <w:rPr>
                      <w:rFonts w:hint="eastAsia"/>
                    </w:rPr>
                  </w:pPr>
                  <w:r>
                    <w:rPr>
                      <w:rFonts w:hint="eastAsia"/>
                      <w:lang w:val="en-US" w:eastAsia="zh-CN"/>
                    </w:rPr>
                    <w:t>监测点位</w:t>
                  </w:r>
                </w:p>
              </w:tc>
              <w:tc>
                <w:tcPr>
                  <w:tcW w:w="1124" w:type="pct"/>
                  <w:tcBorders>
                    <w:tl2br w:val="nil"/>
                    <w:tr2bl w:val="nil"/>
                  </w:tcBorders>
                  <w:shd w:val="clear" w:color="auto" w:fill="auto"/>
                  <w:noWrap/>
                  <w:tcMar>
                    <w:top w:w="0" w:type="dxa"/>
                    <w:left w:w="0" w:type="dxa"/>
                    <w:bottom w:w="0" w:type="dxa"/>
                    <w:right w:w="0" w:type="dxa"/>
                  </w:tcMar>
                  <w:vAlign w:val="center"/>
                </w:tcPr>
                <w:p w14:paraId="0E8A87D3">
                  <w:pPr>
                    <w:pStyle w:val="15"/>
                    <w:bidi w:val="0"/>
                    <w:rPr>
                      <w:rFonts w:hint="eastAsia"/>
                    </w:rPr>
                  </w:pPr>
                  <w:r>
                    <w:rPr>
                      <w:rFonts w:hint="eastAsia"/>
                      <w:lang w:val="en-US" w:eastAsia="zh-CN"/>
                    </w:rPr>
                    <w:t>厂址</w:t>
                  </w:r>
                </w:p>
              </w:tc>
              <w:tc>
                <w:tcPr>
                  <w:tcW w:w="1193" w:type="pct"/>
                  <w:tcBorders>
                    <w:tl2br w:val="nil"/>
                    <w:tr2bl w:val="nil"/>
                  </w:tcBorders>
                  <w:shd w:val="clear" w:color="auto" w:fill="auto"/>
                  <w:noWrap/>
                  <w:tcMar>
                    <w:top w:w="0" w:type="dxa"/>
                    <w:left w:w="0" w:type="dxa"/>
                    <w:bottom w:w="0" w:type="dxa"/>
                    <w:right w:w="0" w:type="dxa"/>
                  </w:tcMar>
                  <w:vAlign w:val="center"/>
                </w:tcPr>
                <w:p w14:paraId="494D3E61">
                  <w:pPr>
                    <w:pStyle w:val="15"/>
                    <w:bidi w:val="0"/>
                    <w:rPr>
                      <w:rFonts w:hint="eastAsia"/>
                    </w:rPr>
                  </w:pPr>
                  <w:r>
                    <w:rPr>
                      <w:rFonts w:hint="eastAsia"/>
                      <w:lang w:val="en-US" w:eastAsia="zh-CN"/>
                    </w:rPr>
                    <w:t>厂址下风向</w:t>
                  </w:r>
                </w:p>
              </w:tc>
            </w:tr>
            <w:tr w14:paraId="25CF38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681" w:type="pct"/>
                  <w:gridSpan w:val="3"/>
                  <w:tcBorders>
                    <w:tl2br w:val="nil"/>
                    <w:tr2bl w:val="nil"/>
                  </w:tcBorders>
                  <w:shd w:val="clear" w:color="auto" w:fill="auto"/>
                  <w:noWrap/>
                  <w:tcMar>
                    <w:top w:w="0" w:type="dxa"/>
                    <w:left w:w="0" w:type="dxa"/>
                    <w:bottom w:w="0" w:type="dxa"/>
                    <w:right w:w="0" w:type="dxa"/>
                  </w:tcMar>
                  <w:vAlign w:val="center"/>
                </w:tcPr>
                <w:p w14:paraId="4CB6770F">
                  <w:pPr>
                    <w:pStyle w:val="15"/>
                    <w:bidi w:val="0"/>
                    <w:rPr>
                      <w:rFonts w:hint="eastAsia"/>
                    </w:rPr>
                  </w:pPr>
                  <w:r>
                    <w:rPr>
                      <w:rFonts w:hint="eastAsia"/>
                      <w:lang w:val="en-US" w:eastAsia="zh-CN"/>
                    </w:rPr>
                    <w:t>污染物项目</w:t>
                  </w:r>
                </w:p>
              </w:tc>
              <w:tc>
                <w:tcPr>
                  <w:tcW w:w="1124" w:type="pct"/>
                  <w:tcBorders>
                    <w:tl2br w:val="nil"/>
                    <w:tr2bl w:val="nil"/>
                  </w:tcBorders>
                  <w:shd w:val="clear" w:color="auto" w:fill="auto"/>
                  <w:noWrap/>
                  <w:tcMar>
                    <w:top w:w="0" w:type="dxa"/>
                    <w:left w:w="0" w:type="dxa"/>
                    <w:bottom w:w="0" w:type="dxa"/>
                    <w:right w:w="0" w:type="dxa"/>
                  </w:tcMar>
                  <w:vAlign w:val="center"/>
                </w:tcPr>
                <w:p w14:paraId="0BF99913">
                  <w:pPr>
                    <w:pStyle w:val="15"/>
                    <w:bidi w:val="0"/>
                    <w:rPr>
                      <w:rFonts w:hint="eastAsia"/>
                    </w:rPr>
                  </w:pPr>
                  <w:r>
                    <w:rPr>
                      <w:rFonts w:hint="eastAsia"/>
                      <w:lang w:val="en-US" w:eastAsia="zh-CN"/>
                    </w:rPr>
                    <w:t>氯化氢</w:t>
                  </w:r>
                </w:p>
              </w:tc>
              <w:tc>
                <w:tcPr>
                  <w:tcW w:w="1193" w:type="pct"/>
                  <w:tcBorders>
                    <w:tl2br w:val="nil"/>
                    <w:tr2bl w:val="nil"/>
                  </w:tcBorders>
                  <w:shd w:val="clear" w:color="auto" w:fill="auto"/>
                  <w:noWrap/>
                  <w:tcMar>
                    <w:top w:w="0" w:type="dxa"/>
                    <w:left w:w="0" w:type="dxa"/>
                    <w:bottom w:w="0" w:type="dxa"/>
                    <w:right w:w="0" w:type="dxa"/>
                  </w:tcMar>
                  <w:vAlign w:val="center"/>
                </w:tcPr>
                <w:p w14:paraId="433BC225">
                  <w:pPr>
                    <w:pStyle w:val="15"/>
                    <w:bidi w:val="0"/>
                    <w:rPr>
                      <w:rFonts w:hint="eastAsia"/>
                    </w:rPr>
                  </w:pPr>
                  <w:r>
                    <w:rPr>
                      <w:rFonts w:hint="eastAsia"/>
                      <w:lang w:val="en-US" w:eastAsia="zh-CN"/>
                    </w:rPr>
                    <w:t>氯化氢</w:t>
                  </w:r>
                </w:p>
              </w:tc>
            </w:tr>
            <w:tr w14:paraId="6F8323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681" w:type="pct"/>
                  <w:gridSpan w:val="3"/>
                  <w:tcBorders>
                    <w:tl2br w:val="nil"/>
                    <w:tr2bl w:val="nil"/>
                  </w:tcBorders>
                  <w:shd w:val="clear" w:color="auto" w:fill="auto"/>
                  <w:noWrap/>
                  <w:tcMar>
                    <w:top w:w="0" w:type="dxa"/>
                    <w:left w:w="0" w:type="dxa"/>
                    <w:bottom w:w="0" w:type="dxa"/>
                    <w:right w:w="0" w:type="dxa"/>
                  </w:tcMar>
                  <w:vAlign w:val="center"/>
                </w:tcPr>
                <w:p w14:paraId="0B88DBEE">
                  <w:pPr>
                    <w:pStyle w:val="15"/>
                    <w:bidi w:val="0"/>
                    <w:rPr>
                      <w:rFonts w:hint="eastAsia"/>
                    </w:rPr>
                  </w:pPr>
                  <w:r>
                    <w:rPr>
                      <w:rFonts w:hint="eastAsia"/>
                      <w:lang w:val="en-US" w:eastAsia="zh-CN"/>
                    </w:rPr>
                    <w:t>单位</w:t>
                  </w:r>
                </w:p>
              </w:tc>
              <w:tc>
                <w:tcPr>
                  <w:tcW w:w="1124" w:type="pct"/>
                  <w:tcBorders>
                    <w:tl2br w:val="nil"/>
                    <w:tr2bl w:val="nil"/>
                  </w:tcBorders>
                  <w:shd w:val="clear" w:color="auto" w:fill="auto"/>
                  <w:noWrap/>
                  <w:tcMar>
                    <w:top w:w="0" w:type="dxa"/>
                    <w:left w:w="0" w:type="dxa"/>
                    <w:bottom w:w="0" w:type="dxa"/>
                    <w:right w:w="0" w:type="dxa"/>
                  </w:tcMar>
                  <w:vAlign w:val="center"/>
                </w:tcPr>
                <w:p w14:paraId="51F5D7AD">
                  <w:pPr>
                    <w:pStyle w:val="15"/>
                    <w:bidi w:val="0"/>
                    <w:rPr>
                      <w:rFonts w:hint="default"/>
                    </w:rPr>
                  </w:pPr>
                  <w:r>
                    <w:rPr>
                      <w:rFonts w:hint="default"/>
                      <w:lang w:val="en-US" w:eastAsia="zh-CN"/>
                    </w:rPr>
                    <w:t>μg/m</w:t>
                  </w:r>
                  <w:r>
                    <w:rPr>
                      <w:rFonts w:hint="default"/>
                      <w:vertAlign w:val="superscript"/>
                      <w:lang w:val="en-US" w:eastAsia="zh-CN"/>
                    </w:rPr>
                    <w:t>3</w:t>
                  </w:r>
                </w:p>
              </w:tc>
              <w:tc>
                <w:tcPr>
                  <w:tcW w:w="1193" w:type="pct"/>
                  <w:tcBorders>
                    <w:tl2br w:val="nil"/>
                    <w:tr2bl w:val="nil"/>
                  </w:tcBorders>
                  <w:shd w:val="clear" w:color="auto" w:fill="auto"/>
                  <w:noWrap/>
                  <w:tcMar>
                    <w:top w:w="0" w:type="dxa"/>
                    <w:left w:w="0" w:type="dxa"/>
                    <w:bottom w:w="0" w:type="dxa"/>
                    <w:right w:w="0" w:type="dxa"/>
                  </w:tcMar>
                  <w:vAlign w:val="center"/>
                </w:tcPr>
                <w:p w14:paraId="519528FA">
                  <w:pPr>
                    <w:pStyle w:val="15"/>
                    <w:bidi w:val="0"/>
                    <w:rPr>
                      <w:rFonts w:hint="default"/>
                    </w:rPr>
                  </w:pPr>
                  <w:r>
                    <w:rPr>
                      <w:rFonts w:hint="default"/>
                      <w:lang w:val="en-US" w:eastAsia="zh-CN"/>
                    </w:rPr>
                    <w:t>μg/m</w:t>
                  </w:r>
                  <w:r>
                    <w:rPr>
                      <w:rFonts w:hint="default"/>
                      <w:vertAlign w:val="superscript"/>
                      <w:lang w:val="en-US" w:eastAsia="zh-CN"/>
                    </w:rPr>
                    <w:t>3</w:t>
                  </w:r>
                </w:p>
              </w:tc>
            </w:tr>
            <w:tr w14:paraId="7F2687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681" w:type="pct"/>
                  <w:gridSpan w:val="3"/>
                  <w:vMerge w:val="restart"/>
                  <w:tcBorders>
                    <w:tl2br w:val="nil"/>
                    <w:tr2bl w:val="nil"/>
                  </w:tcBorders>
                  <w:shd w:val="clear" w:color="auto" w:fill="auto"/>
                  <w:noWrap/>
                  <w:tcMar>
                    <w:top w:w="0" w:type="dxa"/>
                    <w:left w:w="0" w:type="dxa"/>
                    <w:bottom w:w="0" w:type="dxa"/>
                    <w:right w:w="0" w:type="dxa"/>
                  </w:tcMar>
                  <w:vAlign w:val="center"/>
                </w:tcPr>
                <w:p w14:paraId="659EDDDE">
                  <w:pPr>
                    <w:pStyle w:val="15"/>
                    <w:bidi w:val="0"/>
                    <w:rPr>
                      <w:rFonts w:hint="eastAsia"/>
                    </w:rPr>
                  </w:pPr>
                  <w:r>
                    <w:rPr>
                      <w:rFonts w:hint="eastAsia"/>
                      <w:lang w:val="en-US" w:eastAsia="zh-CN"/>
                    </w:rPr>
                    <w:t>标准限值</w:t>
                  </w:r>
                </w:p>
              </w:tc>
              <w:tc>
                <w:tcPr>
                  <w:tcW w:w="1124" w:type="pct"/>
                  <w:tcBorders>
                    <w:tl2br w:val="nil"/>
                    <w:tr2bl w:val="nil"/>
                  </w:tcBorders>
                  <w:shd w:val="clear" w:color="auto" w:fill="auto"/>
                  <w:noWrap/>
                  <w:tcMar>
                    <w:top w:w="0" w:type="dxa"/>
                    <w:left w:w="0" w:type="dxa"/>
                    <w:bottom w:w="0" w:type="dxa"/>
                    <w:right w:w="0" w:type="dxa"/>
                  </w:tcMar>
                  <w:vAlign w:val="center"/>
                </w:tcPr>
                <w:p w14:paraId="177E2E95">
                  <w:pPr>
                    <w:pStyle w:val="15"/>
                    <w:bidi w:val="0"/>
                    <w:rPr>
                      <w:rFonts w:hint="eastAsia"/>
                    </w:rPr>
                  </w:pPr>
                  <w:r>
                    <w:rPr>
                      <w:rFonts w:hint="eastAsia"/>
                      <w:lang w:val="en-US" w:eastAsia="zh-CN"/>
                    </w:rPr>
                    <w:t>1小时平均</w:t>
                  </w:r>
                </w:p>
              </w:tc>
              <w:tc>
                <w:tcPr>
                  <w:tcW w:w="1193" w:type="pct"/>
                  <w:tcBorders>
                    <w:tl2br w:val="nil"/>
                    <w:tr2bl w:val="nil"/>
                  </w:tcBorders>
                  <w:shd w:val="clear" w:color="auto" w:fill="auto"/>
                  <w:noWrap/>
                  <w:tcMar>
                    <w:top w:w="0" w:type="dxa"/>
                    <w:left w:w="0" w:type="dxa"/>
                    <w:bottom w:w="0" w:type="dxa"/>
                    <w:right w:w="0" w:type="dxa"/>
                  </w:tcMar>
                  <w:vAlign w:val="center"/>
                </w:tcPr>
                <w:p w14:paraId="26EC33BE">
                  <w:pPr>
                    <w:pStyle w:val="15"/>
                    <w:bidi w:val="0"/>
                    <w:rPr>
                      <w:rFonts w:hint="eastAsia"/>
                    </w:rPr>
                  </w:pPr>
                  <w:r>
                    <w:rPr>
                      <w:rFonts w:hint="eastAsia"/>
                      <w:lang w:val="en-US" w:eastAsia="zh-CN"/>
                    </w:rPr>
                    <w:t>1小时平均</w:t>
                  </w:r>
                </w:p>
              </w:tc>
            </w:tr>
            <w:tr w14:paraId="6B2CD1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681" w:type="pct"/>
                  <w:gridSpan w:val="3"/>
                  <w:vMerge w:val="continue"/>
                  <w:tcBorders>
                    <w:tl2br w:val="nil"/>
                    <w:tr2bl w:val="nil"/>
                  </w:tcBorders>
                  <w:shd w:val="clear" w:color="auto" w:fill="auto"/>
                  <w:noWrap/>
                  <w:tcMar>
                    <w:top w:w="0" w:type="dxa"/>
                    <w:left w:w="0" w:type="dxa"/>
                    <w:bottom w:w="0" w:type="dxa"/>
                    <w:right w:w="0" w:type="dxa"/>
                  </w:tcMar>
                  <w:vAlign w:val="center"/>
                </w:tcPr>
                <w:p w14:paraId="6F1FADDF">
                  <w:pPr>
                    <w:pStyle w:val="15"/>
                    <w:bidi w:val="0"/>
                    <w:rPr>
                      <w:rFonts w:hint="eastAsia"/>
                    </w:rPr>
                  </w:pPr>
                </w:p>
              </w:tc>
              <w:tc>
                <w:tcPr>
                  <w:tcW w:w="1124" w:type="pct"/>
                  <w:tcBorders>
                    <w:tl2br w:val="nil"/>
                    <w:tr2bl w:val="nil"/>
                  </w:tcBorders>
                  <w:shd w:val="clear" w:color="auto" w:fill="auto"/>
                  <w:noWrap/>
                  <w:tcMar>
                    <w:top w:w="0" w:type="dxa"/>
                    <w:left w:w="0" w:type="dxa"/>
                    <w:bottom w:w="0" w:type="dxa"/>
                    <w:right w:w="0" w:type="dxa"/>
                  </w:tcMar>
                  <w:vAlign w:val="center"/>
                </w:tcPr>
                <w:p w14:paraId="0C0BBDDB">
                  <w:pPr>
                    <w:pStyle w:val="15"/>
                    <w:bidi w:val="0"/>
                    <w:rPr>
                      <w:rFonts w:hint="eastAsia"/>
                    </w:rPr>
                  </w:pPr>
                  <w:r>
                    <w:rPr>
                      <w:rFonts w:hint="eastAsia"/>
                      <w:lang w:val="en-US" w:eastAsia="zh-CN"/>
                    </w:rPr>
                    <w:t>50</w:t>
                  </w:r>
                </w:p>
              </w:tc>
              <w:tc>
                <w:tcPr>
                  <w:tcW w:w="1193" w:type="pct"/>
                  <w:tcBorders>
                    <w:tl2br w:val="nil"/>
                    <w:tr2bl w:val="nil"/>
                  </w:tcBorders>
                  <w:shd w:val="clear" w:color="auto" w:fill="auto"/>
                  <w:noWrap/>
                  <w:tcMar>
                    <w:top w:w="0" w:type="dxa"/>
                    <w:left w:w="0" w:type="dxa"/>
                    <w:bottom w:w="0" w:type="dxa"/>
                    <w:right w:w="0" w:type="dxa"/>
                  </w:tcMar>
                  <w:vAlign w:val="center"/>
                </w:tcPr>
                <w:p w14:paraId="430A3DB4">
                  <w:pPr>
                    <w:pStyle w:val="15"/>
                    <w:bidi w:val="0"/>
                    <w:rPr>
                      <w:rFonts w:hint="eastAsia"/>
                    </w:rPr>
                  </w:pPr>
                  <w:r>
                    <w:rPr>
                      <w:rFonts w:hint="eastAsia"/>
                      <w:lang w:val="en-US" w:eastAsia="zh-CN"/>
                    </w:rPr>
                    <w:t>50</w:t>
                  </w:r>
                </w:p>
              </w:tc>
            </w:tr>
            <w:tr w14:paraId="48AC20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restart"/>
                  <w:tcBorders>
                    <w:tl2br w:val="nil"/>
                    <w:tr2bl w:val="nil"/>
                  </w:tcBorders>
                  <w:shd w:val="clear" w:color="auto" w:fill="auto"/>
                  <w:noWrap/>
                  <w:tcMar>
                    <w:top w:w="0" w:type="dxa"/>
                    <w:left w:w="0" w:type="dxa"/>
                    <w:bottom w:w="0" w:type="dxa"/>
                    <w:right w:w="0" w:type="dxa"/>
                  </w:tcMar>
                  <w:vAlign w:val="center"/>
                </w:tcPr>
                <w:p w14:paraId="1ABBF857">
                  <w:pPr>
                    <w:pStyle w:val="15"/>
                    <w:bidi w:val="0"/>
                    <w:rPr>
                      <w:rFonts w:hint="eastAsia"/>
                    </w:rPr>
                  </w:pPr>
                  <w:r>
                    <w:rPr>
                      <w:rFonts w:hint="eastAsia"/>
                      <w:lang w:val="en-US" w:eastAsia="zh-CN"/>
                    </w:rPr>
                    <w:t>检测结果</w:t>
                  </w:r>
                </w:p>
              </w:tc>
              <w:tc>
                <w:tcPr>
                  <w:tcW w:w="1007" w:type="pct"/>
                  <w:vMerge w:val="restart"/>
                  <w:tcBorders>
                    <w:tl2br w:val="nil"/>
                    <w:tr2bl w:val="nil"/>
                  </w:tcBorders>
                  <w:shd w:val="clear" w:color="auto" w:fill="auto"/>
                  <w:noWrap/>
                  <w:tcMar>
                    <w:top w:w="0" w:type="dxa"/>
                    <w:left w:w="0" w:type="dxa"/>
                    <w:bottom w:w="0" w:type="dxa"/>
                    <w:right w:w="0" w:type="dxa"/>
                  </w:tcMar>
                  <w:vAlign w:val="center"/>
                </w:tcPr>
                <w:p w14:paraId="432B146F">
                  <w:pPr>
                    <w:pStyle w:val="15"/>
                    <w:bidi w:val="0"/>
                    <w:rPr>
                      <w:rFonts w:hint="eastAsia"/>
                    </w:rPr>
                  </w:pPr>
                  <w:r>
                    <w:rPr>
                      <w:rFonts w:hint="eastAsia"/>
                      <w:lang w:val="en-US" w:eastAsia="zh-CN"/>
                    </w:rPr>
                    <w:t>1月17日</w:t>
                  </w:r>
                </w:p>
              </w:tc>
              <w:tc>
                <w:tcPr>
                  <w:tcW w:w="715" w:type="pct"/>
                  <w:tcBorders>
                    <w:tl2br w:val="nil"/>
                    <w:tr2bl w:val="nil"/>
                  </w:tcBorders>
                  <w:shd w:val="clear" w:color="auto" w:fill="auto"/>
                  <w:noWrap/>
                  <w:tcMar>
                    <w:top w:w="0" w:type="dxa"/>
                    <w:left w:w="0" w:type="dxa"/>
                    <w:bottom w:w="0" w:type="dxa"/>
                    <w:right w:w="0" w:type="dxa"/>
                  </w:tcMar>
                  <w:vAlign w:val="center"/>
                </w:tcPr>
                <w:p w14:paraId="2B91CCDE">
                  <w:pPr>
                    <w:pStyle w:val="15"/>
                    <w:bidi w:val="0"/>
                    <w:rPr>
                      <w:rFonts w:hint="eastAsia"/>
                    </w:rPr>
                  </w:pPr>
                  <w:r>
                    <w:rPr>
                      <w:rFonts w:hint="eastAsia"/>
                      <w:lang w:val="en-US" w:eastAsia="zh-CN"/>
                    </w:rPr>
                    <w:t>第一次</w:t>
                  </w:r>
                </w:p>
              </w:tc>
              <w:tc>
                <w:tcPr>
                  <w:tcW w:w="1124" w:type="pct"/>
                  <w:tcBorders>
                    <w:tl2br w:val="nil"/>
                    <w:tr2bl w:val="nil"/>
                  </w:tcBorders>
                  <w:shd w:val="clear" w:color="auto" w:fill="auto"/>
                  <w:tcMar>
                    <w:top w:w="0" w:type="dxa"/>
                    <w:left w:w="0" w:type="dxa"/>
                    <w:bottom w:w="0" w:type="dxa"/>
                    <w:right w:w="0" w:type="dxa"/>
                  </w:tcMar>
                  <w:vAlign w:val="center"/>
                </w:tcPr>
                <w:p w14:paraId="0AD52558">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6D6C53EB">
                  <w:pPr>
                    <w:pStyle w:val="15"/>
                    <w:bidi w:val="0"/>
                    <w:rPr>
                      <w:rFonts w:hint="eastAsia"/>
                    </w:rPr>
                  </w:pPr>
                  <w:r>
                    <w:rPr>
                      <w:rFonts w:hint="eastAsia"/>
                      <w:lang w:val="en-US" w:eastAsia="zh-CN"/>
                    </w:rPr>
                    <w:t>ND</w:t>
                  </w:r>
                </w:p>
              </w:tc>
            </w:tr>
            <w:tr w14:paraId="44EF1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0B719A20">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56707294">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7011B0BA">
                  <w:pPr>
                    <w:pStyle w:val="15"/>
                    <w:bidi w:val="0"/>
                    <w:rPr>
                      <w:rFonts w:hint="eastAsia"/>
                    </w:rPr>
                  </w:pPr>
                  <w:r>
                    <w:rPr>
                      <w:rFonts w:hint="eastAsia"/>
                      <w:lang w:val="en-US" w:eastAsia="zh-CN"/>
                    </w:rPr>
                    <w:t>第二次</w:t>
                  </w:r>
                </w:p>
              </w:tc>
              <w:tc>
                <w:tcPr>
                  <w:tcW w:w="1124" w:type="pct"/>
                  <w:tcBorders>
                    <w:tl2br w:val="nil"/>
                    <w:tr2bl w:val="nil"/>
                  </w:tcBorders>
                  <w:shd w:val="clear" w:color="auto" w:fill="auto"/>
                  <w:tcMar>
                    <w:top w:w="0" w:type="dxa"/>
                    <w:left w:w="0" w:type="dxa"/>
                    <w:bottom w:w="0" w:type="dxa"/>
                    <w:right w:w="0" w:type="dxa"/>
                  </w:tcMar>
                  <w:vAlign w:val="center"/>
                </w:tcPr>
                <w:p w14:paraId="030EE7F4">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46C4EC10">
                  <w:pPr>
                    <w:pStyle w:val="15"/>
                    <w:bidi w:val="0"/>
                    <w:rPr>
                      <w:rFonts w:hint="eastAsia"/>
                    </w:rPr>
                  </w:pPr>
                  <w:r>
                    <w:rPr>
                      <w:rFonts w:hint="eastAsia"/>
                      <w:lang w:val="en-US" w:eastAsia="zh-CN"/>
                    </w:rPr>
                    <w:t>ND</w:t>
                  </w:r>
                </w:p>
              </w:tc>
            </w:tr>
            <w:tr w14:paraId="6B773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41282EED">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2FE2A41F">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6FD2463D">
                  <w:pPr>
                    <w:pStyle w:val="15"/>
                    <w:bidi w:val="0"/>
                    <w:rPr>
                      <w:rFonts w:hint="eastAsia"/>
                    </w:rPr>
                  </w:pPr>
                  <w:r>
                    <w:rPr>
                      <w:rFonts w:hint="eastAsia"/>
                      <w:lang w:val="en-US" w:eastAsia="zh-CN"/>
                    </w:rPr>
                    <w:t>第三次</w:t>
                  </w:r>
                </w:p>
              </w:tc>
              <w:tc>
                <w:tcPr>
                  <w:tcW w:w="1124" w:type="pct"/>
                  <w:tcBorders>
                    <w:tl2br w:val="nil"/>
                    <w:tr2bl w:val="nil"/>
                  </w:tcBorders>
                  <w:shd w:val="clear" w:color="auto" w:fill="auto"/>
                  <w:tcMar>
                    <w:top w:w="0" w:type="dxa"/>
                    <w:left w:w="0" w:type="dxa"/>
                    <w:bottom w:w="0" w:type="dxa"/>
                    <w:right w:w="0" w:type="dxa"/>
                  </w:tcMar>
                  <w:vAlign w:val="center"/>
                </w:tcPr>
                <w:p w14:paraId="4A89628E">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0EF4392D">
                  <w:pPr>
                    <w:pStyle w:val="15"/>
                    <w:bidi w:val="0"/>
                    <w:rPr>
                      <w:rFonts w:hint="eastAsia"/>
                    </w:rPr>
                  </w:pPr>
                  <w:r>
                    <w:rPr>
                      <w:rFonts w:hint="eastAsia"/>
                      <w:lang w:val="en-US" w:eastAsia="zh-CN"/>
                    </w:rPr>
                    <w:t>ND</w:t>
                  </w:r>
                </w:p>
              </w:tc>
            </w:tr>
            <w:tr w14:paraId="63CEDD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51FB98D2">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5F5C5D80">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0F4EFF7D">
                  <w:pPr>
                    <w:pStyle w:val="15"/>
                    <w:bidi w:val="0"/>
                    <w:rPr>
                      <w:rFonts w:hint="eastAsia"/>
                    </w:rPr>
                  </w:pPr>
                  <w:r>
                    <w:rPr>
                      <w:rFonts w:hint="eastAsia"/>
                      <w:lang w:val="en-US" w:eastAsia="zh-CN"/>
                    </w:rPr>
                    <w:t>第四次</w:t>
                  </w:r>
                </w:p>
              </w:tc>
              <w:tc>
                <w:tcPr>
                  <w:tcW w:w="1124" w:type="pct"/>
                  <w:tcBorders>
                    <w:tl2br w:val="nil"/>
                    <w:tr2bl w:val="nil"/>
                  </w:tcBorders>
                  <w:shd w:val="clear" w:color="auto" w:fill="auto"/>
                  <w:tcMar>
                    <w:top w:w="0" w:type="dxa"/>
                    <w:left w:w="0" w:type="dxa"/>
                    <w:bottom w:w="0" w:type="dxa"/>
                    <w:right w:w="0" w:type="dxa"/>
                  </w:tcMar>
                  <w:vAlign w:val="center"/>
                </w:tcPr>
                <w:p w14:paraId="195A9304">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1D9C0E58">
                  <w:pPr>
                    <w:pStyle w:val="15"/>
                    <w:bidi w:val="0"/>
                    <w:rPr>
                      <w:rFonts w:hint="eastAsia"/>
                    </w:rPr>
                  </w:pPr>
                  <w:r>
                    <w:rPr>
                      <w:rFonts w:hint="eastAsia"/>
                      <w:lang w:val="en-US" w:eastAsia="zh-CN"/>
                    </w:rPr>
                    <w:t>ND</w:t>
                  </w:r>
                </w:p>
              </w:tc>
            </w:tr>
            <w:tr w14:paraId="022F7D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3B7749A4">
                  <w:pPr>
                    <w:pStyle w:val="15"/>
                    <w:bidi w:val="0"/>
                    <w:rPr>
                      <w:rFonts w:hint="eastAsia"/>
                    </w:rPr>
                  </w:pPr>
                </w:p>
              </w:tc>
              <w:tc>
                <w:tcPr>
                  <w:tcW w:w="1007" w:type="pct"/>
                  <w:vMerge w:val="restart"/>
                  <w:tcBorders>
                    <w:tl2br w:val="nil"/>
                    <w:tr2bl w:val="nil"/>
                  </w:tcBorders>
                  <w:shd w:val="clear" w:color="auto" w:fill="auto"/>
                  <w:noWrap/>
                  <w:tcMar>
                    <w:top w:w="0" w:type="dxa"/>
                    <w:left w:w="0" w:type="dxa"/>
                    <w:bottom w:w="0" w:type="dxa"/>
                    <w:right w:w="0" w:type="dxa"/>
                  </w:tcMar>
                  <w:vAlign w:val="center"/>
                </w:tcPr>
                <w:p w14:paraId="79111A58">
                  <w:pPr>
                    <w:pStyle w:val="15"/>
                    <w:bidi w:val="0"/>
                    <w:rPr>
                      <w:rFonts w:hint="eastAsia"/>
                    </w:rPr>
                  </w:pPr>
                  <w:r>
                    <w:rPr>
                      <w:rFonts w:hint="eastAsia"/>
                      <w:lang w:val="en-US" w:eastAsia="zh-CN"/>
                    </w:rPr>
                    <w:t>1月18日</w:t>
                  </w:r>
                </w:p>
              </w:tc>
              <w:tc>
                <w:tcPr>
                  <w:tcW w:w="715" w:type="pct"/>
                  <w:tcBorders>
                    <w:tl2br w:val="nil"/>
                    <w:tr2bl w:val="nil"/>
                  </w:tcBorders>
                  <w:shd w:val="clear" w:color="auto" w:fill="auto"/>
                  <w:noWrap/>
                  <w:tcMar>
                    <w:top w:w="0" w:type="dxa"/>
                    <w:left w:w="0" w:type="dxa"/>
                    <w:bottom w:w="0" w:type="dxa"/>
                    <w:right w:w="0" w:type="dxa"/>
                  </w:tcMar>
                  <w:vAlign w:val="center"/>
                </w:tcPr>
                <w:p w14:paraId="05609B8F">
                  <w:pPr>
                    <w:pStyle w:val="15"/>
                    <w:bidi w:val="0"/>
                    <w:rPr>
                      <w:rFonts w:hint="eastAsia"/>
                    </w:rPr>
                  </w:pPr>
                  <w:r>
                    <w:rPr>
                      <w:rFonts w:hint="eastAsia"/>
                      <w:lang w:val="en-US" w:eastAsia="zh-CN"/>
                    </w:rPr>
                    <w:t>第一次</w:t>
                  </w:r>
                </w:p>
              </w:tc>
              <w:tc>
                <w:tcPr>
                  <w:tcW w:w="1124" w:type="pct"/>
                  <w:tcBorders>
                    <w:tl2br w:val="nil"/>
                    <w:tr2bl w:val="nil"/>
                  </w:tcBorders>
                  <w:shd w:val="clear" w:color="auto" w:fill="auto"/>
                  <w:tcMar>
                    <w:top w:w="0" w:type="dxa"/>
                    <w:left w:w="0" w:type="dxa"/>
                    <w:bottom w:w="0" w:type="dxa"/>
                    <w:right w:w="0" w:type="dxa"/>
                  </w:tcMar>
                  <w:vAlign w:val="center"/>
                </w:tcPr>
                <w:p w14:paraId="0BDE7F75">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65274F5D">
                  <w:pPr>
                    <w:pStyle w:val="15"/>
                    <w:bidi w:val="0"/>
                    <w:rPr>
                      <w:rFonts w:hint="eastAsia"/>
                    </w:rPr>
                  </w:pPr>
                  <w:r>
                    <w:rPr>
                      <w:rFonts w:hint="eastAsia"/>
                      <w:lang w:val="en-US" w:eastAsia="zh-CN"/>
                    </w:rPr>
                    <w:t>ND</w:t>
                  </w:r>
                </w:p>
              </w:tc>
            </w:tr>
            <w:tr w14:paraId="475E00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01766BC3">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25CAC4C2">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505A4C99">
                  <w:pPr>
                    <w:pStyle w:val="15"/>
                    <w:bidi w:val="0"/>
                    <w:rPr>
                      <w:rFonts w:hint="eastAsia"/>
                    </w:rPr>
                  </w:pPr>
                  <w:r>
                    <w:rPr>
                      <w:rFonts w:hint="eastAsia"/>
                      <w:lang w:val="en-US" w:eastAsia="zh-CN"/>
                    </w:rPr>
                    <w:t>第二次</w:t>
                  </w:r>
                </w:p>
              </w:tc>
              <w:tc>
                <w:tcPr>
                  <w:tcW w:w="1124" w:type="pct"/>
                  <w:tcBorders>
                    <w:tl2br w:val="nil"/>
                    <w:tr2bl w:val="nil"/>
                  </w:tcBorders>
                  <w:shd w:val="clear" w:color="auto" w:fill="auto"/>
                  <w:tcMar>
                    <w:top w:w="0" w:type="dxa"/>
                    <w:left w:w="0" w:type="dxa"/>
                    <w:bottom w:w="0" w:type="dxa"/>
                    <w:right w:w="0" w:type="dxa"/>
                  </w:tcMar>
                  <w:vAlign w:val="center"/>
                </w:tcPr>
                <w:p w14:paraId="2D7F3E31">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715EEAB1">
                  <w:pPr>
                    <w:pStyle w:val="15"/>
                    <w:bidi w:val="0"/>
                    <w:rPr>
                      <w:rFonts w:hint="eastAsia"/>
                    </w:rPr>
                  </w:pPr>
                  <w:r>
                    <w:rPr>
                      <w:rFonts w:hint="eastAsia"/>
                      <w:lang w:val="en-US" w:eastAsia="zh-CN"/>
                    </w:rPr>
                    <w:t>ND</w:t>
                  </w:r>
                </w:p>
              </w:tc>
            </w:tr>
            <w:tr w14:paraId="33B675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3C4CECA0">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4AB3E8F6">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0F2404E9">
                  <w:pPr>
                    <w:pStyle w:val="15"/>
                    <w:bidi w:val="0"/>
                    <w:rPr>
                      <w:rFonts w:hint="eastAsia"/>
                    </w:rPr>
                  </w:pPr>
                  <w:r>
                    <w:rPr>
                      <w:rFonts w:hint="eastAsia"/>
                      <w:lang w:val="en-US" w:eastAsia="zh-CN"/>
                    </w:rPr>
                    <w:t>第三次</w:t>
                  </w:r>
                </w:p>
              </w:tc>
              <w:tc>
                <w:tcPr>
                  <w:tcW w:w="1124" w:type="pct"/>
                  <w:tcBorders>
                    <w:tl2br w:val="nil"/>
                    <w:tr2bl w:val="nil"/>
                  </w:tcBorders>
                  <w:shd w:val="clear" w:color="auto" w:fill="auto"/>
                  <w:tcMar>
                    <w:top w:w="0" w:type="dxa"/>
                    <w:left w:w="0" w:type="dxa"/>
                    <w:bottom w:w="0" w:type="dxa"/>
                    <w:right w:w="0" w:type="dxa"/>
                  </w:tcMar>
                  <w:vAlign w:val="center"/>
                </w:tcPr>
                <w:p w14:paraId="6F344A1F">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63B18A78">
                  <w:pPr>
                    <w:pStyle w:val="15"/>
                    <w:bidi w:val="0"/>
                    <w:rPr>
                      <w:rFonts w:hint="eastAsia"/>
                    </w:rPr>
                  </w:pPr>
                  <w:r>
                    <w:rPr>
                      <w:rFonts w:hint="eastAsia"/>
                      <w:lang w:val="en-US" w:eastAsia="zh-CN"/>
                    </w:rPr>
                    <w:t>ND</w:t>
                  </w:r>
                </w:p>
              </w:tc>
            </w:tr>
            <w:tr w14:paraId="3BA347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6C8790E3">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7636246C">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1B3E9B1F">
                  <w:pPr>
                    <w:pStyle w:val="15"/>
                    <w:bidi w:val="0"/>
                    <w:rPr>
                      <w:rFonts w:hint="eastAsia"/>
                    </w:rPr>
                  </w:pPr>
                  <w:r>
                    <w:rPr>
                      <w:rFonts w:hint="eastAsia"/>
                      <w:lang w:val="en-US" w:eastAsia="zh-CN"/>
                    </w:rPr>
                    <w:t>第四次</w:t>
                  </w:r>
                </w:p>
              </w:tc>
              <w:tc>
                <w:tcPr>
                  <w:tcW w:w="1124" w:type="pct"/>
                  <w:tcBorders>
                    <w:tl2br w:val="nil"/>
                    <w:tr2bl w:val="nil"/>
                  </w:tcBorders>
                  <w:shd w:val="clear" w:color="auto" w:fill="auto"/>
                  <w:tcMar>
                    <w:top w:w="0" w:type="dxa"/>
                    <w:left w:w="0" w:type="dxa"/>
                    <w:bottom w:w="0" w:type="dxa"/>
                    <w:right w:w="0" w:type="dxa"/>
                  </w:tcMar>
                  <w:vAlign w:val="center"/>
                </w:tcPr>
                <w:p w14:paraId="2D705E07">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1987EB57">
                  <w:pPr>
                    <w:pStyle w:val="15"/>
                    <w:bidi w:val="0"/>
                    <w:rPr>
                      <w:rFonts w:hint="eastAsia"/>
                    </w:rPr>
                  </w:pPr>
                  <w:r>
                    <w:rPr>
                      <w:rFonts w:hint="eastAsia"/>
                      <w:lang w:val="en-US" w:eastAsia="zh-CN"/>
                    </w:rPr>
                    <w:t>ND</w:t>
                  </w:r>
                </w:p>
              </w:tc>
            </w:tr>
            <w:tr w14:paraId="12FA06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5F7A4FE0">
                  <w:pPr>
                    <w:pStyle w:val="15"/>
                    <w:bidi w:val="0"/>
                    <w:rPr>
                      <w:rFonts w:hint="eastAsia"/>
                    </w:rPr>
                  </w:pPr>
                </w:p>
              </w:tc>
              <w:tc>
                <w:tcPr>
                  <w:tcW w:w="1007" w:type="pct"/>
                  <w:vMerge w:val="restart"/>
                  <w:tcBorders>
                    <w:tl2br w:val="nil"/>
                    <w:tr2bl w:val="nil"/>
                  </w:tcBorders>
                  <w:shd w:val="clear" w:color="auto" w:fill="auto"/>
                  <w:noWrap/>
                  <w:tcMar>
                    <w:top w:w="0" w:type="dxa"/>
                    <w:left w:w="0" w:type="dxa"/>
                    <w:bottom w:w="0" w:type="dxa"/>
                    <w:right w:w="0" w:type="dxa"/>
                  </w:tcMar>
                  <w:vAlign w:val="center"/>
                </w:tcPr>
                <w:p w14:paraId="18C19ECE">
                  <w:pPr>
                    <w:pStyle w:val="15"/>
                    <w:bidi w:val="0"/>
                    <w:rPr>
                      <w:rFonts w:hint="eastAsia"/>
                    </w:rPr>
                  </w:pPr>
                  <w:r>
                    <w:rPr>
                      <w:rFonts w:hint="eastAsia"/>
                      <w:lang w:val="en-US" w:eastAsia="zh-CN"/>
                    </w:rPr>
                    <w:t>1月19日</w:t>
                  </w:r>
                </w:p>
              </w:tc>
              <w:tc>
                <w:tcPr>
                  <w:tcW w:w="715" w:type="pct"/>
                  <w:tcBorders>
                    <w:tl2br w:val="nil"/>
                    <w:tr2bl w:val="nil"/>
                  </w:tcBorders>
                  <w:shd w:val="clear" w:color="auto" w:fill="auto"/>
                  <w:noWrap/>
                  <w:tcMar>
                    <w:top w:w="0" w:type="dxa"/>
                    <w:left w:w="0" w:type="dxa"/>
                    <w:bottom w:w="0" w:type="dxa"/>
                    <w:right w:w="0" w:type="dxa"/>
                  </w:tcMar>
                  <w:vAlign w:val="center"/>
                </w:tcPr>
                <w:p w14:paraId="459C6A30">
                  <w:pPr>
                    <w:pStyle w:val="15"/>
                    <w:bidi w:val="0"/>
                    <w:rPr>
                      <w:rFonts w:hint="eastAsia"/>
                    </w:rPr>
                  </w:pPr>
                  <w:r>
                    <w:rPr>
                      <w:rFonts w:hint="eastAsia"/>
                      <w:lang w:val="en-US" w:eastAsia="zh-CN"/>
                    </w:rPr>
                    <w:t>第一次</w:t>
                  </w:r>
                </w:p>
              </w:tc>
              <w:tc>
                <w:tcPr>
                  <w:tcW w:w="1124" w:type="pct"/>
                  <w:tcBorders>
                    <w:tl2br w:val="nil"/>
                    <w:tr2bl w:val="nil"/>
                  </w:tcBorders>
                  <w:shd w:val="clear" w:color="auto" w:fill="auto"/>
                  <w:tcMar>
                    <w:top w:w="0" w:type="dxa"/>
                    <w:left w:w="0" w:type="dxa"/>
                    <w:bottom w:w="0" w:type="dxa"/>
                    <w:right w:w="0" w:type="dxa"/>
                  </w:tcMar>
                  <w:vAlign w:val="center"/>
                </w:tcPr>
                <w:p w14:paraId="7B0632B2">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64D12DB3">
                  <w:pPr>
                    <w:pStyle w:val="15"/>
                    <w:bidi w:val="0"/>
                    <w:rPr>
                      <w:rFonts w:hint="eastAsia"/>
                    </w:rPr>
                  </w:pPr>
                  <w:r>
                    <w:rPr>
                      <w:rFonts w:hint="eastAsia"/>
                      <w:lang w:val="en-US" w:eastAsia="zh-CN"/>
                    </w:rPr>
                    <w:t>ND</w:t>
                  </w:r>
                </w:p>
              </w:tc>
            </w:tr>
            <w:tr w14:paraId="74FD8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77AE0E9F">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3826176D">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0E783E02">
                  <w:pPr>
                    <w:pStyle w:val="15"/>
                    <w:bidi w:val="0"/>
                    <w:rPr>
                      <w:rFonts w:hint="eastAsia"/>
                    </w:rPr>
                  </w:pPr>
                  <w:r>
                    <w:rPr>
                      <w:rFonts w:hint="eastAsia"/>
                      <w:lang w:val="en-US" w:eastAsia="zh-CN"/>
                    </w:rPr>
                    <w:t>第二次</w:t>
                  </w:r>
                </w:p>
              </w:tc>
              <w:tc>
                <w:tcPr>
                  <w:tcW w:w="1124" w:type="pct"/>
                  <w:tcBorders>
                    <w:tl2br w:val="nil"/>
                    <w:tr2bl w:val="nil"/>
                  </w:tcBorders>
                  <w:shd w:val="clear" w:color="auto" w:fill="auto"/>
                  <w:tcMar>
                    <w:top w:w="0" w:type="dxa"/>
                    <w:left w:w="0" w:type="dxa"/>
                    <w:bottom w:w="0" w:type="dxa"/>
                    <w:right w:w="0" w:type="dxa"/>
                  </w:tcMar>
                  <w:vAlign w:val="center"/>
                </w:tcPr>
                <w:p w14:paraId="067CA46F">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4B93C07C">
                  <w:pPr>
                    <w:pStyle w:val="15"/>
                    <w:bidi w:val="0"/>
                    <w:rPr>
                      <w:rFonts w:hint="eastAsia"/>
                    </w:rPr>
                  </w:pPr>
                  <w:r>
                    <w:rPr>
                      <w:rFonts w:hint="eastAsia"/>
                      <w:lang w:val="en-US" w:eastAsia="zh-CN"/>
                    </w:rPr>
                    <w:t>ND</w:t>
                  </w:r>
                </w:p>
              </w:tc>
            </w:tr>
            <w:tr w14:paraId="0A9919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1E0EDC3D">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1D2ACF6D">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241BBD2A">
                  <w:pPr>
                    <w:pStyle w:val="15"/>
                    <w:bidi w:val="0"/>
                    <w:rPr>
                      <w:rFonts w:hint="eastAsia"/>
                    </w:rPr>
                  </w:pPr>
                  <w:r>
                    <w:rPr>
                      <w:rFonts w:hint="eastAsia"/>
                      <w:lang w:val="en-US" w:eastAsia="zh-CN"/>
                    </w:rPr>
                    <w:t>第三次</w:t>
                  </w:r>
                </w:p>
              </w:tc>
              <w:tc>
                <w:tcPr>
                  <w:tcW w:w="1124" w:type="pct"/>
                  <w:tcBorders>
                    <w:tl2br w:val="nil"/>
                    <w:tr2bl w:val="nil"/>
                  </w:tcBorders>
                  <w:shd w:val="clear" w:color="auto" w:fill="auto"/>
                  <w:tcMar>
                    <w:top w:w="0" w:type="dxa"/>
                    <w:left w:w="0" w:type="dxa"/>
                    <w:bottom w:w="0" w:type="dxa"/>
                    <w:right w:w="0" w:type="dxa"/>
                  </w:tcMar>
                  <w:vAlign w:val="center"/>
                </w:tcPr>
                <w:p w14:paraId="6E9F36F2">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5FA27AA3">
                  <w:pPr>
                    <w:pStyle w:val="15"/>
                    <w:bidi w:val="0"/>
                    <w:rPr>
                      <w:rFonts w:hint="eastAsia"/>
                    </w:rPr>
                  </w:pPr>
                  <w:r>
                    <w:rPr>
                      <w:rFonts w:hint="eastAsia"/>
                      <w:lang w:val="en-US" w:eastAsia="zh-CN"/>
                    </w:rPr>
                    <w:t>ND</w:t>
                  </w:r>
                </w:p>
              </w:tc>
            </w:tr>
            <w:tr w14:paraId="39795B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0A0F5544">
                  <w:pPr>
                    <w:pStyle w:val="15"/>
                    <w:bidi w:val="0"/>
                    <w:rPr>
                      <w:rFonts w:hint="eastAsia"/>
                    </w:rPr>
                  </w:pPr>
                </w:p>
              </w:tc>
              <w:tc>
                <w:tcPr>
                  <w:tcW w:w="1007" w:type="pct"/>
                  <w:vMerge w:val="continue"/>
                  <w:tcBorders>
                    <w:tl2br w:val="nil"/>
                    <w:tr2bl w:val="nil"/>
                  </w:tcBorders>
                  <w:shd w:val="clear" w:color="auto" w:fill="auto"/>
                  <w:noWrap/>
                  <w:tcMar>
                    <w:top w:w="0" w:type="dxa"/>
                    <w:left w:w="0" w:type="dxa"/>
                    <w:bottom w:w="0" w:type="dxa"/>
                    <w:right w:w="0" w:type="dxa"/>
                  </w:tcMar>
                  <w:vAlign w:val="center"/>
                </w:tcPr>
                <w:p w14:paraId="7CEF5862">
                  <w:pPr>
                    <w:pStyle w:val="15"/>
                    <w:bidi w:val="0"/>
                    <w:rPr>
                      <w:rFonts w:hint="eastAsia"/>
                    </w:rPr>
                  </w:pPr>
                </w:p>
              </w:tc>
              <w:tc>
                <w:tcPr>
                  <w:tcW w:w="715" w:type="pct"/>
                  <w:tcBorders>
                    <w:tl2br w:val="nil"/>
                    <w:tr2bl w:val="nil"/>
                  </w:tcBorders>
                  <w:shd w:val="clear" w:color="auto" w:fill="auto"/>
                  <w:noWrap/>
                  <w:tcMar>
                    <w:top w:w="0" w:type="dxa"/>
                    <w:left w:w="0" w:type="dxa"/>
                    <w:bottom w:w="0" w:type="dxa"/>
                    <w:right w:w="0" w:type="dxa"/>
                  </w:tcMar>
                  <w:vAlign w:val="center"/>
                </w:tcPr>
                <w:p w14:paraId="1FB0A4F5">
                  <w:pPr>
                    <w:pStyle w:val="15"/>
                    <w:bidi w:val="0"/>
                    <w:rPr>
                      <w:rFonts w:hint="eastAsia"/>
                    </w:rPr>
                  </w:pPr>
                  <w:r>
                    <w:rPr>
                      <w:rFonts w:hint="eastAsia"/>
                      <w:lang w:val="en-US" w:eastAsia="zh-CN"/>
                    </w:rPr>
                    <w:t>第四次</w:t>
                  </w:r>
                </w:p>
              </w:tc>
              <w:tc>
                <w:tcPr>
                  <w:tcW w:w="1124" w:type="pct"/>
                  <w:tcBorders>
                    <w:tl2br w:val="nil"/>
                    <w:tr2bl w:val="nil"/>
                  </w:tcBorders>
                  <w:shd w:val="clear" w:color="auto" w:fill="auto"/>
                  <w:tcMar>
                    <w:top w:w="0" w:type="dxa"/>
                    <w:left w:w="0" w:type="dxa"/>
                    <w:bottom w:w="0" w:type="dxa"/>
                    <w:right w:w="0" w:type="dxa"/>
                  </w:tcMar>
                  <w:vAlign w:val="center"/>
                </w:tcPr>
                <w:p w14:paraId="725363E1">
                  <w:pPr>
                    <w:pStyle w:val="15"/>
                    <w:bidi w:val="0"/>
                    <w:rPr>
                      <w:rFonts w:hint="eastAsia"/>
                    </w:rPr>
                  </w:pPr>
                  <w:r>
                    <w:rPr>
                      <w:rFonts w:hint="eastAsia"/>
                      <w:lang w:val="en-US" w:eastAsia="zh-CN"/>
                    </w:rPr>
                    <w:t>ND</w:t>
                  </w:r>
                </w:p>
              </w:tc>
              <w:tc>
                <w:tcPr>
                  <w:tcW w:w="1193" w:type="pct"/>
                  <w:tcBorders>
                    <w:tl2br w:val="nil"/>
                    <w:tr2bl w:val="nil"/>
                  </w:tcBorders>
                  <w:shd w:val="clear" w:color="auto" w:fill="auto"/>
                  <w:tcMar>
                    <w:top w:w="0" w:type="dxa"/>
                    <w:left w:w="0" w:type="dxa"/>
                    <w:bottom w:w="0" w:type="dxa"/>
                    <w:right w:w="0" w:type="dxa"/>
                  </w:tcMar>
                  <w:vAlign w:val="center"/>
                </w:tcPr>
                <w:p w14:paraId="14A621AE">
                  <w:pPr>
                    <w:pStyle w:val="15"/>
                    <w:bidi w:val="0"/>
                    <w:rPr>
                      <w:rFonts w:hint="eastAsia"/>
                    </w:rPr>
                  </w:pPr>
                  <w:r>
                    <w:rPr>
                      <w:rFonts w:hint="eastAsia"/>
                      <w:lang w:val="en-US" w:eastAsia="zh-CN"/>
                    </w:rPr>
                    <w:t>ND</w:t>
                  </w:r>
                </w:p>
              </w:tc>
            </w:tr>
            <w:tr w14:paraId="07E33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59" w:type="pct"/>
                  <w:vMerge w:val="continue"/>
                  <w:tcBorders>
                    <w:tl2br w:val="nil"/>
                    <w:tr2bl w:val="nil"/>
                  </w:tcBorders>
                  <w:shd w:val="clear" w:color="auto" w:fill="auto"/>
                  <w:noWrap/>
                  <w:tcMar>
                    <w:top w:w="0" w:type="dxa"/>
                    <w:left w:w="0" w:type="dxa"/>
                    <w:bottom w:w="0" w:type="dxa"/>
                    <w:right w:w="0" w:type="dxa"/>
                  </w:tcMar>
                  <w:vAlign w:val="center"/>
                </w:tcPr>
                <w:p w14:paraId="6FA9028D">
                  <w:pPr>
                    <w:pStyle w:val="15"/>
                    <w:bidi w:val="0"/>
                    <w:rPr>
                      <w:rFonts w:hint="eastAsia"/>
                    </w:rPr>
                  </w:pPr>
                </w:p>
              </w:tc>
              <w:tc>
                <w:tcPr>
                  <w:tcW w:w="1722" w:type="pct"/>
                  <w:gridSpan w:val="2"/>
                  <w:tcBorders>
                    <w:tl2br w:val="nil"/>
                    <w:tr2bl w:val="nil"/>
                  </w:tcBorders>
                  <w:shd w:val="clear" w:color="auto" w:fill="auto"/>
                  <w:noWrap/>
                  <w:tcMar>
                    <w:top w:w="0" w:type="dxa"/>
                    <w:left w:w="0" w:type="dxa"/>
                    <w:bottom w:w="0" w:type="dxa"/>
                    <w:right w:w="0" w:type="dxa"/>
                  </w:tcMar>
                  <w:vAlign w:val="center"/>
                </w:tcPr>
                <w:p w14:paraId="3EB74EEC">
                  <w:pPr>
                    <w:pStyle w:val="15"/>
                    <w:bidi w:val="0"/>
                    <w:rPr>
                      <w:rFonts w:hint="eastAsia"/>
                    </w:rPr>
                  </w:pPr>
                  <w:r>
                    <w:rPr>
                      <w:rFonts w:hint="eastAsia"/>
                      <w:lang w:val="en-US" w:eastAsia="zh-CN"/>
                    </w:rPr>
                    <w:t>最大值</w:t>
                  </w:r>
                </w:p>
              </w:tc>
              <w:tc>
                <w:tcPr>
                  <w:tcW w:w="1124" w:type="pct"/>
                  <w:tcBorders>
                    <w:tl2br w:val="nil"/>
                    <w:tr2bl w:val="nil"/>
                  </w:tcBorders>
                  <w:shd w:val="clear" w:color="auto" w:fill="auto"/>
                  <w:noWrap/>
                  <w:tcMar>
                    <w:top w:w="0" w:type="dxa"/>
                    <w:left w:w="0" w:type="dxa"/>
                    <w:bottom w:w="0" w:type="dxa"/>
                    <w:right w:w="0" w:type="dxa"/>
                  </w:tcMar>
                  <w:vAlign w:val="center"/>
                </w:tcPr>
                <w:p w14:paraId="1353193A">
                  <w:pPr>
                    <w:pStyle w:val="15"/>
                    <w:bidi w:val="0"/>
                    <w:rPr>
                      <w:rFonts w:hint="eastAsia"/>
                    </w:rPr>
                  </w:pPr>
                  <w:r>
                    <w:rPr>
                      <w:rFonts w:hint="eastAsia"/>
                      <w:lang w:val="en-US" w:eastAsia="zh-CN"/>
                    </w:rPr>
                    <w:t>/</w:t>
                  </w:r>
                </w:p>
              </w:tc>
              <w:tc>
                <w:tcPr>
                  <w:tcW w:w="1193" w:type="pct"/>
                  <w:tcBorders>
                    <w:tl2br w:val="nil"/>
                    <w:tr2bl w:val="nil"/>
                  </w:tcBorders>
                  <w:shd w:val="clear" w:color="auto" w:fill="auto"/>
                  <w:noWrap/>
                  <w:tcMar>
                    <w:top w:w="0" w:type="dxa"/>
                    <w:left w:w="0" w:type="dxa"/>
                    <w:bottom w:w="0" w:type="dxa"/>
                    <w:right w:w="0" w:type="dxa"/>
                  </w:tcMar>
                  <w:vAlign w:val="center"/>
                </w:tcPr>
                <w:p w14:paraId="64D9D5C6">
                  <w:pPr>
                    <w:pStyle w:val="15"/>
                    <w:bidi w:val="0"/>
                    <w:rPr>
                      <w:rFonts w:hint="eastAsia"/>
                    </w:rPr>
                  </w:pPr>
                  <w:r>
                    <w:rPr>
                      <w:rFonts w:hint="eastAsia"/>
                      <w:lang w:val="en-US" w:eastAsia="zh-CN"/>
                    </w:rPr>
                    <w:t>/</w:t>
                  </w:r>
                </w:p>
              </w:tc>
            </w:tr>
            <w:tr w14:paraId="54A94B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681" w:type="pct"/>
                  <w:gridSpan w:val="3"/>
                  <w:tcBorders>
                    <w:tl2br w:val="nil"/>
                    <w:tr2bl w:val="nil"/>
                  </w:tcBorders>
                  <w:shd w:val="clear" w:color="auto" w:fill="auto"/>
                  <w:noWrap/>
                  <w:tcMar>
                    <w:top w:w="0" w:type="dxa"/>
                    <w:left w:w="0" w:type="dxa"/>
                    <w:bottom w:w="0" w:type="dxa"/>
                    <w:right w:w="0" w:type="dxa"/>
                  </w:tcMar>
                  <w:vAlign w:val="center"/>
                </w:tcPr>
                <w:p w14:paraId="0235B0AF">
                  <w:pPr>
                    <w:pStyle w:val="15"/>
                    <w:bidi w:val="0"/>
                    <w:rPr>
                      <w:rFonts w:hint="eastAsia"/>
                    </w:rPr>
                  </w:pPr>
                  <w:r>
                    <w:rPr>
                      <w:rFonts w:hint="eastAsia"/>
                      <w:lang w:val="en-US" w:eastAsia="zh-CN"/>
                    </w:rPr>
                    <w:t>达标情况</w:t>
                  </w:r>
                </w:p>
              </w:tc>
              <w:tc>
                <w:tcPr>
                  <w:tcW w:w="1124" w:type="pct"/>
                  <w:tcBorders>
                    <w:tl2br w:val="nil"/>
                    <w:tr2bl w:val="nil"/>
                  </w:tcBorders>
                  <w:shd w:val="clear" w:color="auto" w:fill="auto"/>
                  <w:noWrap/>
                  <w:tcMar>
                    <w:top w:w="0" w:type="dxa"/>
                    <w:left w:w="0" w:type="dxa"/>
                    <w:bottom w:w="0" w:type="dxa"/>
                    <w:right w:w="0" w:type="dxa"/>
                  </w:tcMar>
                  <w:vAlign w:val="center"/>
                </w:tcPr>
                <w:p w14:paraId="1DA58F78">
                  <w:pPr>
                    <w:pStyle w:val="15"/>
                    <w:bidi w:val="0"/>
                    <w:rPr>
                      <w:rFonts w:hint="eastAsia"/>
                    </w:rPr>
                  </w:pPr>
                  <w:r>
                    <w:rPr>
                      <w:rFonts w:hint="eastAsia"/>
                      <w:lang w:val="en-US" w:eastAsia="zh-CN"/>
                    </w:rPr>
                    <w:t>达标</w:t>
                  </w:r>
                </w:p>
              </w:tc>
              <w:tc>
                <w:tcPr>
                  <w:tcW w:w="1193" w:type="pct"/>
                  <w:tcBorders>
                    <w:tl2br w:val="nil"/>
                    <w:tr2bl w:val="nil"/>
                  </w:tcBorders>
                  <w:shd w:val="clear" w:color="auto" w:fill="auto"/>
                  <w:noWrap/>
                  <w:tcMar>
                    <w:top w:w="0" w:type="dxa"/>
                    <w:left w:w="0" w:type="dxa"/>
                    <w:bottom w:w="0" w:type="dxa"/>
                    <w:right w:w="0" w:type="dxa"/>
                  </w:tcMar>
                  <w:vAlign w:val="center"/>
                </w:tcPr>
                <w:p w14:paraId="3F7D73EF">
                  <w:pPr>
                    <w:pStyle w:val="15"/>
                    <w:bidi w:val="0"/>
                    <w:rPr>
                      <w:rFonts w:hint="eastAsia"/>
                    </w:rPr>
                  </w:pPr>
                  <w:r>
                    <w:rPr>
                      <w:rFonts w:hint="eastAsia"/>
                      <w:lang w:val="en-US" w:eastAsia="zh-CN"/>
                    </w:rPr>
                    <w:t>达标</w:t>
                  </w:r>
                </w:p>
              </w:tc>
            </w:tr>
          </w:tbl>
          <w:p w14:paraId="049FF627">
            <w:pPr>
              <w:pStyle w:val="16"/>
              <w:bidi w:val="0"/>
              <w:rPr>
                <w:rFonts w:hint="default"/>
                <w:lang w:val="en-US" w:eastAsia="zh-CN"/>
              </w:rPr>
            </w:pPr>
            <w:r>
              <w:t xml:space="preserve">表 </w:t>
            </w:r>
            <w:r>
              <w:fldChar w:fldCharType="begin"/>
            </w:r>
            <w:r>
              <w:instrText xml:space="preserve"> SEQ 表 \* ARABIC </w:instrText>
            </w:r>
            <w:r>
              <w:fldChar w:fldCharType="separate"/>
            </w:r>
            <w:r>
              <w:t>17</w:t>
            </w:r>
            <w:r>
              <w:fldChar w:fldCharType="end"/>
            </w:r>
            <w:r>
              <w:rPr>
                <w:rFonts w:hint="eastAsia"/>
                <w:lang w:val="en-US" w:eastAsia="zh-CN"/>
              </w:rPr>
              <w:t xml:space="preserve">  </w:t>
            </w:r>
            <w:r>
              <w:rPr>
                <w:rFonts w:hint="eastAsia"/>
              </w:rPr>
              <w:t>补充现状监测中</w:t>
            </w:r>
            <w:r>
              <w:rPr>
                <w:rFonts w:hint="eastAsia"/>
                <w:lang w:val="en-US" w:eastAsia="zh-CN"/>
              </w:rPr>
              <w:t>监测因子</w:t>
            </w:r>
            <w:r>
              <w:t>浓度统计结果</w:t>
            </w:r>
            <w:r>
              <w:rPr>
                <w:rFonts w:hint="eastAsia"/>
              </w:rPr>
              <w:t>一览表</w:t>
            </w:r>
            <w:r>
              <w:rPr>
                <w:rFonts w:hint="eastAsia"/>
                <w:lang w:eastAsia="zh-CN"/>
              </w:rPr>
              <w:t>（</w:t>
            </w:r>
            <w:r>
              <w:rPr>
                <w:rFonts w:hint="eastAsia"/>
                <w:lang w:val="en-US" w:eastAsia="zh-CN"/>
              </w:rPr>
              <w:t>日均值</w:t>
            </w:r>
            <w:r>
              <w:rPr>
                <w:rFonts w:hint="eastAsia"/>
                <w:lang w:eastAsia="zh-CN"/>
              </w:rPr>
              <w:t>）</w:t>
            </w:r>
          </w:p>
          <w:tbl>
            <w:tblPr>
              <w:tblStyle w:val="11"/>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14"/>
              <w:gridCol w:w="1900"/>
              <w:gridCol w:w="1127"/>
              <w:gridCol w:w="1128"/>
              <w:gridCol w:w="1127"/>
              <w:gridCol w:w="1146"/>
            </w:tblGrid>
            <w:tr w14:paraId="61C19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49" w:type="pct"/>
                  <w:gridSpan w:val="2"/>
                  <w:tcBorders>
                    <w:tl2br w:val="nil"/>
                    <w:tr2bl w:val="nil"/>
                  </w:tcBorders>
                  <w:shd w:val="clear" w:color="auto" w:fill="auto"/>
                  <w:noWrap/>
                  <w:tcMar>
                    <w:top w:w="0" w:type="dxa"/>
                    <w:left w:w="0" w:type="dxa"/>
                    <w:bottom w:w="0" w:type="dxa"/>
                    <w:right w:w="0" w:type="dxa"/>
                  </w:tcMar>
                  <w:vAlign w:val="center"/>
                </w:tcPr>
                <w:p w14:paraId="24DF328E">
                  <w:pPr>
                    <w:pStyle w:val="15"/>
                    <w:bidi w:val="0"/>
                    <w:rPr>
                      <w:rFonts w:hint="eastAsia"/>
                    </w:rPr>
                  </w:pPr>
                  <w:r>
                    <w:rPr>
                      <w:rFonts w:hint="eastAsia"/>
                      <w:lang w:val="en-US" w:eastAsia="zh-CN"/>
                    </w:rPr>
                    <w:t>监测点位</w:t>
                  </w:r>
                </w:p>
              </w:tc>
              <w:tc>
                <w:tcPr>
                  <w:tcW w:w="1419" w:type="pct"/>
                  <w:gridSpan w:val="2"/>
                  <w:tcBorders>
                    <w:tl2br w:val="nil"/>
                    <w:tr2bl w:val="nil"/>
                  </w:tcBorders>
                  <w:shd w:val="clear" w:color="auto" w:fill="auto"/>
                  <w:noWrap/>
                  <w:tcMar>
                    <w:top w:w="0" w:type="dxa"/>
                    <w:left w:w="0" w:type="dxa"/>
                    <w:bottom w:w="0" w:type="dxa"/>
                    <w:right w:w="0" w:type="dxa"/>
                  </w:tcMar>
                  <w:vAlign w:val="center"/>
                </w:tcPr>
                <w:p w14:paraId="4CD52ED4">
                  <w:pPr>
                    <w:pStyle w:val="15"/>
                    <w:bidi w:val="0"/>
                    <w:rPr>
                      <w:rFonts w:hint="eastAsia"/>
                    </w:rPr>
                  </w:pPr>
                  <w:r>
                    <w:rPr>
                      <w:rFonts w:hint="eastAsia"/>
                      <w:lang w:val="en-US" w:eastAsia="zh-CN"/>
                    </w:rPr>
                    <w:t>厂址</w:t>
                  </w:r>
                </w:p>
              </w:tc>
              <w:tc>
                <w:tcPr>
                  <w:tcW w:w="1430" w:type="pct"/>
                  <w:gridSpan w:val="2"/>
                  <w:tcBorders>
                    <w:tl2br w:val="nil"/>
                    <w:tr2bl w:val="nil"/>
                  </w:tcBorders>
                  <w:shd w:val="clear" w:color="auto" w:fill="auto"/>
                  <w:noWrap/>
                  <w:tcMar>
                    <w:top w:w="0" w:type="dxa"/>
                    <w:left w:w="0" w:type="dxa"/>
                    <w:bottom w:w="0" w:type="dxa"/>
                    <w:right w:w="0" w:type="dxa"/>
                  </w:tcMar>
                  <w:vAlign w:val="center"/>
                </w:tcPr>
                <w:p w14:paraId="49E8E858">
                  <w:pPr>
                    <w:pStyle w:val="15"/>
                    <w:bidi w:val="0"/>
                    <w:rPr>
                      <w:rFonts w:hint="eastAsia"/>
                    </w:rPr>
                  </w:pPr>
                  <w:r>
                    <w:rPr>
                      <w:rFonts w:hint="eastAsia"/>
                      <w:lang w:val="en-US" w:eastAsia="zh-CN"/>
                    </w:rPr>
                    <w:t>厂址下风向</w:t>
                  </w:r>
                </w:p>
              </w:tc>
            </w:tr>
            <w:tr w14:paraId="4917F9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149" w:type="pct"/>
                  <w:gridSpan w:val="2"/>
                  <w:tcBorders>
                    <w:tl2br w:val="nil"/>
                    <w:tr2bl w:val="nil"/>
                  </w:tcBorders>
                  <w:shd w:val="clear" w:color="auto" w:fill="auto"/>
                  <w:noWrap/>
                  <w:tcMar>
                    <w:top w:w="0" w:type="dxa"/>
                    <w:left w:w="0" w:type="dxa"/>
                    <w:bottom w:w="0" w:type="dxa"/>
                    <w:right w:w="0" w:type="dxa"/>
                  </w:tcMar>
                  <w:vAlign w:val="center"/>
                </w:tcPr>
                <w:p w14:paraId="47A30C22">
                  <w:pPr>
                    <w:pStyle w:val="15"/>
                    <w:bidi w:val="0"/>
                    <w:rPr>
                      <w:rFonts w:hint="eastAsia"/>
                    </w:rPr>
                  </w:pPr>
                  <w:r>
                    <w:rPr>
                      <w:rFonts w:hint="eastAsia"/>
                      <w:lang w:val="en-US" w:eastAsia="zh-CN"/>
                    </w:rPr>
                    <w:t>污染物项目</w:t>
                  </w:r>
                </w:p>
              </w:tc>
              <w:tc>
                <w:tcPr>
                  <w:tcW w:w="709" w:type="pct"/>
                  <w:tcBorders>
                    <w:tl2br w:val="nil"/>
                    <w:tr2bl w:val="nil"/>
                  </w:tcBorders>
                  <w:shd w:val="clear" w:color="auto" w:fill="auto"/>
                  <w:noWrap/>
                  <w:tcMar>
                    <w:top w:w="0" w:type="dxa"/>
                    <w:left w:w="0" w:type="dxa"/>
                    <w:bottom w:w="0" w:type="dxa"/>
                    <w:right w:w="0" w:type="dxa"/>
                  </w:tcMar>
                  <w:vAlign w:val="center"/>
                </w:tcPr>
                <w:p w14:paraId="71BA8216">
                  <w:pPr>
                    <w:pStyle w:val="15"/>
                    <w:bidi w:val="0"/>
                    <w:rPr>
                      <w:rFonts w:hint="eastAsia"/>
                    </w:rPr>
                  </w:pPr>
                  <w:r>
                    <w:rPr>
                      <w:rFonts w:hint="eastAsia"/>
                      <w:lang w:val="en-US" w:eastAsia="zh-CN"/>
                    </w:rPr>
                    <w:t>TSP</w:t>
                  </w:r>
                </w:p>
              </w:tc>
              <w:tc>
                <w:tcPr>
                  <w:tcW w:w="709" w:type="pct"/>
                  <w:tcBorders>
                    <w:tl2br w:val="nil"/>
                    <w:tr2bl w:val="nil"/>
                  </w:tcBorders>
                  <w:shd w:val="clear" w:color="auto" w:fill="auto"/>
                  <w:noWrap/>
                  <w:tcMar>
                    <w:top w:w="0" w:type="dxa"/>
                    <w:left w:w="0" w:type="dxa"/>
                    <w:bottom w:w="0" w:type="dxa"/>
                    <w:right w:w="0" w:type="dxa"/>
                  </w:tcMar>
                  <w:vAlign w:val="center"/>
                </w:tcPr>
                <w:p w14:paraId="0082D309">
                  <w:pPr>
                    <w:pStyle w:val="15"/>
                    <w:bidi w:val="0"/>
                    <w:rPr>
                      <w:rFonts w:hint="eastAsia"/>
                    </w:rPr>
                  </w:pPr>
                  <w:r>
                    <w:rPr>
                      <w:rFonts w:hint="eastAsia"/>
                      <w:lang w:val="en-US" w:eastAsia="zh-CN"/>
                    </w:rPr>
                    <w:t>氯化氢</w:t>
                  </w:r>
                </w:p>
              </w:tc>
              <w:tc>
                <w:tcPr>
                  <w:tcW w:w="709" w:type="pct"/>
                  <w:tcBorders>
                    <w:tl2br w:val="nil"/>
                    <w:tr2bl w:val="nil"/>
                  </w:tcBorders>
                  <w:shd w:val="clear" w:color="auto" w:fill="auto"/>
                  <w:noWrap/>
                  <w:tcMar>
                    <w:top w:w="0" w:type="dxa"/>
                    <w:left w:w="0" w:type="dxa"/>
                    <w:bottom w:w="0" w:type="dxa"/>
                    <w:right w:w="0" w:type="dxa"/>
                  </w:tcMar>
                  <w:vAlign w:val="center"/>
                </w:tcPr>
                <w:p w14:paraId="1E6A581C">
                  <w:pPr>
                    <w:pStyle w:val="15"/>
                    <w:bidi w:val="0"/>
                    <w:rPr>
                      <w:rFonts w:hint="eastAsia"/>
                    </w:rPr>
                  </w:pPr>
                  <w:r>
                    <w:rPr>
                      <w:rFonts w:hint="eastAsia"/>
                      <w:lang w:val="en-US" w:eastAsia="zh-CN"/>
                    </w:rPr>
                    <w:t>TSP</w:t>
                  </w:r>
                </w:p>
              </w:tc>
              <w:tc>
                <w:tcPr>
                  <w:tcW w:w="720" w:type="pct"/>
                  <w:tcBorders>
                    <w:tl2br w:val="nil"/>
                    <w:tr2bl w:val="nil"/>
                  </w:tcBorders>
                  <w:shd w:val="clear" w:color="auto" w:fill="auto"/>
                  <w:noWrap/>
                  <w:tcMar>
                    <w:top w:w="0" w:type="dxa"/>
                    <w:left w:w="0" w:type="dxa"/>
                    <w:bottom w:w="0" w:type="dxa"/>
                    <w:right w:w="0" w:type="dxa"/>
                  </w:tcMar>
                  <w:vAlign w:val="center"/>
                </w:tcPr>
                <w:p w14:paraId="244BF49B">
                  <w:pPr>
                    <w:pStyle w:val="15"/>
                    <w:bidi w:val="0"/>
                    <w:rPr>
                      <w:rFonts w:hint="eastAsia"/>
                    </w:rPr>
                  </w:pPr>
                  <w:r>
                    <w:rPr>
                      <w:rFonts w:hint="eastAsia"/>
                      <w:lang w:val="en-US" w:eastAsia="zh-CN"/>
                    </w:rPr>
                    <w:t>氯化氢</w:t>
                  </w:r>
                </w:p>
              </w:tc>
            </w:tr>
            <w:tr w14:paraId="2E420C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149" w:type="pct"/>
                  <w:gridSpan w:val="2"/>
                  <w:tcBorders>
                    <w:tl2br w:val="nil"/>
                    <w:tr2bl w:val="nil"/>
                  </w:tcBorders>
                  <w:shd w:val="clear" w:color="auto" w:fill="auto"/>
                  <w:noWrap/>
                  <w:tcMar>
                    <w:top w:w="0" w:type="dxa"/>
                    <w:left w:w="0" w:type="dxa"/>
                    <w:bottom w:w="0" w:type="dxa"/>
                    <w:right w:w="0" w:type="dxa"/>
                  </w:tcMar>
                  <w:vAlign w:val="center"/>
                </w:tcPr>
                <w:p w14:paraId="076321D1">
                  <w:pPr>
                    <w:pStyle w:val="15"/>
                    <w:bidi w:val="0"/>
                    <w:rPr>
                      <w:rFonts w:hint="eastAsia"/>
                    </w:rPr>
                  </w:pPr>
                  <w:r>
                    <w:rPr>
                      <w:rFonts w:hint="eastAsia"/>
                      <w:lang w:val="en-US" w:eastAsia="zh-CN"/>
                    </w:rPr>
                    <w:t>单位</w:t>
                  </w:r>
                </w:p>
              </w:tc>
              <w:tc>
                <w:tcPr>
                  <w:tcW w:w="709" w:type="pct"/>
                  <w:tcBorders>
                    <w:tl2br w:val="nil"/>
                    <w:tr2bl w:val="nil"/>
                  </w:tcBorders>
                  <w:shd w:val="clear" w:color="auto" w:fill="auto"/>
                  <w:noWrap/>
                  <w:tcMar>
                    <w:top w:w="0" w:type="dxa"/>
                    <w:left w:w="0" w:type="dxa"/>
                    <w:bottom w:w="0" w:type="dxa"/>
                    <w:right w:w="0" w:type="dxa"/>
                  </w:tcMar>
                  <w:vAlign w:val="center"/>
                </w:tcPr>
                <w:p w14:paraId="6F30D5F9">
                  <w:pPr>
                    <w:pStyle w:val="15"/>
                    <w:bidi w:val="0"/>
                    <w:rPr>
                      <w:rFonts w:hint="default"/>
                    </w:rPr>
                  </w:pPr>
                  <w:r>
                    <w:rPr>
                      <w:rFonts w:hint="default"/>
                      <w:lang w:val="en-US" w:eastAsia="zh-CN"/>
                    </w:rPr>
                    <w:t>mg/m</w:t>
                  </w:r>
                  <w:r>
                    <w:rPr>
                      <w:rFonts w:hint="default"/>
                      <w:vertAlign w:val="superscript"/>
                      <w:lang w:val="en-US" w:eastAsia="zh-CN"/>
                    </w:rPr>
                    <w:t>3</w:t>
                  </w:r>
                </w:p>
              </w:tc>
              <w:tc>
                <w:tcPr>
                  <w:tcW w:w="709" w:type="pct"/>
                  <w:tcBorders>
                    <w:tl2br w:val="nil"/>
                    <w:tr2bl w:val="nil"/>
                  </w:tcBorders>
                  <w:shd w:val="clear" w:color="auto" w:fill="auto"/>
                  <w:noWrap/>
                  <w:tcMar>
                    <w:top w:w="0" w:type="dxa"/>
                    <w:left w:w="0" w:type="dxa"/>
                    <w:bottom w:w="0" w:type="dxa"/>
                    <w:right w:w="0" w:type="dxa"/>
                  </w:tcMar>
                  <w:vAlign w:val="center"/>
                </w:tcPr>
                <w:p w14:paraId="6BDC6164">
                  <w:pPr>
                    <w:pStyle w:val="15"/>
                    <w:bidi w:val="0"/>
                    <w:rPr>
                      <w:rFonts w:hint="default"/>
                    </w:rPr>
                  </w:pPr>
                  <w:r>
                    <w:rPr>
                      <w:rFonts w:hint="default"/>
                      <w:lang w:val="en-US" w:eastAsia="zh-CN"/>
                    </w:rPr>
                    <w:t>μg/m</w:t>
                  </w:r>
                  <w:r>
                    <w:rPr>
                      <w:rFonts w:hint="default"/>
                      <w:vertAlign w:val="superscript"/>
                      <w:lang w:val="en-US" w:eastAsia="zh-CN"/>
                    </w:rPr>
                    <w:t>3</w:t>
                  </w:r>
                </w:p>
              </w:tc>
              <w:tc>
                <w:tcPr>
                  <w:tcW w:w="709" w:type="pct"/>
                  <w:tcBorders>
                    <w:tl2br w:val="nil"/>
                    <w:tr2bl w:val="nil"/>
                  </w:tcBorders>
                  <w:shd w:val="clear" w:color="auto" w:fill="auto"/>
                  <w:noWrap/>
                  <w:tcMar>
                    <w:top w:w="0" w:type="dxa"/>
                    <w:left w:w="0" w:type="dxa"/>
                    <w:bottom w:w="0" w:type="dxa"/>
                    <w:right w:w="0" w:type="dxa"/>
                  </w:tcMar>
                  <w:vAlign w:val="center"/>
                </w:tcPr>
                <w:p w14:paraId="61D3295D">
                  <w:pPr>
                    <w:pStyle w:val="15"/>
                    <w:bidi w:val="0"/>
                    <w:rPr>
                      <w:rFonts w:hint="default"/>
                    </w:rPr>
                  </w:pPr>
                  <w:r>
                    <w:rPr>
                      <w:rFonts w:hint="default"/>
                      <w:lang w:val="en-US" w:eastAsia="zh-CN"/>
                    </w:rPr>
                    <w:t>mg/m</w:t>
                  </w:r>
                  <w:r>
                    <w:rPr>
                      <w:rFonts w:hint="default"/>
                      <w:vertAlign w:val="superscript"/>
                      <w:lang w:val="en-US" w:eastAsia="zh-CN"/>
                    </w:rPr>
                    <w:t>3</w:t>
                  </w:r>
                </w:p>
              </w:tc>
              <w:tc>
                <w:tcPr>
                  <w:tcW w:w="720" w:type="pct"/>
                  <w:tcBorders>
                    <w:tl2br w:val="nil"/>
                    <w:tr2bl w:val="nil"/>
                  </w:tcBorders>
                  <w:shd w:val="clear" w:color="auto" w:fill="auto"/>
                  <w:noWrap/>
                  <w:tcMar>
                    <w:top w:w="0" w:type="dxa"/>
                    <w:left w:w="0" w:type="dxa"/>
                    <w:bottom w:w="0" w:type="dxa"/>
                    <w:right w:w="0" w:type="dxa"/>
                  </w:tcMar>
                  <w:vAlign w:val="center"/>
                </w:tcPr>
                <w:p w14:paraId="15D9E915">
                  <w:pPr>
                    <w:pStyle w:val="15"/>
                    <w:bidi w:val="0"/>
                    <w:rPr>
                      <w:rFonts w:hint="default"/>
                    </w:rPr>
                  </w:pPr>
                  <w:r>
                    <w:rPr>
                      <w:rFonts w:hint="default"/>
                      <w:lang w:val="en-US" w:eastAsia="zh-CN"/>
                    </w:rPr>
                    <w:t>μg/m</w:t>
                  </w:r>
                  <w:r>
                    <w:rPr>
                      <w:rFonts w:hint="default"/>
                      <w:vertAlign w:val="superscript"/>
                      <w:lang w:val="en-US" w:eastAsia="zh-CN"/>
                    </w:rPr>
                    <w:t>3</w:t>
                  </w:r>
                </w:p>
              </w:tc>
            </w:tr>
            <w:tr w14:paraId="5A2144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149" w:type="pct"/>
                  <w:gridSpan w:val="2"/>
                  <w:vMerge w:val="restart"/>
                  <w:tcBorders>
                    <w:tl2br w:val="nil"/>
                    <w:tr2bl w:val="nil"/>
                  </w:tcBorders>
                  <w:shd w:val="clear" w:color="auto" w:fill="auto"/>
                  <w:noWrap/>
                  <w:tcMar>
                    <w:top w:w="0" w:type="dxa"/>
                    <w:left w:w="0" w:type="dxa"/>
                    <w:bottom w:w="0" w:type="dxa"/>
                    <w:right w:w="0" w:type="dxa"/>
                  </w:tcMar>
                  <w:vAlign w:val="center"/>
                </w:tcPr>
                <w:p w14:paraId="536377CB">
                  <w:pPr>
                    <w:pStyle w:val="15"/>
                    <w:bidi w:val="0"/>
                    <w:rPr>
                      <w:rFonts w:hint="eastAsia"/>
                    </w:rPr>
                  </w:pPr>
                  <w:r>
                    <w:rPr>
                      <w:rFonts w:hint="eastAsia"/>
                      <w:lang w:val="en-US" w:eastAsia="zh-CN"/>
                    </w:rPr>
                    <w:t>标准限值</w:t>
                  </w:r>
                </w:p>
              </w:tc>
              <w:tc>
                <w:tcPr>
                  <w:tcW w:w="709" w:type="pct"/>
                  <w:tcBorders>
                    <w:tl2br w:val="nil"/>
                    <w:tr2bl w:val="nil"/>
                  </w:tcBorders>
                  <w:shd w:val="clear" w:color="auto" w:fill="auto"/>
                  <w:noWrap/>
                  <w:tcMar>
                    <w:top w:w="0" w:type="dxa"/>
                    <w:left w:w="0" w:type="dxa"/>
                    <w:bottom w:w="0" w:type="dxa"/>
                    <w:right w:w="0" w:type="dxa"/>
                  </w:tcMar>
                  <w:vAlign w:val="center"/>
                </w:tcPr>
                <w:p w14:paraId="2CD021DE">
                  <w:pPr>
                    <w:pStyle w:val="15"/>
                    <w:bidi w:val="0"/>
                    <w:rPr>
                      <w:rFonts w:hint="eastAsia"/>
                    </w:rPr>
                  </w:pPr>
                  <w:r>
                    <w:rPr>
                      <w:rFonts w:hint="eastAsia"/>
                      <w:lang w:val="en-US" w:eastAsia="zh-CN"/>
                    </w:rPr>
                    <w:t>日平均</w:t>
                  </w:r>
                </w:p>
              </w:tc>
              <w:tc>
                <w:tcPr>
                  <w:tcW w:w="709" w:type="pct"/>
                  <w:tcBorders>
                    <w:tl2br w:val="nil"/>
                    <w:tr2bl w:val="nil"/>
                  </w:tcBorders>
                  <w:shd w:val="clear" w:color="auto" w:fill="auto"/>
                  <w:noWrap/>
                  <w:tcMar>
                    <w:top w:w="0" w:type="dxa"/>
                    <w:left w:w="0" w:type="dxa"/>
                    <w:bottom w:w="0" w:type="dxa"/>
                    <w:right w:w="0" w:type="dxa"/>
                  </w:tcMar>
                  <w:vAlign w:val="center"/>
                </w:tcPr>
                <w:p w14:paraId="5CE26579">
                  <w:pPr>
                    <w:pStyle w:val="15"/>
                    <w:bidi w:val="0"/>
                    <w:rPr>
                      <w:rFonts w:hint="eastAsia"/>
                    </w:rPr>
                  </w:pPr>
                  <w:r>
                    <w:rPr>
                      <w:rFonts w:hint="eastAsia"/>
                      <w:lang w:val="en-US" w:eastAsia="zh-CN"/>
                    </w:rPr>
                    <w:t>日平均</w:t>
                  </w:r>
                </w:p>
              </w:tc>
              <w:tc>
                <w:tcPr>
                  <w:tcW w:w="709" w:type="pct"/>
                  <w:tcBorders>
                    <w:tl2br w:val="nil"/>
                    <w:tr2bl w:val="nil"/>
                  </w:tcBorders>
                  <w:shd w:val="clear" w:color="auto" w:fill="auto"/>
                  <w:noWrap/>
                  <w:tcMar>
                    <w:top w:w="0" w:type="dxa"/>
                    <w:left w:w="0" w:type="dxa"/>
                    <w:bottom w:w="0" w:type="dxa"/>
                    <w:right w:w="0" w:type="dxa"/>
                  </w:tcMar>
                  <w:vAlign w:val="center"/>
                </w:tcPr>
                <w:p w14:paraId="47A131A2">
                  <w:pPr>
                    <w:pStyle w:val="15"/>
                    <w:bidi w:val="0"/>
                    <w:rPr>
                      <w:rFonts w:hint="eastAsia"/>
                    </w:rPr>
                  </w:pPr>
                  <w:r>
                    <w:rPr>
                      <w:rFonts w:hint="eastAsia"/>
                      <w:lang w:val="en-US" w:eastAsia="zh-CN"/>
                    </w:rPr>
                    <w:t>日平均</w:t>
                  </w:r>
                </w:p>
              </w:tc>
              <w:tc>
                <w:tcPr>
                  <w:tcW w:w="720" w:type="pct"/>
                  <w:tcBorders>
                    <w:tl2br w:val="nil"/>
                    <w:tr2bl w:val="nil"/>
                  </w:tcBorders>
                  <w:shd w:val="clear" w:color="auto" w:fill="auto"/>
                  <w:noWrap/>
                  <w:tcMar>
                    <w:top w:w="0" w:type="dxa"/>
                    <w:left w:w="0" w:type="dxa"/>
                    <w:bottom w:w="0" w:type="dxa"/>
                    <w:right w:w="0" w:type="dxa"/>
                  </w:tcMar>
                  <w:vAlign w:val="center"/>
                </w:tcPr>
                <w:p w14:paraId="29D5F4BE">
                  <w:pPr>
                    <w:pStyle w:val="15"/>
                    <w:bidi w:val="0"/>
                    <w:rPr>
                      <w:rFonts w:hint="eastAsia"/>
                    </w:rPr>
                  </w:pPr>
                  <w:r>
                    <w:rPr>
                      <w:rFonts w:hint="eastAsia"/>
                      <w:lang w:val="en-US" w:eastAsia="zh-CN"/>
                    </w:rPr>
                    <w:t>日平均</w:t>
                  </w:r>
                </w:p>
              </w:tc>
            </w:tr>
            <w:tr w14:paraId="68F19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49" w:type="pct"/>
                  <w:gridSpan w:val="2"/>
                  <w:vMerge w:val="continue"/>
                  <w:tcBorders>
                    <w:tl2br w:val="nil"/>
                    <w:tr2bl w:val="nil"/>
                  </w:tcBorders>
                  <w:shd w:val="clear" w:color="auto" w:fill="auto"/>
                  <w:noWrap/>
                  <w:tcMar>
                    <w:top w:w="0" w:type="dxa"/>
                    <w:left w:w="0" w:type="dxa"/>
                    <w:bottom w:w="0" w:type="dxa"/>
                    <w:right w:w="0" w:type="dxa"/>
                  </w:tcMar>
                  <w:vAlign w:val="center"/>
                </w:tcPr>
                <w:p w14:paraId="0C124140">
                  <w:pPr>
                    <w:pStyle w:val="15"/>
                    <w:bidi w:val="0"/>
                    <w:rPr>
                      <w:rFonts w:hint="eastAsia"/>
                    </w:rPr>
                  </w:pPr>
                </w:p>
              </w:tc>
              <w:tc>
                <w:tcPr>
                  <w:tcW w:w="709" w:type="pct"/>
                  <w:tcBorders>
                    <w:tl2br w:val="nil"/>
                    <w:tr2bl w:val="nil"/>
                  </w:tcBorders>
                  <w:shd w:val="clear" w:color="auto" w:fill="auto"/>
                  <w:noWrap/>
                  <w:tcMar>
                    <w:top w:w="0" w:type="dxa"/>
                    <w:left w:w="0" w:type="dxa"/>
                    <w:bottom w:w="0" w:type="dxa"/>
                    <w:right w:w="0" w:type="dxa"/>
                  </w:tcMar>
                  <w:vAlign w:val="center"/>
                </w:tcPr>
                <w:p w14:paraId="4166ECB5">
                  <w:pPr>
                    <w:pStyle w:val="15"/>
                    <w:bidi w:val="0"/>
                    <w:rPr>
                      <w:rFonts w:hint="eastAsia"/>
                    </w:rPr>
                  </w:pPr>
                  <w:r>
                    <w:rPr>
                      <w:rFonts w:hint="eastAsia"/>
                      <w:lang w:val="en-US" w:eastAsia="zh-CN"/>
                    </w:rPr>
                    <w:t>0.3</w:t>
                  </w:r>
                </w:p>
              </w:tc>
              <w:tc>
                <w:tcPr>
                  <w:tcW w:w="709" w:type="pct"/>
                  <w:tcBorders>
                    <w:tl2br w:val="nil"/>
                    <w:tr2bl w:val="nil"/>
                  </w:tcBorders>
                  <w:shd w:val="clear" w:color="auto" w:fill="auto"/>
                  <w:noWrap/>
                  <w:tcMar>
                    <w:top w:w="0" w:type="dxa"/>
                    <w:left w:w="0" w:type="dxa"/>
                    <w:bottom w:w="0" w:type="dxa"/>
                    <w:right w:w="0" w:type="dxa"/>
                  </w:tcMar>
                  <w:vAlign w:val="center"/>
                </w:tcPr>
                <w:p w14:paraId="44BA5C53">
                  <w:pPr>
                    <w:pStyle w:val="15"/>
                    <w:bidi w:val="0"/>
                    <w:rPr>
                      <w:rFonts w:hint="eastAsia"/>
                    </w:rPr>
                  </w:pPr>
                  <w:r>
                    <w:rPr>
                      <w:rFonts w:hint="eastAsia"/>
                      <w:lang w:val="en-US" w:eastAsia="zh-CN"/>
                    </w:rPr>
                    <w:t>15</w:t>
                  </w:r>
                </w:p>
              </w:tc>
              <w:tc>
                <w:tcPr>
                  <w:tcW w:w="709" w:type="pct"/>
                  <w:tcBorders>
                    <w:tl2br w:val="nil"/>
                    <w:tr2bl w:val="nil"/>
                  </w:tcBorders>
                  <w:shd w:val="clear" w:color="auto" w:fill="auto"/>
                  <w:noWrap/>
                  <w:tcMar>
                    <w:top w:w="0" w:type="dxa"/>
                    <w:left w:w="0" w:type="dxa"/>
                    <w:bottom w:w="0" w:type="dxa"/>
                    <w:right w:w="0" w:type="dxa"/>
                  </w:tcMar>
                  <w:vAlign w:val="center"/>
                </w:tcPr>
                <w:p w14:paraId="4FAFC14F">
                  <w:pPr>
                    <w:pStyle w:val="15"/>
                    <w:bidi w:val="0"/>
                    <w:rPr>
                      <w:rFonts w:hint="eastAsia"/>
                    </w:rPr>
                  </w:pPr>
                  <w:r>
                    <w:rPr>
                      <w:rFonts w:hint="eastAsia"/>
                      <w:lang w:val="en-US" w:eastAsia="zh-CN"/>
                    </w:rPr>
                    <w:t>0.3</w:t>
                  </w:r>
                </w:p>
              </w:tc>
              <w:tc>
                <w:tcPr>
                  <w:tcW w:w="720" w:type="pct"/>
                  <w:tcBorders>
                    <w:tl2br w:val="nil"/>
                    <w:tr2bl w:val="nil"/>
                  </w:tcBorders>
                  <w:shd w:val="clear" w:color="auto" w:fill="auto"/>
                  <w:noWrap/>
                  <w:tcMar>
                    <w:top w:w="0" w:type="dxa"/>
                    <w:left w:w="0" w:type="dxa"/>
                    <w:bottom w:w="0" w:type="dxa"/>
                    <w:right w:w="0" w:type="dxa"/>
                  </w:tcMar>
                  <w:vAlign w:val="center"/>
                </w:tcPr>
                <w:p w14:paraId="6AD7E0AB">
                  <w:pPr>
                    <w:pStyle w:val="15"/>
                    <w:bidi w:val="0"/>
                    <w:rPr>
                      <w:rFonts w:hint="eastAsia"/>
                    </w:rPr>
                  </w:pPr>
                  <w:r>
                    <w:rPr>
                      <w:rFonts w:hint="eastAsia"/>
                      <w:lang w:val="en-US" w:eastAsia="zh-CN"/>
                    </w:rPr>
                    <w:t>15</w:t>
                  </w:r>
                </w:p>
              </w:tc>
            </w:tr>
            <w:tr w14:paraId="4DD7B8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restart"/>
                  <w:tcBorders>
                    <w:tl2br w:val="nil"/>
                    <w:tr2bl w:val="nil"/>
                  </w:tcBorders>
                  <w:shd w:val="clear" w:color="auto" w:fill="auto"/>
                  <w:tcMar>
                    <w:top w:w="0" w:type="dxa"/>
                    <w:left w:w="0" w:type="dxa"/>
                    <w:bottom w:w="0" w:type="dxa"/>
                    <w:right w:w="0" w:type="dxa"/>
                  </w:tcMar>
                  <w:vAlign w:val="center"/>
                </w:tcPr>
                <w:p w14:paraId="4CC3C9C5">
                  <w:pPr>
                    <w:pStyle w:val="15"/>
                    <w:bidi w:val="0"/>
                    <w:rPr>
                      <w:rFonts w:hint="eastAsia"/>
                    </w:rPr>
                  </w:pPr>
                  <w:r>
                    <w:rPr>
                      <w:rFonts w:hint="eastAsia"/>
                      <w:lang w:val="en-US" w:eastAsia="zh-CN"/>
                    </w:rPr>
                    <w:t>检测结果</w:t>
                  </w:r>
                </w:p>
              </w:tc>
              <w:tc>
                <w:tcPr>
                  <w:tcW w:w="1196" w:type="pct"/>
                  <w:tcBorders>
                    <w:tl2br w:val="nil"/>
                    <w:tr2bl w:val="nil"/>
                  </w:tcBorders>
                  <w:shd w:val="clear" w:color="auto" w:fill="auto"/>
                  <w:tcMar>
                    <w:top w:w="0" w:type="dxa"/>
                    <w:left w:w="0" w:type="dxa"/>
                    <w:bottom w:w="0" w:type="dxa"/>
                    <w:right w:w="0" w:type="dxa"/>
                  </w:tcMar>
                  <w:vAlign w:val="center"/>
                </w:tcPr>
                <w:p w14:paraId="2A48FF62">
                  <w:pPr>
                    <w:pStyle w:val="15"/>
                    <w:bidi w:val="0"/>
                    <w:rPr>
                      <w:rFonts w:hint="eastAsia"/>
                    </w:rPr>
                  </w:pPr>
                  <w:r>
                    <w:rPr>
                      <w:rFonts w:hint="eastAsia"/>
                      <w:lang w:val="en-US" w:eastAsia="zh-CN"/>
                    </w:rPr>
                    <w:t>1月17日－</w:t>
                  </w:r>
                  <w:r>
                    <w:rPr>
                      <w:rFonts w:hint="eastAsia"/>
                      <w:lang w:val="en-US" w:eastAsia="zh-CN"/>
                    </w:rPr>
                    <w:br w:type="textWrapping"/>
                  </w:r>
                  <w:r>
                    <w:rPr>
                      <w:rFonts w:hint="eastAsia"/>
                      <w:lang w:val="en-US" w:eastAsia="zh-CN"/>
                    </w:rPr>
                    <w:t>1月18日</w:t>
                  </w:r>
                </w:p>
              </w:tc>
              <w:tc>
                <w:tcPr>
                  <w:tcW w:w="709" w:type="pct"/>
                  <w:tcBorders>
                    <w:tl2br w:val="nil"/>
                    <w:tr2bl w:val="nil"/>
                  </w:tcBorders>
                  <w:shd w:val="clear" w:color="auto" w:fill="auto"/>
                  <w:tcMar>
                    <w:top w:w="0" w:type="dxa"/>
                    <w:left w:w="0" w:type="dxa"/>
                    <w:bottom w:w="0" w:type="dxa"/>
                    <w:right w:w="0" w:type="dxa"/>
                  </w:tcMar>
                  <w:vAlign w:val="center"/>
                </w:tcPr>
                <w:p w14:paraId="31A9377D">
                  <w:pPr>
                    <w:pStyle w:val="15"/>
                    <w:bidi w:val="0"/>
                    <w:rPr>
                      <w:rFonts w:hint="eastAsia"/>
                    </w:rPr>
                  </w:pPr>
                  <w:r>
                    <w:rPr>
                      <w:rFonts w:hint="eastAsia"/>
                      <w:lang w:val="en-US" w:eastAsia="zh-CN"/>
                    </w:rPr>
                    <w:t>0.226</w:t>
                  </w:r>
                </w:p>
              </w:tc>
              <w:tc>
                <w:tcPr>
                  <w:tcW w:w="709" w:type="pct"/>
                  <w:tcBorders>
                    <w:tl2br w:val="nil"/>
                    <w:tr2bl w:val="nil"/>
                  </w:tcBorders>
                  <w:shd w:val="clear" w:color="auto" w:fill="auto"/>
                  <w:tcMar>
                    <w:top w:w="0" w:type="dxa"/>
                    <w:left w:w="0" w:type="dxa"/>
                    <w:bottom w:w="0" w:type="dxa"/>
                    <w:right w:w="0" w:type="dxa"/>
                  </w:tcMar>
                  <w:vAlign w:val="center"/>
                </w:tcPr>
                <w:p w14:paraId="3BD1808F">
                  <w:pPr>
                    <w:pStyle w:val="15"/>
                    <w:bidi w:val="0"/>
                    <w:rPr>
                      <w:rFonts w:hint="eastAsia"/>
                    </w:rPr>
                  </w:pPr>
                  <w:r>
                    <w:rPr>
                      <w:rFonts w:hint="eastAsia"/>
                      <w:lang w:val="en-US" w:eastAsia="zh-CN"/>
                    </w:rPr>
                    <w:t>ND</w:t>
                  </w:r>
                </w:p>
              </w:tc>
              <w:tc>
                <w:tcPr>
                  <w:tcW w:w="709" w:type="pct"/>
                  <w:tcBorders>
                    <w:tl2br w:val="nil"/>
                    <w:tr2bl w:val="nil"/>
                  </w:tcBorders>
                  <w:shd w:val="clear" w:color="auto" w:fill="auto"/>
                  <w:tcMar>
                    <w:top w:w="0" w:type="dxa"/>
                    <w:left w:w="0" w:type="dxa"/>
                    <w:bottom w:w="0" w:type="dxa"/>
                    <w:right w:w="0" w:type="dxa"/>
                  </w:tcMar>
                  <w:vAlign w:val="center"/>
                </w:tcPr>
                <w:p w14:paraId="4FF12953">
                  <w:pPr>
                    <w:pStyle w:val="15"/>
                    <w:bidi w:val="0"/>
                    <w:rPr>
                      <w:rFonts w:hint="eastAsia"/>
                    </w:rPr>
                  </w:pPr>
                  <w:r>
                    <w:rPr>
                      <w:rFonts w:hint="eastAsia"/>
                      <w:lang w:val="en-US" w:eastAsia="zh-CN"/>
                    </w:rPr>
                    <w:t>0.234</w:t>
                  </w:r>
                </w:p>
              </w:tc>
              <w:tc>
                <w:tcPr>
                  <w:tcW w:w="720" w:type="pct"/>
                  <w:tcBorders>
                    <w:tl2br w:val="nil"/>
                    <w:tr2bl w:val="nil"/>
                  </w:tcBorders>
                  <w:shd w:val="clear" w:color="auto" w:fill="auto"/>
                  <w:tcMar>
                    <w:top w:w="0" w:type="dxa"/>
                    <w:left w:w="0" w:type="dxa"/>
                    <w:bottom w:w="0" w:type="dxa"/>
                    <w:right w:w="0" w:type="dxa"/>
                  </w:tcMar>
                  <w:vAlign w:val="center"/>
                </w:tcPr>
                <w:p w14:paraId="77B0605D">
                  <w:pPr>
                    <w:pStyle w:val="15"/>
                    <w:bidi w:val="0"/>
                    <w:rPr>
                      <w:rFonts w:hint="eastAsia"/>
                    </w:rPr>
                  </w:pPr>
                  <w:r>
                    <w:rPr>
                      <w:rFonts w:hint="eastAsia"/>
                      <w:lang w:val="en-US" w:eastAsia="zh-CN"/>
                    </w:rPr>
                    <w:t>ND</w:t>
                  </w:r>
                </w:p>
              </w:tc>
            </w:tr>
            <w:tr w14:paraId="59E734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521E93A6">
                  <w:pPr>
                    <w:pStyle w:val="15"/>
                    <w:bidi w:val="0"/>
                    <w:rPr>
                      <w:rFonts w:hint="eastAsia"/>
                    </w:rPr>
                  </w:pPr>
                </w:p>
              </w:tc>
              <w:tc>
                <w:tcPr>
                  <w:tcW w:w="1196" w:type="pct"/>
                  <w:tcBorders>
                    <w:tl2br w:val="nil"/>
                    <w:tr2bl w:val="nil"/>
                  </w:tcBorders>
                  <w:shd w:val="clear" w:color="auto" w:fill="auto"/>
                  <w:tcMar>
                    <w:top w:w="0" w:type="dxa"/>
                    <w:left w:w="0" w:type="dxa"/>
                    <w:bottom w:w="0" w:type="dxa"/>
                    <w:right w:w="0" w:type="dxa"/>
                  </w:tcMar>
                  <w:vAlign w:val="center"/>
                </w:tcPr>
                <w:p w14:paraId="6E5FD8A1">
                  <w:pPr>
                    <w:pStyle w:val="15"/>
                    <w:bidi w:val="0"/>
                    <w:rPr>
                      <w:rFonts w:hint="eastAsia"/>
                    </w:rPr>
                  </w:pPr>
                  <w:r>
                    <w:rPr>
                      <w:rFonts w:hint="eastAsia"/>
                      <w:lang w:val="en-US" w:eastAsia="zh-CN"/>
                    </w:rPr>
                    <w:t>1月18日－</w:t>
                  </w:r>
                  <w:r>
                    <w:rPr>
                      <w:rFonts w:hint="eastAsia"/>
                      <w:lang w:val="en-US" w:eastAsia="zh-CN"/>
                    </w:rPr>
                    <w:br w:type="textWrapping"/>
                  </w:r>
                  <w:r>
                    <w:rPr>
                      <w:rFonts w:hint="eastAsia"/>
                      <w:lang w:val="en-US" w:eastAsia="zh-CN"/>
                    </w:rPr>
                    <w:t>1月19日</w:t>
                  </w:r>
                </w:p>
              </w:tc>
              <w:tc>
                <w:tcPr>
                  <w:tcW w:w="709" w:type="pct"/>
                  <w:tcBorders>
                    <w:tl2br w:val="nil"/>
                    <w:tr2bl w:val="nil"/>
                  </w:tcBorders>
                  <w:shd w:val="clear" w:color="auto" w:fill="auto"/>
                  <w:tcMar>
                    <w:top w:w="0" w:type="dxa"/>
                    <w:left w:w="0" w:type="dxa"/>
                    <w:bottom w:w="0" w:type="dxa"/>
                    <w:right w:w="0" w:type="dxa"/>
                  </w:tcMar>
                  <w:vAlign w:val="center"/>
                </w:tcPr>
                <w:p w14:paraId="58F3C627">
                  <w:pPr>
                    <w:pStyle w:val="15"/>
                    <w:bidi w:val="0"/>
                    <w:rPr>
                      <w:rFonts w:hint="eastAsia"/>
                    </w:rPr>
                  </w:pPr>
                  <w:r>
                    <w:rPr>
                      <w:rFonts w:hint="eastAsia"/>
                      <w:lang w:val="en-US" w:eastAsia="zh-CN"/>
                    </w:rPr>
                    <w:t>0.21</w:t>
                  </w:r>
                </w:p>
              </w:tc>
              <w:tc>
                <w:tcPr>
                  <w:tcW w:w="709" w:type="pct"/>
                  <w:tcBorders>
                    <w:tl2br w:val="nil"/>
                    <w:tr2bl w:val="nil"/>
                  </w:tcBorders>
                  <w:shd w:val="clear" w:color="auto" w:fill="auto"/>
                  <w:tcMar>
                    <w:top w:w="0" w:type="dxa"/>
                    <w:left w:w="0" w:type="dxa"/>
                    <w:bottom w:w="0" w:type="dxa"/>
                    <w:right w:w="0" w:type="dxa"/>
                  </w:tcMar>
                  <w:vAlign w:val="center"/>
                </w:tcPr>
                <w:p w14:paraId="09D9815A">
                  <w:pPr>
                    <w:pStyle w:val="15"/>
                    <w:bidi w:val="0"/>
                    <w:rPr>
                      <w:rFonts w:hint="eastAsia"/>
                    </w:rPr>
                  </w:pPr>
                  <w:r>
                    <w:rPr>
                      <w:rFonts w:hint="eastAsia"/>
                      <w:lang w:val="en-US" w:eastAsia="zh-CN"/>
                    </w:rPr>
                    <w:t>ND</w:t>
                  </w:r>
                </w:p>
              </w:tc>
              <w:tc>
                <w:tcPr>
                  <w:tcW w:w="709" w:type="pct"/>
                  <w:tcBorders>
                    <w:tl2br w:val="nil"/>
                    <w:tr2bl w:val="nil"/>
                  </w:tcBorders>
                  <w:shd w:val="clear" w:color="auto" w:fill="auto"/>
                  <w:tcMar>
                    <w:top w:w="0" w:type="dxa"/>
                    <w:left w:w="0" w:type="dxa"/>
                    <w:bottom w:w="0" w:type="dxa"/>
                    <w:right w:w="0" w:type="dxa"/>
                  </w:tcMar>
                  <w:vAlign w:val="center"/>
                </w:tcPr>
                <w:p w14:paraId="569994F0">
                  <w:pPr>
                    <w:pStyle w:val="15"/>
                    <w:bidi w:val="0"/>
                    <w:rPr>
                      <w:rFonts w:hint="eastAsia"/>
                    </w:rPr>
                  </w:pPr>
                  <w:r>
                    <w:rPr>
                      <w:rFonts w:hint="eastAsia"/>
                      <w:lang w:val="en-US" w:eastAsia="zh-CN"/>
                    </w:rPr>
                    <w:t>0.217</w:t>
                  </w:r>
                </w:p>
              </w:tc>
              <w:tc>
                <w:tcPr>
                  <w:tcW w:w="720" w:type="pct"/>
                  <w:tcBorders>
                    <w:tl2br w:val="nil"/>
                    <w:tr2bl w:val="nil"/>
                  </w:tcBorders>
                  <w:shd w:val="clear" w:color="auto" w:fill="auto"/>
                  <w:tcMar>
                    <w:top w:w="0" w:type="dxa"/>
                    <w:left w:w="0" w:type="dxa"/>
                    <w:bottom w:w="0" w:type="dxa"/>
                    <w:right w:w="0" w:type="dxa"/>
                  </w:tcMar>
                  <w:vAlign w:val="center"/>
                </w:tcPr>
                <w:p w14:paraId="3387ECD5">
                  <w:pPr>
                    <w:pStyle w:val="15"/>
                    <w:bidi w:val="0"/>
                    <w:rPr>
                      <w:rFonts w:hint="eastAsia"/>
                    </w:rPr>
                  </w:pPr>
                  <w:r>
                    <w:rPr>
                      <w:rFonts w:hint="eastAsia"/>
                      <w:lang w:val="en-US" w:eastAsia="zh-CN"/>
                    </w:rPr>
                    <w:t>ND</w:t>
                  </w:r>
                </w:p>
              </w:tc>
            </w:tr>
            <w:tr w14:paraId="6B6C2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75FB55AE">
                  <w:pPr>
                    <w:pStyle w:val="15"/>
                    <w:bidi w:val="0"/>
                    <w:rPr>
                      <w:rFonts w:hint="eastAsia"/>
                    </w:rPr>
                  </w:pPr>
                </w:p>
              </w:tc>
              <w:tc>
                <w:tcPr>
                  <w:tcW w:w="1196" w:type="pct"/>
                  <w:tcBorders>
                    <w:tl2br w:val="nil"/>
                    <w:tr2bl w:val="nil"/>
                  </w:tcBorders>
                  <w:shd w:val="clear" w:color="auto" w:fill="auto"/>
                  <w:tcMar>
                    <w:top w:w="0" w:type="dxa"/>
                    <w:left w:w="0" w:type="dxa"/>
                    <w:bottom w:w="0" w:type="dxa"/>
                    <w:right w:w="0" w:type="dxa"/>
                  </w:tcMar>
                  <w:vAlign w:val="center"/>
                </w:tcPr>
                <w:p w14:paraId="43D4AB4B">
                  <w:pPr>
                    <w:pStyle w:val="15"/>
                    <w:bidi w:val="0"/>
                    <w:rPr>
                      <w:rFonts w:hint="eastAsia"/>
                    </w:rPr>
                  </w:pPr>
                  <w:r>
                    <w:rPr>
                      <w:rFonts w:hint="eastAsia"/>
                      <w:lang w:val="en-US" w:eastAsia="zh-CN"/>
                    </w:rPr>
                    <w:t>1月19日－</w:t>
                  </w:r>
                  <w:r>
                    <w:rPr>
                      <w:rFonts w:hint="eastAsia"/>
                      <w:lang w:val="en-US" w:eastAsia="zh-CN"/>
                    </w:rPr>
                    <w:br w:type="textWrapping"/>
                  </w:r>
                  <w:r>
                    <w:rPr>
                      <w:rFonts w:hint="eastAsia"/>
                      <w:lang w:val="en-US" w:eastAsia="zh-CN"/>
                    </w:rPr>
                    <w:t>1月20日</w:t>
                  </w:r>
                </w:p>
              </w:tc>
              <w:tc>
                <w:tcPr>
                  <w:tcW w:w="709" w:type="pct"/>
                  <w:tcBorders>
                    <w:tl2br w:val="nil"/>
                    <w:tr2bl w:val="nil"/>
                  </w:tcBorders>
                  <w:shd w:val="clear" w:color="auto" w:fill="auto"/>
                  <w:tcMar>
                    <w:top w:w="0" w:type="dxa"/>
                    <w:left w:w="0" w:type="dxa"/>
                    <w:bottom w:w="0" w:type="dxa"/>
                    <w:right w:w="0" w:type="dxa"/>
                  </w:tcMar>
                  <w:vAlign w:val="center"/>
                </w:tcPr>
                <w:p w14:paraId="185AFBC3">
                  <w:pPr>
                    <w:pStyle w:val="15"/>
                    <w:bidi w:val="0"/>
                    <w:rPr>
                      <w:rFonts w:hint="eastAsia"/>
                    </w:rPr>
                  </w:pPr>
                  <w:r>
                    <w:rPr>
                      <w:rFonts w:hint="eastAsia"/>
                      <w:lang w:val="en-US" w:eastAsia="zh-CN"/>
                    </w:rPr>
                    <w:t>0.233</w:t>
                  </w:r>
                </w:p>
              </w:tc>
              <w:tc>
                <w:tcPr>
                  <w:tcW w:w="709" w:type="pct"/>
                  <w:tcBorders>
                    <w:tl2br w:val="nil"/>
                    <w:tr2bl w:val="nil"/>
                  </w:tcBorders>
                  <w:shd w:val="clear" w:color="auto" w:fill="auto"/>
                  <w:tcMar>
                    <w:top w:w="0" w:type="dxa"/>
                    <w:left w:w="0" w:type="dxa"/>
                    <w:bottom w:w="0" w:type="dxa"/>
                    <w:right w:w="0" w:type="dxa"/>
                  </w:tcMar>
                  <w:vAlign w:val="center"/>
                </w:tcPr>
                <w:p w14:paraId="600C7E34">
                  <w:pPr>
                    <w:pStyle w:val="15"/>
                    <w:bidi w:val="0"/>
                    <w:rPr>
                      <w:rFonts w:hint="eastAsia"/>
                    </w:rPr>
                  </w:pPr>
                  <w:r>
                    <w:rPr>
                      <w:rFonts w:hint="eastAsia"/>
                      <w:lang w:val="en-US" w:eastAsia="zh-CN"/>
                    </w:rPr>
                    <w:t>ND</w:t>
                  </w:r>
                </w:p>
              </w:tc>
              <w:tc>
                <w:tcPr>
                  <w:tcW w:w="709" w:type="pct"/>
                  <w:tcBorders>
                    <w:tl2br w:val="nil"/>
                    <w:tr2bl w:val="nil"/>
                  </w:tcBorders>
                  <w:shd w:val="clear" w:color="auto" w:fill="auto"/>
                  <w:tcMar>
                    <w:top w:w="0" w:type="dxa"/>
                    <w:left w:w="0" w:type="dxa"/>
                    <w:bottom w:w="0" w:type="dxa"/>
                    <w:right w:w="0" w:type="dxa"/>
                  </w:tcMar>
                  <w:vAlign w:val="center"/>
                </w:tcPr>
                <w:p w14:paraId="3D937A03">
                  <w:pPr>
                    <w:pStyle w:val="15"/>
                    <w:bidi w:val="0"/>
                    <w:rPr>
                      <w:rFonts w:hint="eastAsia"/>
                    </w:rPr>
                  </w:pPr>
                  <w:r>
                    <w:rPr>
                      <w:rFonts w:hint="eastAsia"/>
                      <w:lang w:val="en-US" w:eastAsia="zh-CN"/>
                    </w:rPr>
                    <w:t>0.237</w:t>
                  </w:r>
                </w:p>
              </w:tc>
              <w:tc>
                <w:tcPr>
                  <w:tcW w:w="720" w:type="pct"/>
                  <w:tcBorders>
                    <w:tl2br w:val="nil"/>
                    <w:tr2bl w:val="nil"/>
                  </w:tcBorders>
                  <w:shd w:val="clear" w:color="auto" w:fill="auto"/>
                  <w:tcMar>
                    <w:top w:w="0" w:type="dxa"/>
                    <w:left w:w="0" w:type="dxa"/>
                    <w:bottom w:w="0" w:type="dxa"/>
                    <w:right w:w="0" w:type="dxa"/>
                  </w:tcMar>
                  <w:vAlign w:val="center"/>
                </w:tcPr>
                <w:p w14:paraId="1B1302ED">
                  <w:pPr>
                    <w:pStyle w:val="15"/>
                    <w:bidi w:val="0"/>
                    <w:rPr>
                      <w:rFonts w:hint="eastAsia"/>
                    </w:rPr>
                  </w:pPr>
                  <w:r>
                    <w:rPr>
                      <w:rFonts w:hint="eastAsia"/>
                      <w:lang w:val="en-US" w:eastAsia="zh-CN"/>
                    </w:rPr>
                    <w:t>ND</w:t>
                  </w:r>
                </w:p>
              </w:tc>
            </w:tr>
            <w:tr w14:paraId="2C343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030B49A6">
                  <w:pPr>
                    <w:pStyle w:val="15"/>
                    <w:bidi w:val="0"/>
                    <w:rPr>
                      <w:rFonts w:hint="eastAsia"/>
                    </w:rPr>
                  </w:pPr>
                </w:p>
              </w:tc>
              <w:tc>
                <w:tcPr>
                  <w:tcW w:w="1196" w:type="pct"/>
                  <w:tcBorders>
                    <w:tl2br w:val="nil"/>
                    <w:tr2bl w:val="nil"/>
                  </w:tcBorders>
                  <w:shd w:val="clear" w:color="auto" w:fill="auto"/>
                  <w:tcMar>
                    <w:top w:w="0" w:type="dxa"/>
                    <w:left w:w="0" w:type="dxa"/>
                    <w:bottom w:w="0" w:type="dxa"/>
                    <w:right w:w="0" w:type="dxa"/>
                  </w:tcMar>
                  <w:vAlign w:val="center"/>
                </w:tcPr>
                <w:p w14:paraId="5F4BDDD2">
                  <w:pPr>
                    <w:pStyle w:val="15"/>
                    <w:bidi w:val="0"/>
                    <w:rPr>
                      <w:rFonts w:hint="eastAsia"/>
                    </w:rPr>
                  </w:pPr>
                  <w:r>
                    <w:rPr>
                      <w:rFonts w:hint="eastAsia"/>
                      <w:lang w:val="en-US" w:eastAsia="zh-CN"/>
                    </w:rPr>
                    <w:t>1月20日－</w:t>
                  </w:r>
                  <w:r>
                    <w:rPr>
                      <w:rFonts w:hint="eastAsia"/>
                      <w:lang w:val="en-US" w:eastAsia="zh-CN"/>
                    </w:rPr>
                    <w:br w:type="textWrapping"/>
                  </w:r>
                  <w:r>
                    <w:rPr>
                      <w:rFonts w:hint="eastAsia"/>
                      <w:lang w:val="en-US" w:eastAsia="zh-CN"/>
                    </w:rPr>
                    <w:t>1月21日</w:t>
                  </w:r>
                </w:p>
              </w:tc>
              <w:tc>
                <w:tcPr>
                  <w:tcW w:w="709" w:type="pct"/>
                  <w:tcBorders>
                    <w:tl2br w:val="nil"/>
                    <w:tr2bl w:val="nil"/>
                  </w:tcBorders>
                  <w:shd w:val="clear" w:color="auto" w:fill="auto"/>
                  <w:tcMar>
                    <w:top w:w="0" w:type="dxa"/>
                    <w:left w:w="0" w:type="dxa"/>
                    <w:bottom w:w="0" w:type="dxa"/>
                    <w:right w:w="0" w:type="dxa"/>
                  </w:tcMar>
                  <w:vAlign w:val="center"/>
                </w:tcPr>
                <w:p w14:paraId="636239FE">
                  <w:pPr>
                    <w:pStyle w:val="15"/>
                    <w:bidi w:val="0"/>
                    <w:rPr>
                      <w:rFonts w:hint="eastAsia"/>
                    </w:rPr>
                  </w:pPr>
                  <w:r>
                    <w:rPr>
                      <w:rFonts w:hint="eastAsia"/>
                      <w:lang w:val="en-US" w:eastAsia="zh-CN"/>
                    </w:rPr>
                    <w:t>0.214</w:t>
                  </w:r>
                </w:p>
              </w:tc>
              <w:tc>
                <w:tcPr>
                  <w:tcW w:w="709" w:type="pct"/>
                  <w:tcBorders>
                    <w:tl2br w:val="nil"/>
                    <w:tr2bl w:val="nil"/>
                  </w:tcBorders>
                  <w:shd w:val="clear" w:color="auto" w:fill="auto"/>
                  <w:noWrap/>
                  <w:tcMar>
                    <w:top w:w="0" w:type="dxa"/>
                    <w:left w:w="0" w:type="dxa"/>
                    <w:bottom w:w="0" w:type="dxa"/>
                    <w:right w:w="0" w:type="dxa"/>
                  </w:tcMar>
                  <w:vAlign w:val="center"/>
                </w:tcPr>
                <w:p w14:paraId="2A3DAE57">
                  <w:pPr>
                    <w:pStyle w:val="15"/>
                    <w:bidi w:val="0"/>
                    <w:rPr>
                      <w:rFonts w:hint="eastAsia"/>
                    </w:rPr>
                  </w:pPr>
                </w:p>
              </w:tc>
              <w:tc>
                <w:tcPr>
                  <w:tcW w:w="709" w:type="pct"/>
                  <w:tcBorders>
                    <w:tl2br w:val="nil"/>
                    <w:tr2bl w:val="nil"/>
                  </w:tcBorders>
                  <w:shd w:val="clear" w:color="auto" w:fill="auto"/>
                  <w:tcMar>
                    <w:top w:w="0" w:type="dxa"/>
                    <w:left w:w="0" w:type="dxa"/>
                    <w:bottom w:w="0" w:type="dxa"/>
                    <w:right w:w="0" w:type="dxa"/>
                  </w:tcMar>
                  <w:vAlign w:val="center"/>
                </w:tcPr>
                <w:p w14:paraId="3806EB57">
                  <w:pPr>
                    <w:pStyle w:val="15"/>
                    <w:bidi w:val="0"/>
                    <w:rPr>
                      <w:rFonts w:hint="eastAsia"/>
                    </w:rPr>
                  </w:pPr>
                  <w:r>
                    <w:rPr>
                      <w:rFonts w:hint="eastAsia"/>
                      <w:lang w:val="en-US" w:eastAsia="zh-CN"/>
                    </w:rPr>
                    <w:t>0.22</w:t>
                  </w:r>
                </w:p>
              </w:tc>
              <w:tc>
                <w:tcPr>
                  <w:tcW w:w="720" w:type="pct"/>
                  <w:tcBorders>
                    <w:tl2br w:val="nil"/>
                    <w:tr2bl w:val="nil"/>
                  </w:tcBorders>
                  <w:shd w:val="clear" w:color="auto" w:fill="auto"/>
                  <w:noWrap/>
                  <w:tcMar>
                    <w:top w:w="0" w:type="dxa"/>
                    <w:left w:w="0" w:type="dxa"/>
                    <w:bottom w:w="0" w:type="dxa"/>
                    <w:right w:w="0" w:type="dxa"/>
                  </w:tcMar>
                  <w:vAlign w:val="center"/>
                </w:tcPr>
                <w:p w14:paraId="3FD8B742">
                  <w:pPr>
                    <w:pStyle w:val="15"/>
                    <w:bidi w:val="0"/>
                    <w:rPr>
                      <w:rFonts w:hint="eastAsia"/>
                    </w:rPr>
                  </w:pPr>
                </w:p>
              </w:tc>
            </w:tr>
            <w:tr w14:paraId="3E4C7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7DE38A09">
                  <w:pPr>
                    <w:pStyle w:val="15"/>
                    <w:bidi w:val="0"/>
                    <w:rPr>
                      <w:rFonts w:hint="eastAsia"/>
                    </w:rPr>
                  </w:pPr>
                </w:p>
              </w:tc>
              <w:tc>
                <w:tcPr>
                  <w:tcW w:w="1196" w:type="pct"/>
                  <w:tcBorders>
                    <w:tl2br w:val="nil"/>
                    <w:tr2bl w:val="nil"/>
                  </w:tcBorders>
                  <w:shd w:val="clear" w:color="auto" w:fill="auto"/>
                  <w:tcMar>
                    <w:top w:w="0" w:type="dxa"/>
                    <w:left w:w="0" w:type="dxa"/>
                    <w:bottom w:w="0" w:type="dxa"/>
                    <w:right w:w="0" w:type="dxa"/>
                  </w:tcMar>
                  <w:vAlign w:val="center"/>
                </w:tcPr>
                <w:p w14:paraId="271BCA17">
                  <w:pPr>
                    <w:pStyle w:val="15"/>
                    <w:bidi w:val="0"/>
                    <w:rPr>
                      <w:rFonts w:hint="eastAsia"/>
                    </w:rPr>
                  </w:pPr>
                  <w:r>
                    <w:rPr>
                      <w:rFonts w:hint="eastAsia"/>
                      <w:lang w:val="en-US" w:eastAsia="zh-CN"/>
                    </w:rPr>
                    <w:t>1月21日－</w:t>
                  </w:r>
                  <w:r>
                    <w:rPr>
                      <w:rFonts w:hint="eastAsia"/>
                      <w:lang w:val="en-US" w:eastAsia="zh-CN"/>
                    </w:rPr>
                    <w:br w:type="textWrapping"/>
                  </w:r>
                  <w:r>
                    <w:rPr>
                      <w:rFonts w:hint="eastAsia"/>
                      <w:lang w:val="en-US" w:eastAsia="zh-CN"/>
                    </w:rPr>
                    <w:t>1月22日</w:t>
                  </w:r>
                </w:p>
              </w:tc>
              <w:tc>
                <w:tcPr>
                  <w:tcW w:w="709" w:type="pct"/>
                  <w:tcBorders>
                    <w:tl2br w:val="nil"/>
                    <w:tr2bl w:val="nil"/>
                  </w:tcBorders>
                  <w:shd w:val="clear" w:color="auto" w:fill="auto"/>
                  <w:tcMar>
                    <w:top w:w="0" w:type="dxa"/>
                    <w:left w:w="0" w:type="dxa"/>
                    <w:bottom w:w="0" w:type="dxa"/>
                    <w:right w:w="0" w:type="dxa"/>
                  </w:tcMar>
                  <w:vAlign w:val="center"/>
                </w:tcPr>
                <w:p w14:paraId="7DFC899F">
                  <w:pPr>
                    <w:pStyle w:val="15"/>
                    <w:bidi w:val="0"/>
                    <w:rPr>
                      <w:rFonts w:hint="eastAsia"/>
                    </w:rPr>
                  </w:pPr>
                  <w:r>
                    <w:rPr>
                      <w:rFonts w:hint="eastAsia"/>
                      <w:lang w:val="en-US" w:eastAsia="zh-CN"/>
                    </w:rPr>
                    <w:t>0.219</w:t>
                  </w:r>
                </w:p>
              </w:tc>
              <w:tc>
                <w:tcPr>
                  <w:tcW w:w="709" w:type="pct"/>
                  <w:tcBorders>
                    <w:tl2br w:val="nil"/>
                    <w:tr2bl w:val="nil"/>
                  </w:tcBorders>
                  <w:shd w:val="clear" w:color="auto" w:fill="auto"/>
                  <w:noWrap/>
                  <w:tcMar>
                    <w:top w:w="0" w:type="dxa"/>
                    <w:left w:w="0" w:type="dxa"/>
                    <w:bottom w:w="0" w:type="dxa"/>
                    <w:right w:w="0" w:type="dxa"/>
                  </w:tcMar>
                  <w:vAlign w:val="center"/>
                </w:tcPr>
                <w:p w14:paraId="7A7786AE">
                  <w:pPr>
                    <w:pStyle w:val="15"/>
                    <w:bidi w:val="0"/>
                    <w:rPr>
                      <w:rFonts w:hint="eastAsia"/>
                    </w:rPr>
                  </w:pPr>
                </w:p>
              </w:tc>
              <w:tc>
                <w:tcPr>
                  <w:tcW w:w="709" w:type="pct"/>
                  <w:tcBorders>
                    <w:tl2br w:val="nil"/>
                    <w:tr2bl w:val="nil"/>
                  </w:tcBorders>
                  <w:shd w:val="clear" w:color="auto" w:fill="auto"/>
                  <w:tcMar>
                    <w:top w:w="0" w:type="dxa"/>
                    <w:left w:w="0" w:type="dxa"/>
                    <w:bottom w:w="0" w:type="dxa"/>
                    <w:right w:w="0" w:type="dxa"/>
                  </w:tcMar>
                  <w:vAlign w:val="center"/>
                </w:tcPr>
                <w:p w14:paraId="7ED3F30F">
                  <w:pPr>
                    <w:pStyle w:val="15"/>
                    <w:bidi w:val="0"/>
                    <w:rPr>
                      <w:rFonts w:hint="eastAsia"/>
                    </w:rPr>
                  </w:pPr>
                  <w:r>
                    <w:rPr>
                      <w:rFonts w:hint="eastAsia"/>
                      <w:lang w:val="en-US" w:eastAsia="zh-CN"/>
                    </w:rPr>
                    <w:t>0.224</w:t>
                  </w:r>
                </w:p>
              </w:tc>
              <w:tc>
                <w:tcPr>
                  <w:tcW w:w="720" w:type="pct"/>
                  <w:tcBorders>
                    <w:tl2br w:val="nil"/>
                    <w:tr2bl w:val="nil"/>
                  </w:tcBorders>
                  <w:shd w:val="clear" w:color="auto" w:fill="auto"/>
                  <w:noWrap/>
                  <w:tcMar>
                    <w:top w:w="0" w:type="dxa"/>
                    <w:left w:w="0" w:type="dxa"/>
                    <w:bottom w:w="0" w:type="dxa"/>
                    <w:right w:w="0" w:type="dxa"/>
                  </w:tcMar>
                  <w:vAlign w:val="center"/>
                </w:tcPr>
                <w:p w14:paraId="6D4C5497">
                  <w:pPr>
                    <w:pStyle w:val="15"/>
                    <w:bidi w:val="0"/>
                    <w:rPr>
                      <w:rFonts w:hint="eastAsia"/>
                    </w:rPr>
                  </w:pPr>
                </w:p>
              </w:tc>
            </w:tr>
            <w:tr w14:paraId="6DC675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41056850">
                  <w:pPr>
                    <w:pStyle w:val="15"/>
                    <w:bidi w:val="0"/>
                    <w:rPr>
                      <w:rFonts w:hint="eastAsia"/>
                    </w:rPr>
                  </w:pPr>
                </w:p>
              </w:tc>
              <w:tc>
                <w:tcPr>
                  <w:tcW w:w="1196" w:type="pct"/>
                  <w:tcBorders>
                    <w:tl2br w:val="nil"/>
                    <w:tr2bl w:val="nil"/>
                  </w:tcBorders>
                  <w:shd w:val="clear" w:color="auto" w:fill="auto"/>
                  <w:tcMar>
                    <w:top w:w="0" w:type="dxa"/>
                    <w:left w:w="0" w:type="dxa"/>
                    <w:bottom w:w="0" w:type="dxa"/>
                    <w:right w:w="0" w:type="dxa"/>
                  </w:tcMar>
                  <w:vAlign w:val="center"/>
                </w:tcPr>
                <w:p w14:paraId="25896894">
                  <w:pPr>
                    <w:pStyle w:val="15"/>
                    <w:bidi w:val="0"/>
                    <w:rPr>
                      <w:rFonts w:hint="eastAsia"/>
                    </w:rPr>
                  </w:pPr>
                  <w:r>
                    <w:rPr>
                      <w:rFonts w:hint="eastAsia"/>
                      <w:lang w:val="en-US" w:eastAsia="zh-CN"/>
                    </w:rPr>
                    <w:t>1月22日－</w:t>
                  </w:r>
                  <w:r>
                    <w:rPr>
                      <w:rFonts w:hint="eastAsia"/>
                      <w:lang w:val="en-US" w:eastAsia="zh-CN"/>
                    </w:rPr>
                    <w:br w:type="textWrapping"/>
                  </w:r>
                  <w:r>
                    <w:rPr>
                      <w:rFonts w:hint="eastAsia"/>
                      <w:lang w:val="en-US" w:eastAsia="zh-CN"/>
                    </w:rPr>
                    <w:t>1月23日</w:t>
                  </w:r>
                </w:p>
              </w:tc>
              <w:tc>
                <w:tcPr>
                  <w:tcW w:w="709" w:type="pct"/>
                  <w:tcBorders>
                    <w:tl2br w:val="nil"/>
                    <w:tr2bl w:val="nil"/>
                  </w:tcBorders>
                  <w:shd w:val="clear" w:color="auto" w:fill="auto"/>
                  <w:tcMar>
                    <w:top w:w="0" w:type="dxa"/>
                    <w:left w:w="0" w:type="dxa"/>
                    <w:bottom w:w="0" w:type="dxa"/>
                    <w:right w:w="0" w:type="dxa"/>
                  </w:tcMar>
                  <w:vAlign w:val="center"/>
                </w:tcPr>
                <w:p w14:paraId="21CBAEB3">
                  <w:pPr>
                    <w:pStyle w:val="15"/>
                    <w:bidi w:val="0"/>
                    <w:rPr>
                      <w:rFonts w:hint="eastAsia"/>
                    </w:rPr>
                  </w:pPr>
                  <w:r>
                    <w:rPr>
                      <w:rFonts w:hint="eastAsia"/>
                      <w:lang w:val="en-US" w:eastAsia="zh-CN"/>
                    </w:rPr>
                    <w:t>0.237</w:t>
                  </w:r>
                </w:p>
              </w:tc>
              <w:tc>
                <w:tcPr>
                  <w:tcW w:w="709" w:type="pct"/>
                  <w:tcBorders>
                    <w:tl2br w:val="nil"/>
                    <w:tr2bl w:val="nil"/>
                  </w:tcBorders>
                  <w:shd w:val="clear" w:color="auto" w:fill="auto"/>
                  <w:noWrap/>
                  <w:tcMar>
                    <w:top w:w="0" w:type="dxa"/>
                    <w:left w:w="0" w:type="dxa"/>
                    <w:bottom w:w="0" w:type="dxa"/>
                    <w:right w:w="0" w:type="dxa"/>
                  </w:tcMar>
                  <w:vAlign w:val="center"/>
                </w:tcPr>
                <w:p w14:paraId="5D3CE06F">
                  <w:pPr>
                    <w:pStyle w:val="15"/>
                    <w:bidi w:val="0"/>
                    <w:rPr>
                      <w:rFonts w:hint="eastAsia"/>
                    </w:rPr>
                  </w:pPr>
                </w:p>
              </w:tc>
              <w:tc>
                <w:tcPr>
                  <w:tcW w:w="709" w:type="pct"/>
                  <w:tcBorders>
                    <w:tl2br w:val="nil"/>
                    <w:tr2bl w:val="nil"/>
                  </w:tcBorders>
                  <w:shd w:val="clear" w:color="auto" w:fill="auto"/>
                  <w:tcMar>
                    <w:top w:w="0" w:type="dxa"/>
                    <w:left w:w="0" w:type="dxa"/>
                    <w:bottom w:w="0" w:type="dxa"/>
                    <w:right w:w="0" w:type="dxa"/>
                  </w:tcMar>
                  <w:vAlign w:val="center"/>
                </w:tcPr>
                <w:p w14:paraId="6D8DFD6E">
                  <w:pPr>
                    <w:pStyle w:val="15"/>
                    <w:bidi w:val="0"/>
                    <w:rPr>
                      <w:rFonts w:hint="eastAsia"/>
                    </w:rPr>
                  </w:pPr>
                  <w:r>
                    <w:rPr>
                      <w:rFonts w:hint="eastAsia"/>
                      <w:lang w:val="en-US" w:eastAsia="zh-CN"/>
                    </w:rPr>
                    <w:t>0.243</w:t>
                  </w:r>
                </w:p>
              </w:tc>
              <w:tc>
                <w:tcPr>
                  <w:tcW w:w="720" w:type="pct"/>
                  <w:tcBorders>
                    <w:tl2br w:val="nil"/>
                    <w:tr2bl w:val="nil"/>
                  </w:tcBorders>
                  <w:shd w:val="clear" w:color="auto" w:fill="auto"/>
                  <w:noWrap/>
                  <w:tcMar>
                    <w:top w:w="0" w:type="dxa"/>
                    <w:left w:w="0" w:type="dxa"/>
                    <w:bottom w:w="0" w:type="dxa"/>
                    <w:right w:w="0" w:type="dxa"/>
                  </w:tcMar>
                  <w:vAlign w:val="center"/>
                </w:tcPr>
                <w:p w14:paraId="5CED769F">
                  <w:pPr>
                    <w:pStyle w:val="15"/>
                    <w:bidi w:val="0"/>
                    <w:rPr>
                      <w:rFonts w:hint="eastAsia"/>
                    </w:rPr>
                  </w:pPr>
                </w:p>
              </w:tc>
            </w:tr>
            <w:tr w14:paraId="28621C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6E166443">
                  <w:pPr>
                    <w:pStyle w:val="15"/>
                    <w:bidi w:val="0"/>
                    <w:rPr>
                      <w:rFonts w:hint="eastAsia"/>
                    </w:rPr>
                  </w:pPr>
                </w:p>
              </w:tc>
              <w:tc>
                <w:tcPr>
                  <w:tcW w:w="1196" w:type="pct"/>
                  <w:tcBorders>
                    <w:tl2br w:val="nil"/>
                    <w:tr2bl w:val="nil"/>
                  </w:tcBorders>
                  <w:shd w:val="clear" w:color="auto" w:fill="auto"/>
                  <w:tcMar>
                    <w:top w:w="0" w:type="dxa"/>
                    <w:left w:w="0" w:type="dxa"/>
                    <w:bottom w:w="0" w:type="dxa"/>
                    <w:right w:w="0" w:type="dxa"/>
                  </w:tcMar>
                  <w:vAlign w:val="center"/>
                </w:tcPr>
                <w:p w14:paraId="482C6665">
                  <w:pPr>
                    <w:pStyle w:val="15"/>
                    <w:bidi w:val="0"/>
                    <w:rPr>
                      <w:rFonts w:hint="eastAsia"/>
                    </w:rPr>
                  </w:pPr>
                  <w:r>
                    <w:rPr>
                      <w:rFonts w:hint="eastAsia"/>
                      <w:lang w:val="en-US" w:eastAsia="zh-CN"/>
                    </w:rPr>
                    <w:t>1月23日－</w:t>
                  </w:r>
                  <w:r>
                    <w:rPr>
                      <w:rFonts w:hint="eastAsia"/>
                      <w:lang w:val="en-US" w:eastAsia="zh-CN"/>
                    </w:rPr>
                    <w:br w:type="textWrapping"/>
                  </w:r>
                  <w:r>
                    <w:rPr>
                      <w:rFonts w:hint="eastAsia"/>
                      <w:lang w:val="en-US" w:eastAsia="zh-CN"/>
                    </w:rPr>
                    <w:t>1月24日</w:t>
                  </w:r>
                </w:p>
              </w:tc>
              <w:tc>
                <w:tcPr>
                  <w:tcW w:w="709" w:type="pct"/>
                  <w:tcBorders>
                    <w:tl2br w:val="nil"/>
                    <w:tr2bl w:val="nil"/>
                  </w:tcBorders>
                  <w:shd w:val="clear" w:color="auto" w:fill="auto"/>
                  <w:tcMar>
                    <w:top w:w="0" w:type="dxa"/>
                    <w:left w:w="0" w:type="dxa"/>
                    <w:bottom w:w="0" w:type="dxa"/>
                    <w:right w:w="0" w:type="dxa"/>
                  </w:tcMar>
                  <w:vAlign w:val="center"/>
                </w:tcPr>
                <w:p w14:paraId="25DAA42B">
                  <w:pPr>
                    <w:pStyle w:val="15"/>
                    <w:bidi w:val="0"/>
                    <w:rPr>
                      <w:rFonts w:hint="eastAsia"/>
                    </w:rPr>
                  </w:pPr>
                  <w:r>
                    <w:rPr>
                      <w:rFonts w:hint="eastAsia"/>
                      <w:lang w:val="en-US" w:eastAsia="zh-CN"/>
                    </w:rPr>
                    <w:t>0.23</w:t>
                  </w:r>
                </w:p>
              </w:tc>
              <w:tc>
                <w:tcPr>
                  <w:tcW w:w="709" w:type="pct"/>
                  <w:tcBorders>
                    <w:tl2br w:val="nil"/>
                    <w:tr2bl w:val="nil"/>
                  </w:tcBorders>
                  <w:shd w:val="clear" w:color="auto" w:fill="auto"/>
                  <w:noWrap/>
                  <w:tcMar>
                    <w:top w:w="0" w:type="dxa"/>
                    <w:left w:w="0" w:type="dxa"/>
                    <w:bottom w:w="0" w:type="dxa"/>
                    <w:right w:w="0" w:type="dxa"/>
                  </w:tcMar>
                  <w:vAlign w:val="center"/>
                </w:tcPr>
                <w:p w14:paraId="59F95106">
                  <w:pPr>
                    <w:pStyle w:val="15"/>
                    <w:bidi w:val="0"/>
                    <w:rPr>
                      <w:rFonts w:hint="eastAsia"/>
                    </w:rPr>
                  </w:pPr>
                </w:p>
              </w:tc>
              <w:tc>
                <w:tcPr>
                  <w:tcW w:w="709" w:type="pct"/>
                  <w:tcBorders>
                    <w:tl2br w:val="nil"/>
                    <w:tr2bl w:val="nil"/>
                  </w:tcBorders>
                  <w:shd w:val="clear" w:color="auto" w:fill="auto"/>
                  <w:tcMar>
                    <w:top w:w="0" w:type="dxa"/>
                    <w:left w:w="0" w:type="dxa"/>
                    <w:bottom w:w="0" w:type="dxa"/>
                    <w:right w:w="0" w:type="dxa"/>
                  </w:tcMar>
                  <w:vAlign w:val="center"/>
                </w:tcPr>
                <w:p w14:paraId="647757D1">
                  <w:pPr>
                    <w:pStyle w:val="15"/>
                    <w:bidi w:val="0"/>
                    <w:rPr>
                      <w:rFonts w:hint="eastAsia"/>
                    </w:rPr>
                  </w:pPr>
                  <w:r>
                    <w:rPr>
                      <w:rFonts w:hint="eastAsia"/>
                      <w:lang w:val="en-US" w:eastAsia="zh-CN"/>
                    </w:rPr>
                    <w:t>0.24</w:t>
                  </w:r>
                </w:p>
              </w:tc>
              <w:tc>
                <w:tcPr>
                  <w:tcW w:w="720" w:type="pct"/>
                  <w:tcBorders>
                    <w:tl2br w:val="nil"/>
                    <w:tr2bl w:val="nil"/>
                  </w:tcBorders>
                  <w:shd w:val="clear" w:color="auto" w:fill="auto"/>
                  <w:noWrap/>
                  <w:tcMar>
                    <w:top w:w="0" w:type="dxa"/>
                    <w:left w:w="0" w:type="dxa"/>
                    <w:bottom w:w="0" w:type="dxa"/>
                    <w:right w:w="0" w:type="dxa"/>
                  </w:tcMar>
                  <w:vAlign w:val="center"/>
                </w:tcPr>
                <w:p w14:paraId="3DB28151">
                  <w:pPr>
                    <w:pStyle w:val="15"/>
                    <w:bidi w:val="0"/>
                    <w:rPr>
                      <w:rFonts w:hint="eastAsia"/>
                    </w:rPr>
                  </w:pPr>
                </w:p>
              </w:tc>
            </w:tr>
            <w:tr w14:paraId="0E667A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53" w:type="pct"/>
                  <w:vMerge w:val="continue"/>
                  <w:tcBorders>
                    <w:tl2br w:val="nil"/>
                    <w:tr2bl w:val="nil"/>
                  </w:tcBorders>
                  <w:shd w:val="clear" w:color="auto" w:fill="auto"/>
                  <w:tcMar>
                    <w:top w:w="0" w:type="dxa"/>
                    <w:left w:w="0" w:type="dxa"/>
                    <w:bottom w:w="0" w:type="dxa"/>
                    <w:right w:w="0" w:type="dxa"/>
                  </w:tcMar>
                  <w:vAlign w:val="center"/>
                </w:tcPr>
                <w:p w14:paraId="1B68AFF7">
                  <w:pPr>
                    <w:pStyle w:val="15"/>
                    <w:bidi w:val="0"/>
                    <w:rPr>
                      <w:rFonts w:hint="eastAsia"/>
                    </w:rPr>
                  </w:pPr>
                </w:p>
              </w:tc>
              <w:tc>
                <w:tcPr>
                  <w:tcW w:w="1196" w:type="pct"/>
                  <w:tcBorders>
                    <w:tl2br w:val="nil"/>
                    <w:tr2bl w:val="nil"/>
                  </w:tcBorders>
                  <w:shd w:val="clear" w:color="auto" w:fill="auto"/>
                  <w:noWrap/>
                  <w:tcMar>
                    <w:top w:w="0" w:type="dxa"/>
                    <w:left w:w="0" w:type="dxa"/>
                    <w:bottom w:w="0" w:type="dxa"/>
                    <w:right w:w="0" w:type="dxa"/>
                  </w:tcMar>
                  <w:vAlign w:val="center"/>
                </w:tcPr>
                <w:p w14:paraId="7BB89693">
                  <w:pPr>
                    <w:pStyle w:val="15"/>
                    <w:bidi w:val="0"/>
                    <w:rPr>
                      <w:rFonts w:hint="eastAsia"/>
                    </w:rPr>
                  </w:pPr>
                  <w:r>
                    <w:rPr>
                      <w:rFonts w:hint="eastAsia"/>
                      <w:lang w:val="en-US" w:eastAsia="zh-CN"/>
                    </w:rPr>
                    <w:t>最大值</w:t>
                  </w:r>
                </w:p>
              </w:tc>
              <w:tc>
                <w:tcPr>
                  <w:tcW w:w="709" w:type="pct"/>
                  <w:tcBorders>
                    <w:tl2br w:val="nil"/>
                    <w:tr2bl w:val="nil"/>
                  </w:tcBorders>
                  <w:shd w:val="clear" w:color="auto" w:fill="auto"/>
                  <w:noWrap/>
                  <w:tcMar>
                    <w:top w:w="0" w:type="dxa"/>
                    <w:left w:w="0" w:type="dxa"/>
                    <w:bottom w:w="0" w:type="dxa"/>
                    <w:right w:w="0" w:type="dxa"/>
                  </w:tcMar>
                  <w:vAlign w:val="center"/>
                </w:tcPr>
                <w:p w14:paraId="4E65830E">
                  <w:pPr>
                    <w:pStyle w:val="15"/>
                    <w:bidi w:val="0"/>
                    <w:rPr>
                      <w:rFonts w:hint="eastAsia"/>
                    </w:rPr>
                  </w:pPr>
                  <w:r>
                    <w:rPr>
                      <w:rFonts w:hint="eastAsia"/>
                      <w:lang w:val="en-US" w:eastAsia="zh-CN"/>
                    </w:rPr>
                    <w:t>0.237</w:t>
                  </w:r>
                </w:p>
              </w:tc>
              <w:tc>
                <w:tcPr>
                  <w:tcW w:w="709" w:type="pct"/>
                  <w:tcBorders>
                    <w:tl2br w:val="nil"/>
                    <w:tr2bl w:val="nil"/>
                  </w:tcBorders>
                  <w:shd w:val="clear" w:color="auto" w:fill="auto"/>
                  <w:noWrap/>
                  <w:tcMar>
                    <w:top w:w="0" w:type="dxa"/>
                    <w:left w:w="0" w:type="dxa"/>
                    <w:bottom w:w="0" w:type="dxa"/>
                    <w:right w:w="0" w:type="dxa"/>
                  </w:tcMar>
                  <w:vAlign w:val="center"/>
                </w:tcPr>
                <w:p w14:paraId="56EDB35C">
                  <w:pPr>
                    <w:pStyle w:val="15"/>
                    <w:bidi w:val="0"/>
                    <w:rPr>
                      <w:rFonts w:hint="eastAsia"/>
                    </w:rPr>
                  </w:pPr>
                  <w:r>
                    <w:rPr>
                      <w:rFonts w:hint="eastAsia"/>
                      <w:lang w:val="en-US" w:eastAsia="zh-CN"/>
                    </w:rPr>
                    <w:t>/</w:t>
                  </w:r>
                </w:p>
              </w:tc>
              <w:tc>
                <w:tcPr>
                  <w:tcW w:w="709" w:type="pct"/>
                  <w:tcBorders>
                    <w:tl2br w:val="nil"/>
                    <w:tr2bl w:val="nil"/>
                  </w:tcBorders>
                  <w:shd w:val="clear" w:color="auto" w:fill="auto"/>
                  <w:noWrap/>
                  <w:tcMar>
                    <w:top w:w="0" w:type="dxa"/>
                    <w:left w:w="0" w:type="dxa"/>
                    <w:bottom w:w="0" w:type="dxa"/>
                    <w:right w:w="0" w:type="dxa"/>
                  </w:tcMar>
                  <w:vAlign w:val="center"/>
                </w:tcPr>
                <w:p w14:paraId="1B1E9CDF">
                  <w:pPr>
                    <w:pStyle w:val="15"/>
                    <w:bidi w:val="0"/>
                    <w:rPr>
                      <w:rFonts w:hint="eastAsia"/>
                    </w:rPr>
                  </w:pPr>
                  <w:r>
                    <w:rPr>
                      <w:rFonts w:hint="eastAsia"/>
                      <w:lang w:val="en-US" w:eastAsia="zh-CN"/>
                    </w:rPr>
                    <w:t xml:space="preserve">0.243 </w:t>
                  </w:r>
                </w:p>
              </w:tc>
              <w:tc>
                <w:tcPr>
                  <w:tcW w:w="720" w:type="pct"/>
                  <w:tcBorders>
                    <w:tl2br w:val="nil"/>
                    <w:tr2bl w:val="nil"/>
                  </w:tcBorders>
                  <w:shd w:val="clear" w:color="auto" w:fill="auto"/>
                  <w:noWrap/>
                  <w:tcMar>
                    <w:top w:w="0" w:type="dxa"/>
                    <w:left w:w="0" w:type="dxa"/>
                    <w:bottom w:w="0" w:type="dxa"/>
                    <w:right w:w="0" w:type="dxa"/>
                  </w:tcMar>
                  <w:vAlign w:val="center"/>
                </w:tcPr>
                <w:p w14:paraId="4D829ECC">
                  <w:pPr>
                    <w:pStyle w:val="15"/>
                    <w:bidi w:val="0"/>
                    <w:rPr>
                      <w:rFonts w:hint="eastAsia"/>
                    </w:rPr>
                  </w:pPr>
                  <w:r>
                    <w:rPr>
                      <w:rFonts w:hint="eastAsia"/>
                      <w:lang w:val="en-US" w:eastAsia="zh-CN"/>
                    </w:rPr>
                    <w:t>/</w:t>
                  </w:r>
                </w:p>
              </w:tc>
            </w:tr>
            <w:tr w14:paraId="3500D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49" w:type="pct"/>
                  <w:gridSpan w:val="2"/>
                  <w:tcBorders>
                    <w:tl2br w:val="nil"/>
                    <w:tr2bl w:val="nil"/>
                  </w:tcBorders>
                  <w:shd w:val="clear" w:color="auto" w:fill="auto"/>
                  <w:noWrap/>
                  <w:tcMar>
                    <w:top w:w="0" w:type="dxa"/>
                    <w:left w:w="0" w:type="dxa"/>
                    <w:bottom w:w="0" w:type="dxa"/>
                    <w:right w:w="0" w:type="dxa"/>
                  </w:tcMar>
                  <w:vAlign w:val="center"/>
                </w:tcPr>
                <w:p w14:paraId="641F5C44">
                  <w:pPr>
                    <w:pStyle w:val="15"/>
                    <w:bidi w:val="0"/>
                    <w:rPr>
                      <w:rFonts w:hint="eastAsia"/>
                    </w:rPr>
                  </w:pPr>
                  <w:r>
                    <w:rPr>
                      <w:rFonts w:hint="eastAsia"/>
                      <w:lang w:val="en-US" w:eastAsia="zh-CN"/>
                    </w:rPr>
                    <w:t>标准指数</w:t>
                  </w:r>
                </w:p>
              </w:tc>
              <w:tc>
                <w:tcPr>
                  <w:tcW w:w="709" w:type="pct"/>
                  <w:tcBorders>
                    <w:tl2br w:val="nil"/>
                    <w:tr2bl w:val="nil"/>
                  </w:tcBorders>
                  <w:shd w:val="clear" w:color="auto" w:fill="auto"/>
                  <w:noWrap/>
                  <w:tcMar>
                    <w:top w:w="0" w:type="dxa"/>
                    <w:left w:w="0" w:type="dxa"/>
                    <w:bottom w:w="0" w:type="dxa"/>
                    <w:right w:w="0" w:type="dxa"/>
                  </w:tcMar>
                  <w:vAlign w:val="center"/>
                </w:tcPr>
                <w:p w14:paraId="6B24E369">
                  <w:pPr>
                    <w:pStyle w:val="15"/>
                    <w:bidi w:val="0"/>
                    <w:rPr>
                      <w:rFonts w:hint="eastAsia"/>
                    </w:rPr>
                  </w:pPr>
                  <w:r>
                    <w:rPr>
                      <w:rFonts w:hint="eastAsia"/>
                      <w:lang w:val="en-US" w:eastAsia="zh-CN"/>
                    </w:rPr>
                    <w:t>0.79</w:t>
                  </w:r>
                </w:p>
              </w:tc>
              <w:tc>
                <w:tcPr>
                  <w:tcW w:w="709" w:type="pct"/>
                  <w:tcBorders>
                    <w:tl2br w:val="nil"/>
                    <w:tr2bl w:val="nil"/>
                  </w:tcBorders>
                  <w:shd w:val="clear" w:color="auto" w:fill="auto"/>
                  <w:noWrap/>
                  <w:tcMar>
                    <w:top w:w="0" w:type="dxa"/>
                    <w:left w:w="0" w:type="dxa"/>
                    <w:bottom w:w="0" w:type="dxa"/>
                    <w:right w:w="0" w:type="dxa"/>
                  </w:tcMar>
                  <w:vAlign w:val="center"/>
                </w:tcPr>
                <w:p w14:paraId="00369E37">
                  <w:pPr>
                    <w:pStyle w:val="15"/>
                    <w:bidi w:val="0"/>
                    <w:rPr>
                      <w:rFonts w:hint="eastAsia"/>
                    </w:rPr>
                  </w:pPr>
                  <w:r>
                    <w:rPr>
                      <w:rFonts w:hint="eastAsia"/>
                      <w:lang w:val="en-US" w:eastAsia="zh-CN"/>
                    </w:rPr>
                    <w:t>/</w:t>
                  </w:r>
                </w:p>
              </w:tc>
              <w:tc>
                <w:tcPr>
                  <w:tcW w:w="709" w:type="pct"/>
                  <w:tcBorders>
                    <w:tl2br w:val="nil"/>
                    <w:tr2bl w:val="nil"/>
                  </w:tcBorders>
                  <w:shd w:val="clear" w:color="auto" w:fill="auto"/>
                  <w:noWrap/>
                  <w:tcMar>
                    <w:top w:w="0" w:type="dxa"/>
                    <w:left w:w="0" w:type="dxa"/>
                    <w:bottom w:w="0" w:type="dxa"/>
                    <w:right w:w="0" w:type="dxa"/>
                  </w:tcMar>
                  <w:vAlign w:val="center"/>
                </w:tcPr>
                <w:p w14:paraId="128F027F">
                  <w:pPr>
                    <w:pStyle w:val="15"/>
                    <w:bidi w:val="0"/>
                    <w:rPr>
                      <w:rFonts w:hint="eastAsia"/>
                    </w:rPr>
                  </w:pPr>
                  <w:r>
                    <w:rPr>
                      <w:rFonts w:hint="eastAsia"/>
                      <w:lang w:val="en-US" w:eastAsia="zh-CN"/>
                    </w:rPr>
                    <w:t>0.81</w:t>
                  </w:r>
                </w:p>
              </w:tc>
              <w:tc>
                <w:tcPr>
                  <w:tcW w:w="720" w:type="pct"/>
                  <w:tcBorders>
                    <w:tl2br w:val="nil"/>
                    <w:tr2bl w:val="nil"/>
                  </w:tcBorders>
                  <w:shd w:val="clear" w:color="auto" w:fill="auto"/>
                  <w:noWrap/>
                  <w:tcMar>
                    <w:top w:w="0" w:type="dxa"/>
                    <w:left w:w="0" w:type="dxa"/>
                    <w:bottom w:w="0" w:type="dxa"/>
                    <w:right w:w="0" w:type="dxa"/>
                  </w:tcMar>
                  <w:vAlign w:val="center"/>
                </w:tcPr>
                <w:p w14:paraId="511817F1">
                  <w:pPr>
                    <w:pStyle w:val="15"/>
                    <w:bidi w:val="0"/>
                    <w:rPr>
                      <w:rFonts w:hint="eastAsia"/>
                    </w:rPr>
                  </w:pPr>
                  <w:r>
                    <w:rPr>
                      <w:rFonts w:hint="eastAsia"/>
                      <w:lang w:val="en-US" w:eastAsia="zh-CN"/>
                    </w:rPr>
                    <w:t>/</w:t>
                  </w:r>
                </w:p>
              </w:tc>
            </w:tr>
            <w:tr w14:paraId="1B5D07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149" w:type="pct"/>
                  <w:gridSpan w:val="2"/>
                  <w:tcBorders>
                    <w:tl2br w:val="nil"/>
                    <w:tr2bl w:val="nil"/>
                  </w:tcBorders>
                  <w:shd w:val="clear" w:color="auto" w:fill="auto"/>
                  <w:noWrap/>
                  <w:tcMar>
                    <w:top w:w="0" w:type="dxa"/>
                    <w:left w:w="0" w:type="dxa"/>
                    <w:bottom w:w="0" w:type="dxa"/>
                    <w:right w:w="0" w:type="dxa"/>
                  </w:tcMar>
                  <w:vAlign w:val="center"/>
                </w:tcPr>
                <w:p w14:paraId="461C4258">
                  <w:pPr>
                    <w:pStyle w:val="15"/>
                    <w:bidi w:val="0"/>
                    <w:rPr>
                      <w:rFonts w:hint="eastAsia"/>
                    </w:rPr>
                  </w:pPr>
                  <w:r>
                    <w:rPr>
                      <w:rFonts w:hint="eastAsia"/>
                      <w:lang w:val="en-US" w:eastAsia="zh-CN"/>
                    </w:rPr>
                    <w:t>达标情况</w:t>
                  </w:r>
                </w:p>
              </w:tc>
              <w:tc>
                <w:tcPr>
                  <w:tcW w:w="709" w:type="pct"/>
                  <w:tcBorders>
                    <w:tl2br w:val="nil"/>
                    <w:tr2bl w:val="nil"/>
                  </w:tcBorders>
                  <w:shd w:val="clear" w:color="auto" w:fill="auto"/>
                  <w:noWrap/>
                  <w:tcMar>
                    <w:top w:w="0" w:type="dxa"/>
                    <w:left w:w="0" w:type="dxa"/>
                    <w:bottom w:w="0" w:type="dxa"/>
                    <w:right w:w="0" w:type="dxa"/>
                  </w:tcMar>
                  <w:vAlign w:val="center"/>
                </w:tcPr>
                <w:p w14:paraId="332A623A">
                  <w:pPr>
                    <w:pStyle w:val="15"/>
                    <w:bidi w:val="0"/>
                    <w:rPr>
                      <w:rFonts w:hint="eastAsia"/>
                    </w:rPr>
                  </w:pPr>
                  <w:r>
                    <w:rPr>
                      <w:rFonts w:hint="eastAsia"/>
                      <w:lang w:val="en-US" w:eastAsia="zh-CN"/>
                    </w:rPr>
                    <w:t>达标</w:t>
                  </w:r>
                </w:p>
              </w:tc>
              <w:tc>
                <w:tcPr>
                  <w:tcW w:w="709" w:type="pct"/>
                  <w:tcBorders>
                    <w:tl2br w:val="nil"/>
                    <w:tr2bl w:val="nil"/>
                  </w:tcBorders>
                  <w:shd w:val="clear" w:color="auto" w:fill="auto"/>
                  <w:noWrap/>
                  <w:tcMar>
                    <w:top w:w="0" w:type="dxa"/>
                    <w:left w:w="0" w:type="dxa"/>
                    <w:bottom w:w="0" w:type="dxa"/>
                    <w:right w:w="0" w:type="dxa"/>
                  </w:tcMar>
                  <w:vAlign w:val="center"/>
                </w:tcPr>
                <w:p w14:paraId="125A36D7">
                  <w:pPr>
                    <w:pStyle w:val="15"/>
                    <w:bidi w:val="0"/>
                    <w:rPr>
                      <w:rFonts w:hint="eastAsia"/>
                    </w:rPr>
                  </w:pPr>
                  <w:r>
                    <w:rPr>
                      <w:rFonts w:hint="eastAsia"/>
                      <w:lang w:val="en-US" w:eastAsia="zh-CN"/>
                    </w:rPr>
                    <w:t>达标</w:t>
                  </w:r>
                </w:p>
              </w:tc>
              <w:tc>
                <w:tcPr>
                  <w:tcW w:w="709" w:type="pct"/>
                  <w:tcBorders>
                    <w:tl2br w:val="nil"/>
                    <w:tr2bl w:val="nil"/>
                  </w:tcBorders>
                  <w:shd w:val="clear" w:color="auto" w:fill="auto"/>
                  <w:noWrap/>
                  <w:tcMar>
                    <w:top w:w="0" w:type="dxa"/>
                    <w:left w:w="0" w:type="dxa"/>
                    <w:bottom w:w="0" w:type="dxa"/>
                    <w:right w:w="0" w:type="dxa"/>
                  </w:tcMar>
                  <w:vAlign w:val="center"/>
                </w:tcPr>
                <w:p w14:paraId="6DA4FAF9">
                  <w:pPr>
                    <w:pStyle w:val="15"/>
                    <w:bidi w:val="0"/>
                    <w:rPr>
                      <w:rFonts w:hint="eastAsia"/>
                    </w:rPr>
                  </w:pPr>
                  <w:r>
                    <w:rPr>
                      <w:rFonts w:hint="eastAsia"/>
                      <w:lang w:val="en-US" w:eastAsia="zh-CN"/>
                    </w:rPr>
                    <w:t>达标</w:t>
                  </w:r>
                </w:p>
              </w:tc>
              <w:tc>
                <w:tcPr>
                  <w:tcW w:w="720" w:type="pct"/>
                  <w:tcBorders>
                    <w:tl2br w:val="nil"/>
                    <w:tr2bl w:val="nil"/>
                  </w:tcBorders>
                  <w:shd w:val="clear" w:color="auto" w:fill="auto"/>
                  <w:noWrap/>
                  <w:tcMar>
                    <w:top w:w="0" w:type="dxa"/>
                    <w:left w:w="0" w:type="dxa"/>
                    <w:bottom w:w="0" w:type="dxa"/>
                    <w:right w:w="0" w:type="dxa"/>
                  </w:tcMar>
                  <w:vAlign w:val="center"/>
                </w:tcPr>
                <w:p w14:paraId="6AA3C910">
                  <w:pPr>
                    <w:pStyle w:val="15"/>
                    <w:bidi w:val="0"/>
                    <w:rPr>
                      <w:rFonts w:hint="eastAsia"/>
                    </w:rPr>
                  </w:pPr>
                  <w:r>
                    <w:rPr>
                      <w:rFonts w:hint="eastAsia"/>
                      <w:lang w:val="en-US" w:eastAsia="zh-CN"/>
                    </w:rPr>
                    <w:t>达标</w:t>
                  </w:r>
                </w:p>
              </w:tc>
            </w:tr>
          </w:tbl>
          <w:p w14:paraId="7BCEE462">
            <w:pPr>
              <w:bidi w:val="0"/>
              <w:rPr>
                <w:rFonts w:hint="default"/>
                <w:lang w:val="en-US" w:eastAsia="zh-CN"/>
              </w:rPr>
            </w:pPr>
            <w:r>
              <w:rPr>
                <w:rFonts w:hint="eastAsia"/>
                <w:lang w:val="en-US" w:eastAsia="zh-CN"/>
              </w:rPr>
              <w:t>根据监测结果，TSP满足《环境空气质量标准》（GB3095-2026）中表1过渡阶段浓度限值二级标准；HCl满足《环境影响评价技术导则大气环境》（HJ2.2-2018）附录D中标准限值。</w:t>
            </w:r>
          </w:p>
          <w:p w14:paraId="26092454">
            <w:pPr>
              <w:pStyle w:val="3"/>
              <w:bidi w:val="0"/>
              <w:rPr>
                <w:b/>
                <w:bCs/>
                <w:color w:val="auto"/>
                <w:kern w:val="0"/>
                <w:szCs w:val="21"/>
              </w:rPr>
            </w:pPr>
            <w:r>
              <w:rPr>
                <w:b/>
                <w:bCs/>
                <w:color w:val="auto"/>
                <w:kern w:val="0"/>
                <w:szCs w:val="21"/>
              </w:rPr>
              <w:t>2</w:t>
            </w:r>
            <w:r>
              <w:rPr>
                <w:rFonts w:hint="eastAsia"/>
                <w:b/>
                <w:bCs/>
                <w:color w:val="auto"/>
                <w:kern w:val="0"/>
                <w:szCs w:val="21"/>
                <w:lang w:val="en-US" w:eastAsia="zh-CN"/>
              </w:rPr>
              <w:t>.</w:t>
            </w:r>
            <w:r>
              <w:rPr>
                <w:b/>
                <w:bCs/>
                <w:color w:val="auto"/>
                <w:kern w:val="0"/>
                <w:szCs w:val="21"/>
              </w:rPr>
              <w:t>地表水环境</w:t>
            </w:r>
          </w:p>
          <w:p w14:paraId="2DDBB95F">
            <w:pPr>
              <w:adjustRightInd w:val="0"/>
              <w:snapToGrid w:val="0"/>
              <w:spacing w:line="360" w:lineRule="auto"/>
              <w:ind w:firstLine="480" w:firstLineChars="200"/>
              <w:jc w:val="left"/>
              <w:rPr>
                <w:rFonts w:hint="eastAsia"/>
                <w:color w:val="auto"/>
                <w:kern w:val="0"/>
                <w:szCs w:val="21"/>
                <w:highlight w:val="none"/>
              </w:rPr>
            </w:pPr>
            <w:r>
              <w:rPr>
                <w:rFonts w:hint="eastAsia"/>
                <w:lang w:val="en-US" w:eastAsia="zh-CN"/>
              </w:rPr>
              <w:t>本次扩建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color w:val="auto"/>
                <w:kern w:val="0"/>
                <w:szCs w:val="21"/>
                <w:highlight w:val="none"/>
              </w:rPr>
              <w:t>项目不涉及水环境专项评价，</w:t>
            </w:r>
            <w:r>
              <w:rPr>
                <w:rFonts w:hint="eastAsia"/>
                <w:color w:val="auto"/>
                <w:kern w:val="0"/>
                <w:szCs w:val="21"/>
                <w:highlight w:val="none"/>
                <w:lang w:val="en-US" w:eastAsia="zh-CN"/>
              </w:rPr>
              <w:t>现有厂区</w:t>
            </w:r>
            <w:r>
              <w:rPr>
                <w:rFonts w:hint="eastAsia"/>
                <w:color w:val="auto"/>
                <w:kern w:val="0"/>
                <w:szCs w:val="21"/>
                <w:highlight w:val="none"/>
              </w:rPr>
              <w:t>周边无地表水径流，</w:t>
            </w:r>
            <w:r>
              <w:rPr>
                <w:rFonts w:hint="eastAsia"/>
                <w:color w:val="auto"/>
                <w:kern w:val="0"/>
                <w:szCs w:val="21"/>
                <w:highlight w:val="none"/>
                <w:lang w:val="en-US" w:eastAsia="zh-CN"/>
              </w:rPr>
              <w:t>本项目无废水产生，与地表水无水力联系</w:t>
            </w:r>
            <w:r>
              <w:rPr>
                <w:rFonts w:hint="eastAsia"/>
                <w:color w:val="auto"/>
                <w:kern w:val="0"/>
                <w:szCs w:val="21"/>
                <w:highlight w:val="none"/>
              </w:rPr>
              <w:t>，因此不开展水环境质量现状调查。</w:t>
            </w:r>
          </w:p>
          <w:p w14:paraId="4C9C4B95">
            <w:pPr>
              <w:pStyle w:val="3"/>
              <w:bidi w:val="0"/>
              <w:rPr>
                <w:rFonts w:hint="eastAsia"/>
                <w:lang w:val="en-US" w:eastAsia="zh-CN"/>
              </w:rPr>
            </w:pPr>
            <w:r>
              <w:rPr>
                <w:rFonts w:hint="eastAsia"/>
                <w:lang w:val="en-US" w:eastAsia="zh-CN"/>
              </w:rPr>
              <w:t>3.地下水环境</w:t>
            </w:r>
          </w:p>
          <w:p w14:paraId="47D9580C">
            <w:pPr>
              <w:rPr>
                <w:rFonts w:hint="eastAsia"/>
                <w:color w:val="auto"/>
                <w:lang w:val="en-US" w:eastAsia="zh-CN"/>
              </w:rPr>
            </w:pPr>
            <w:r>
              <w:rPr>
                <w:rFonts w:hint="eastAsia" w:cs="Times New Roman"/>
                <w:color w:val="auto"/>
                <w:highlight w:val="none"/>
                <w:lang w:val="zh-CN"/>
              </w:rPr>
              <w:t>本次地下水环境质量现状评价</w:t>
            </w:r>
            <w:r>
              <w:rPr>
                <w:rFonts w:hint="eastAsia" w:cs="Times New Roman"/>
                <w:color w:val="auto"/>
                <w:highlight w:val="none"/>
                <w:lang w:val="en-US" w:eastAsia="zh-CN"/>
              </w:rPr>
              <w:t>监测数据引用</w:t>
            </w:r>
            <w:r>
              <w:rPr>
                <w:rFonts w:hint="eastAsia"/>
                <w:color w:val="auto"/>
                <w:lang w:val="en-US" w:eastAsia="zh-CN"/>
              </w:rPr>
              <w:t>《新疆久塔锦晨生物科技股份有限公司精细化工项目（一期）竣工环境保护验收监测报告》中委托新疆中测测试有限责任公司于2026年1月18日开展现状监测。</w:t>
            </w:r>
          </w:p>
          <w:p w14:paraId="5A16AD45">
            <w:pPr>
              <w:rPr>
                <w:rFonts w:hint="default"/>
                <w:color w:val="auto"/>
                <w:lang w:val="en-US" w:eastAsia="zh-CN"/>
              </w:rPr>
            </w:pPr>
            <w:r>
              <w:rPr>
                <w:rFonts w:hint="eastAsia"/>
                <w:color w:val="auto"/>
                <w:lang w:val="en-US" w:eastAsia="zh-CN"/>
              </w:rPr>
              <w:t>（1）监测点位</w:t>
            </w:r>
          </w:p>
          <w:p w14:paraId="71E2F8C6">
            <w:pPr>
              <w:ind w:firstLine="480"/>
              <w:outlineLvl w:val="9"/>
              <w:rPr>
                <w:rFonts w:cs="Times New Roman"/>
                <w:color w:val="auto"/>
                <w:highlight w:val="none"/>
                <w:lang w:val="zh-CN"/>
              </w:rPr>
            </w:pPr>
            <w:r>
              <w:rPr>
                <w:rFonts w:hint="eastAsia" w:cs="Times New Roman"/>
                <w:color w:val="auto"/>
                <w:highlight w:val="none"/>
                <w:lang w:val="zh-CN"/>
              </w:rPr>
              <w:t>本项目所在区域地下水流向为由</w:t>
            </w:r>
            <w:r>
              <w:rPr>
                <w:rFonts w:hint="eastAsia" w:cs="Times New Roman"/>
                <w:color w:val="auto"/>
                <w:highlight w:val="none"/>
                <w:lang w:val="en-US" w:eastAsia="zh-CN"/>
              </w:rPr>
              <w:t>南</w:t>
            </w:r>
            <w:r>
              <w:rPr>
                <w:rFonts w:hint="eastAsia" w:cs="Times New Roman"/>
                <w:color w:val="auto"/>
                <w:highlight w:val="none"/>
                <w:lang w:val="zh-CN"/>
              </w:rPr>
              <w:t>向</w:t>
            </w:r>
            <w:r>
              <w:rPr>
                <w:rFonts w:hint="eastAsia" w:cs="Times New Roman"/>
                <w:color w:val="auto"/>
                <w:highlight w:val="none"/>
                <w:lang w:val="en-US" w:eastAsia="zh-CN"/>
              </w:rPr>
              <w:t>北。本次在地下水评价范围内分别布设5个地下水水质现状监测点、5个地下水水位监测点，</w:t>
            </w:r>
            <w:r>
              <w:rPr>
                <w:rFonts w:hint="eastAsia" w:cs="Times New Roman"/>
                <w:color w:val="auto"/>
                <w:highlight w:val="none"/>
                <w:lang w:val="zh-CN"/>
              </w:rPr>
              <w:t>基本满足《环境影响评价技术导则地下水环境》（HJ610-2016）中现状监测点的布设要求，监测点位位置布设合理。</w:t>
            </w:r>
          </w:p>
          <w:p w14:paraId="26AD7553">
            <w:pPr>
              <w:rPr>
                <w:rFonts w:hint="eastAsia" w:cs="Times New Roman"/>
                <w:color w:val="auto"/>
                <w:highlight w:val="none"/>
                <w:lang w:val="en-US" w:eastAsia="zh-CN"/>
              </w:rPr>
            </w:pPr>
            <w:r>
              <w:rPr>
                <w:rFonts w:hint="eastAsia" w:cs="Times New Roman"/>
                <w:color w:val="auto"/>
                <w:highlight w:val="none"/>
              </w:rPr>
              <w:t>地下水环境</w:t>
            </w:r>
            <w:r>
              <w:rPr>
                <w:rFonts w:cs="Times New Roman"/>
                <w:color w:val="auto"/>
                <w:highlight w:val="none"/>
              </w:rPr>
              <w:t>监测</w:t>
            </w:r>
            <w:r>
              <w:rPr>
                <w:rFonts w:hint="eastAsia" w:cs="Times New Roman"/>
                <w:color w:val="auto"/>
                <w:highlight w:val="none"/>
              </w:rPr>
              <w:t>点位</w:t>
            </w:r>
            <w:r>
              <w:rPr>
                <w:rFonts w:cs="Times New Roman"/>
                <w:color w:val="auto"/>
                <w:highlight w:val="none"/>
              </w:rPr>
              <w:t>布设</w:t>
            </w:r>
            <w:r>
              <w:rPr>
                <w:rFonts w:hint="eastAsia" w:cs="Times New Roman"/>
                <w:color w:val="auto"/>
                <w:highlight w:val="none"/>
              </w:rPr>
              <w:t>情况</w:t>
            </w:r>
            <w:r>
              <w:rPr>
                <w:rFonts w:cs="Times New Roman"/>
                <w:color w:val="auto"/>
                <w:highlight w:val="none"/>
              </w:rPr>
              <w:t>见</w:t>
            </w:r>
            <w:r>
              <w:rPr>
                <w:rFonts w:hint="eastAsia" w:cs="Times New Roman"/>
                <w:color w:val="auto"/>
                <w:highlight w:val="none"/>
                <w:lang w:val="en-US" w:eastAsia="zh-CN"/>
              </w:rPr>
              <w:t>下表18。</w:t>
            </w:r>
          </w:p>
          <w:p w14:paraId="14A0D89C">
            <w:pPr>
              <w:rPr>
                <w:rFonts w:hint="eastAsia" w:cs="Times New Roman"/>
                <w:color w:val="auto"/>
                <w:highlight w:val="none"/>
                <w:lang w:val="en-US" w:eastAsia="zh-CN"/>
              </w:rPr>
            </w:pPr>
          </w:p>
          <w:p w14:paraId="68E9703E">
            <w:pPr>
              <w:pStyle w:val="16"/>
              <w:bidi w:val="0"/>
              <w:rPr>
                <w:rFonts w:hint="eastAsia"/>
              </w:rPr>
            </w:pPr>
            <w:r>
              <w:t xml:space="preserve">表 </w:t>
            </w:r>
            <w:r>
              <w:fldChar w:fldCharType="begin"/>
            </w:r>
            <w:r>
              <w:instrText xml:space="preserve"> SEQ 表 \* ARABIC </w:instrText>
            </w:r>
            <w:r>
              <w:fldChar w:fldCharType="separate"/>
            </w:r>
            <w:r>
              <w:t>18</w:t>
            </w:r>
            <w:r>
              <w:fldChar w:fldCharType="end"/>
            </w:r>
            <w:r>
              <w:rPr>
                <w:rFonts w:hint="eastAsia"/>
                <w:lang w:val="en-US" w:eastAsia="zh-CN"/>
              </w:rPr>
              <w:t xml:space="preserve">  </w:t>
            </w:r>
            <w:r>
              <w:rPr>
                <w:rFonts w:hint="eastAsia"/>
              </w:rPr>
              <w:t>区域地下水质量现状监测点概况一览表</w:t>
            </w:r>
          </w:p>
          <w:tbl>
            <w:tblPr>
              <w:tblStyle w:val="1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445"/>
              <w:gridCol w:w="1125"/>
              <w:gridCol w:w="1125"/>
              <w:gridCol w:w="647"/>
              <w:gridCol w:w="647"/>
              <w:gridCol w:w="1073"/>
              <w:gridCol w:w="434"/>
              <w:gridCol w:w="494"/>
              <w:gridCol w:w="504"/>
            </w:tblGrid>
            <w:tr w14:paraId="7884E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80" w:type="pct"/>
                  <w:vMerge w:val="restart"/>
                  <w:tcBorders>
                    <w:tl2br w:val="nil"/>
                    <w:tr2bl w:val="nil"/>
                  </w:tcBorders>
                  <w:noWrap w:val="0"/>
                  <w:tcMar>
                    <w:top w:w="0" w:type="dxa"/>
                    <w:left w:w="0" w:type="dxa"/>
                    <w:bottom w:w="0" w:type="dxa"/>
                    <w:right w:w="0" w:type="dxa"/>
                  </w:tcMar>
                  <w:vAlign w:val="center"/>
                </w:tcPr>
                <w:p w14:paraId="6F8F846B">
                  <w:pPr>
                    <w:pStyle w:val="15"/>
                    <w:bidi w:val="0"/>
                    <w:rPr>
                      <w:rFonts w:hint="default"/>
                      <w:color w:val="auto"/>
                    </w:rPr>
                  </w:pPr>
                  <w:r>
                    <w:rPr>
                      <w:rFonts w:hint="default"/>
                      <w:color w:val="auto"/>
                    </w:rPr>
                    <w:t>点位</w:t>
                  </w:r>
                </w:p>
              </w:tc>
              <w:tc>
                <w:tcPr>
                  <w:tcW w:w="909" w:type="pct"/>
                  <w:vMerge w:val="restart"/>
                  <w:tcBorders>
                    <w:tl2br w:val="nil"/>
                    <w:tr2bl w:val="nil"/>
                  </w:tcBorders>
                  <w:noWrap w:val="0"/>
                  <w:tcMar>
                    <w:top w:w="0" w:type="dxa"/>
                    <w:left w:w="0" w:type="dxa"/>
                    <w:bottom w:w="0" w:type="dxa"/>
                    <w:right w:w="0" w:type="dxa"/>
                  </w:tcMar>
                  <w:vAlign w:val="center"/>
                </w:tcPr>
                <w:p w14:paraId="402C5E01">
                  <w:pPr>
                    <w:pStyle w:val="15"/>
                    <w:bidi w:val="0"/>
                    <w:rPr>
                      <w:rFonts w:hint="default"/>
                      <w:color w:val="auto"/>
                    </w:rPr>
                  </w:pPr>
                  <w:r>
                    <w:rPr>
                      <w:rFonts w:hint="default"/>
                      <w:color w:val="auto"/>
                    </w:rPr>
                    <w:t>名称</w:t>
                  </w:r>
                </w:p>
              </w:tc>
              <w:tc>
                <w:tcPr>
                  <w:tcW w:w="1416" w:type="pct"/>
                  <w:gridSpan w:val="2"/>
                  <w:tcBorders>
                    <w:tl2br w:val="nil"/>
                    <w:tr2bl w:val="nil"/>
                  </w:tcBorders>
                  <w:noWrap w:val="0"/>
                  <w:tcMar>
                    <w:top w:w="0" w:type="dxa"/>
                    <w:left w:w="0" w:type="dxa"/>
                    <w:bottom w:w="0" w:type="dxa"/>
                    <w:right w:w="0" w:type="dxa"/>
                  </w:tcMar>
                  <w:vAlign w:val="center"/>
                </w:tcPr>
                <w:p w14:paraId="02862661">
                  <w:pPr>
                    <w:pStyle w:val="15"/>
                    <w:bidi w:val="0"/>
                    <w:rPr>
                      <w:rFonts w:hint="default"/>
                      <w:color w:val="auto"/>
                    </w:rPr>
                  </w:pPr>
                  <w:r>
                    <w:rPr>
                      <w:rFonts w:hint="default"/>
                      <w:color w:val="auto"/>
                    </w:rPr>
                    <w:t>点位坐标</w:t>
                  </w:r>
                </w:p>
              </w:tc>
              <w:tc>
                <w:tcPr>
                  <w:tcW w:w="407" w:type="pct"/>
                  <w:vMerge w:val="restart"/>
                  <w:tcBorders>
                    <w:tl2br w:val="nil"/>
                    <w:tr2bl w:val="nil"/>
                  </w:tcBorders>
                  <w:noWrap w:val="0"/>
                  <w:tcMar>
                    <w:top w:w="0" w:type="dxa"/>
                    <w:left w:w="0" w:type="dxa"/>
                    <w:bottom w:w="0" w:type="dxa"/>
                    <w:right w:w="0" w:type="dxa"/>
                  </w:tcMar>
                  <w:vAlign w:val="center"/>
                </w:tcPr>
                <w:p w14:paraId="59F07295">
                  <w:pPr>
                    <w:pStyle w:val="15"/>
                    <w:bidi w:val="0"/>
                    <w:rPr>
                      <w:rFonts w:hint="eastAsia"/>
                      <w:color w:val="auto"/>
                    </w:rPr>
                  </w:pPr>
                  <w:r>
                    <w:rPr>
                      <w:rFonts w:hint="eastAsia"/>
                      <w:color w:val="auto"/>
                    </w:rPr>
                    <w:t>区域内</w:t>
                  </w:r>
                </w:p>
                <w:p w14:paraId="4E1219F5">
                  <w:pPr>
                    <w:pStyle w:val="15"/>
                    <w:bidi w:val="0"/>
                    <w:rPr>
                      <w:rFonts w:hint="eastAsia"/>
                      <w:color w:val="auto"/>
                    </w:rPr>
                  </w:pPr>
                  <w:r>
                    <w:rPr>
                      <w:rFonts w:hint="eastAsia"/>
                      <w:color w:val="auto"/>
                    </w:rPr>
                    <w:t>地下水</w:t>
                  </w:r>
                </w:p>
                <w:p w14:paraId="104978F0">
                  <w:pPr>
                    <w:pStyle w:val="15"/>
                    <w:bidi w:val="0"/>
                    <w:rPr>
                      <w:rFonts w:hint="eastAsia"/>
                      <w:color w:val="auto"/>
                    </w:rPr>
                  </w:pPr>
                  <w:r>
                    <w:rPr>
                      <w:rFonts w:hint="eastAsia"/>
                      <w:color w:val="auto"/>
                    </w:rPr>
                    <w:t>流场中</w:t>
                  </w:r>
                </w:p>
                <w:p w14:paraId="7FA989A2">
                  <w:pPr>
                    <w:pStyle w:val="15"/>
                    <w:bidi w:val="0"/>
                    <w:rPr>
                      <w:rFonts w:hint="eastAsia"/>
                      <w:color w:val="auto"/>
                    </w:rPr>
                  </w:pPr>
                  <w:r>
                    <w:rPr>
                      <w:rFonts w:hint="eastAsia"/>
                      <w:color w:val="auto"/>
                    </w:rPr>
                    <w:t>位置关</w:t>
                  </w:r>
                </w:p>
                <w:p w14:paraId="70C26E2D">
                  <w:pPr>
                    <w:pStyle w:val="15"/>
                    <w:bidi w:val="0"/>
                    <w:rPr>
                      <w:rFonts w:hint="eastAsia"/>
                      <w:color w:val="auto"/>
                      <w:lang w:val="en-US" w:eastAsia="zh-CN"/>
                    </w:rPr>
                  </w:pPr>
                  <w:r>
                    <w:rPr>
                      <w:rFonts w:hint="eastAsia"/>
                      <w:color w:val="auto"/>
                    </w:rPr>
                    <w:t>系</w:t>
                  </w:r>
                </w:p>
              </w:tc>
              <w:tc>
                <w:tcPr>
                  <w:tcW w:w="407" w:type="pct"/>
                  <w:vMerge w:val="restart"/>
                  <w:tcBorders>
                    <w:tl2br w:val="nil"/>
                    <w:tr2bl w:val="nil"/>
                  </w:tcBorders>
                  <w:noWrap w:val="0"/>
                  <w:tcMar>
                    <w:top w:w="0" w:type="dxa"/>
                    <w:left w:w="0" w:type="dxa"/>
                    <w:bottom w:w="0" w:type="dxa"/>
                    <w:right w:w="0" w:type="dxa"/>
                  </w:tcMar>
                  <w:vAlign w:val="center"/>
                </w:tcPr>
                <w:p w14:paraId="6BDF60D1">
                  <w:pPr>
                    <w:pStyle w:val="15"/>
                    <w:bidi w:val="0"/>
                    <w:rPr>
                      <w:rFonts w:hint="eastAsia"/>
                      <w:color w:val="auto"/>
                      <w:lang w:val="en-US" w:eastAsia="zh-CN"/>
                    </w:rPr>
                  </w:pPr>
                  <w:r>
                    <w:rPr>
                      <w:rFonts w:hint="eastAsia"/>
                      <w:color w:val="auto"/>
                      <w:lang w:val="en-US" w:eastAsia="zh-CN"/>
                    </w:rPr>
                    <w:t>与本项</w:t>
                  </w:r>
                </w:p>
                <w:p w14:paraId="73A3C771">
                  <w:pPr>
                    <w:pStyle w:val="15"/>
                    <w:bidi w:val="0"/>
                    <w:rPr>
                      <w:rFonts w:hint="eastAsia"/>
                      <w:color w:val="auto"/>
                      <w:lang w:val="en-US" w:eastAsia="zh-CN"/>
                    </w:rPr>
                  </w:pPr>
                  <w:r>
                    <w:rPr>
                      <w:rFonts w:hint="eastAsia"/>
                      <w:color w:val="auto"/>
                      <w:lang w:val="en-US" w:eastAsia="zh-CN"/>
                    </w:rPr>
                    <w:t>目距离</w:t>
                  </w:r>
                </w:p>
                <w:p w14:paraId="1A2FF670">
                  <w:pPr>
                    <w:pStyle w:val="15"/>
                    <w:bidi w:val="0"/>
                    <w:rPr>
                      <w:rFonts w:hint="eastAsia"/>
                      <w:color w:val="auto"/>
                      <w:lang w:val="en-US" w:eastAsia="zh-CN"/>
                    </w:rPr>
                  </w:pPr>
                  <w:r>
                    <w:rPr>
                      <w:rFonts w:hint="eastAsia"/>
                      <w:color w:val="auto"/>
                      <w:lang w:val="en-US" w:eastAsia="zh-CN"/>
                    </w:rPr>
                    <w:t>(m)</w:t>
                  </w:r>
                </w:p>
              </w:tc>
              <w:tc>
                <w:tcPr>
                  <w:tcW w:w="675" w:type="pct"/>
                  <w:vMerge w:val="restart"/>
                  <w:tcBorders>
                    <w:tl2br w:val="nil"/>
                    <w:tr2bl w:val="nil"/>
                  </w:tcBorders>
                  <w:noWrap w:val="0"/>
                  <w:tcMar>
                    <w:top w:w="0" w:type="dxa"/>
                    <w:left w:w="0" w:type="dxa"/>
                    <w:bottom w:w="0" w:type="dxa"/>
                    <w:right w:w="0" w:type="dxa"/>
                  </w:tcMar>
                  <w:vAlign w:val="center"/>
                </w:tcPr>
                <w:p w14:paraId="40B0642B">
                  <w:pPr>
                    <w:pStyle w:val="15"/>
                    <w:bidi w:val="0"/>
                    <w:rPr>
                      <w:rFonts w:hint="eastAsia"/>
                      <w:color w:val="auto"/>
                      <w:lang w:val="en-US" w:eastAsia="zh-CN"/>
                    </w:rPr>
                  </w:pPr>
                  <w:r>
                    <w:rPr>
                      <w:rFonts w:hint="default"/>
                      <w:color w:val="auto"/>
                    </w:rPr>
                    <w:t>层位</w:t>
                  </w:r>
                </w:p>
              </w:tc>
              <w:tc>
                <w:tcPr>
                  <w:tcW w:w="273" w:type="pct"/>
                  <w:vMerge w:val="restart"/>
                  <w:tcBorders>
                    <w:tl2br w:val="nil"/>
                    <w:tr2bl w:val="nil"/>
                  </w:tcBorders>
                  <w:noWrap w:val="0"/>
                  <w:tcMar>
                    <w:top w:w="0" w:type="dxa"/>
                    <w:left w:w="0" w:type="dxa"/>
                    <w:bottom w:w="0" w:type="dxa"/>
                    <w:right w:w="0" w:type="dxa"/>
                  </w:tcMar>
                  <w:vAlign w:val="center"/>
                </w:tcPr>
                <w:p w14:paraId="54EE249D">
                  <w:pPr>
                    <w:pStyle w:val="15"/>
                    <w:bidi w:val="0"/>
                    <w:rPr>
                      <w:rFonts w:hint="eastAsia"/>
                      <w:color w:val="auto"/>
                      <w:lang w:val="en-US" w:eastAsia="zh-CN"/>
                    </w:rPr>
                  </w:pPr>
                  <w:r>
                    <w:rPr>
                      <w:rFonts w:hint="eastAsia"/>
                      <w:color w:val="auto"/>
                      <w:lang w:val="en-US" w:eastAsia="zh-CN"/>
                    </w:rPr>
                    <w:t>井深</w:t>
                  </w:r>
                </w:p>
                <w:p w14:paraId="2053CE90">
                  <w:pPr>
                    <w:pStyle w:val="15"/>
                    <w:bidi w:val="0"/>
                    <w:rPr>
                      <w:rFonts w:hint="eastAsia"/>
                      <w:color w:val="auto"/>
                      <w:lang w:val="en-US" w:eastAsia="zh-CN"/>
                    </w:rPr>
                  </w:pPr>
                  <w:r>
                    <w:rPr>
                      <w:rFonts w:hint="eastAsia"/>
                      <w:color w:val="auto"/>
                      <w:lang w:val="en-US" w:eastAsia="zh-CN"/>
                    </w:rPr>
                    <w:t>(m)</w:t>
                  </w:r>
                </w:p>
              </w:tc>
              <w:tc>
                <w:tcPr>
                  <w:tcW w:w="311" w:type="pct"/>
                  <w:vMerge w:val="restart"/>
                  <w:tcBorders>
                    <w:tl2br w:val="nil"/>
                    <w:tr2bl w:val="nil"/>
                  </w:tcBorders>
                  <w:noWrap w:val="0"/>
                  <w:tcMar>
                    <w:top w:w="0" w:type="dxa"/>
                    <w:left w:w="0" w:type="dxa"/>
                    <w:bottom w:w="0" w:type="dxa"/>
                    <w:right w:w="0" w:type="dxa"/>
                  </w:tcMar>
                  <w:vAlign w:val="center"/>
                </w:tcPr>
                <w:p w14:paraId="29CE8513">
                  <w:pPr>
                    <w:pStyle w:val="15"/>
                    <w:bidi w:val="0"/>
                    <w:rPr>
                      <w:rFonts w:hint="eastAsia"/>
                      <w:color w:val="auto"/>
                      <w:lang w:val="en-US" w:eastAsia="zh-CN"/>
                    </w:rPr>
                  </w:pPr>
                  <w:r>
                    <w:rPr>
                      <w:rFonts w:hint="eastAsia"/>
                      <w:color w:val="auto"/>
                      <w:lang w:val="en-US" w:eastAsia="zh-CN"/>
                    </w:rPr>
                    <w:t>水位</w:t>
                  </w:r>
                </w:p>
                <w:p w14:paraId="030F016F">
                  <w:pPr>
                    <w:pStyle w:val="15"/>
                    <w:bidi w:val="0"/>
                    <w:rPr>
                      <w:rFonts w:hint="eastAsia"/>
                      <w:color w:val="auto"/>
                      <w:lang w:val="en-US" w:eastAsia="zh-CN"/>
                    </w:rPr>
                  </w:pPr>
                  <w:r>
                    <w:rPr>
                      <w:rFonts w:hint="eastAsia"/>
                      <w:color w:val="auto"/>
                      <w:lang w:val="en-US" w:eastAsia="zh-CN"/>
                    </w:rPr>
                    <w:t>(m)</w:t>
                  </w:r>
                </w:p>
              </w:tc>
              <w:tc>
                <w:tcPr>
                  <w:tcW w:w="317" w:type="pct"/>
                  <w:vMerge w:val="restart"/>
                  <w:tcBorders>
                    <w:tl2br w:val="nil"/>
                    <w:tr2bl w:val="nil"/>
                  </w:tcBorders>
                  <w:noWrap w:val="0"/>
                  <w:tcMar>
                    <w:top w:w="0" w:type="dxa"/>
                    <w:left w:w="0" w:type="dxa"/>
                    <w:bottom w:w="0" w:type="dxa"/>
                    <w:right w:w="0" w:type="dxa"/>
                  </w:tcMar>
                  <w:vAlign w:val="center"/>
                </w:tcPr>
                <w:p w14:paraId="233F362F">
                  <w:pPr>
                    <w:pStyle w:val="15"/>
                    <w:bidi w:val="0"/>
                    <w:rPr>
                      <w:rFonts w:hint="eastAsia"/>
                      <w:color w:val="auto"/>
                      <w:lang w:val="en-US" w:eastAsia="zh-CN"/>
                    </w:rPr>
                  </w:pPr>
                  <w:r>
                    <w:rPr>
                      <w:rFonts w:hint="eastAsia"/>
                      <w:color w:val="auto"/>
                      <w:lang w:val="en-US" w:eastAsia="zh-CN"/>
                    </w:rPr>
                    <w:t>取水</w:t>
                  </w:r>
                </w:p>
                <w:p w14:paraId="7CD2BAA6">
                  <w:pPr>
                    <w:pStyle w:val="15"/>
                    <w:bidi w:val="0"/>
                    <w:rPr>
                      <w:rFonts w:hint="eastAsia"/>
                      <w:color w:val="auto"/>
                      <w:lang w:val="en-US" w:eastAsia="zh-CN"/>
                    </w:rPr>
                  </w:pPr>
                  <w:r>
                    <w:rPr>
                      <w:rFonts w:hint="eastAsia"/>
                      <w:color w:val="auto"/>
                      <w:lang w:val="en-US" w:eastAsia="zh-CN"/>
                    </w:rPr>
                    <w:t>深度</w:t>
                  </w:r>
                </w:p>
                <w:p w14:paraId="725AD316">
                  <w:pPr>
                    <w:pStyle w:val="15"/>
                    <w:bidi w:val="0"/>
                    <w:rPr>
                      <w:rFonts w:hint="eastAsia"/>
                      <w:color w:val="auto"/>
                      <w:lang w:val="en-US" w:eastAsia="zh-CN"/>
                    </w:rPr>
                  </w:pPr>
                  <w:r>
                    <w:rPr>
                      <w:rFonts w:hint="eastAsia"/>
                      <w:color w:val="auto"/>
                      <w:lang w:val="en-US" w:eastAsia="zh-CN"/>
                    </w:rPr>
                    <w:t>(m)</w:t>
                  </w:r>
                </w:p>
              </w:tc>
            </w:tr>
            <w:tr w14:paraId="68867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80" w:type="pct"/>
                  <w:vMerge w:val="continue"/>
                  <w:tcBorders>
                    <w:tl2br w:val="nil"/>
                    <w:tr2bl w:val="nil"/>
                  </w:tcBorders>
                  <w:noWrap w:val="0"/>
                  <w:tcMar>
                    <w:top w:w="0" w:type="dxa"/>
                    <w:left w:w="0" w:type="dxa"/>
                    <w:bottom w:w="0" w:type="dxa"/>
                    <w:right w:w="0" w:type="dxa"/>
                  </w:tcMar>
                  <w:vAlign w:val="center"/>
                </w:tcPr>
                <w:p w14:paraId="6ACDBF1E">
                  <w:pPr>
                    <w:pStyle w:val="15"/>
                    <w:bidi w:val="0"/>
                    <w:rPr>
                      <w:color w:val="auto"/>
                    </w:rPr>
                  </w:pPr>
                </w:p>
              </w:tc>
              <w:tc>
                <w:tcPr>
                  <w:tcW w:w="909" w:type="pct"/>
                  <w:vMerge w:val="continue"/>
                  <w:tcBorders>
                    <w:tl2br w:val="nil"/>
                    <w:tr2bl w:val="nil"/>
                  </w:tcBorders>
                  <w:noWrap w:val="0"/>
                  <w:tcMar>
                    <w:top w:w="0" w:type="dxa"/>
                    <w:left w:w="0" w:type="dxa"/>
                    <w:bottom w:w="0" w:type="dxa"/>
                    <w:right w:w="0" w:type="dxa"/>
                  </w:tcMar>
                  <w:vAlign w:val="center"/>
                </w:tcPr>
                <w:p w14:paraId="0FC248F1">
                  <w:pPr>
                    <w:pStyle w:val="15"/>
                    <w:bidi w:val="0"/>
                    <w:rPr>
                      <w:color w:val="auto"/>
                    </w:rPr>
                  </w:pPr>
                </w:p>
              </w:tc>
              <w:tc>
                <w:tcPr>
                  <w:tcW w:w="708" w:type="pct"/>
                  <w:tcBorders>
                    <w:tl2br w:val="nil"/>
                    <w:tr2bl w:val="nil"/>
                  </w:tcBorders>
                  <w:noWrap w:val="0"/>
                  <w:tcMar>
                    <w:top w:w="0" w:type="dxa"/>
                    <w:left w:w="0" w:type="dxa"/>
                    <w:bottom w:w="0" w:type="dxa"/>
                    <w:right w:w="0" w:type="dxa"/>
                  </w:tcMar>
                  <w:vAlign w:val="center"/>
                </w:tcPr>
                <w:p w14:paraId="6A802C44">
                  <w:pPr>
                    <w:pStyle w:val="15"/>
                    <w:bidi w:val="0"/>
                    <w:rPr>
                      <w:rFonts w:hint="eastAsia"/>
                      <w:color w:val="auto"/>
                      <w:lang w:val="en-US" w:eastAsia="zh-CN"/>
                    </w:rPr>
                  </w:pPr>
                  <w:r>
                    <w:rPr>
                      <w:rFonts w:hint="eastAsia"/>
                      <w:color w:val="auto"/>
                      <w:lang w:val="en-US" w:eastAsia="zh-CN"/>
                    </w:rPr>
                    <w:t>经度</w:t>
                  </w:r>
                </w:p>
              </w:tc>
              <w:tc>
                <w:tcPr>
                  <w:tcW w:w="708" w:type="pct"/>
                  <w:tcBorders>
                    <w:tl2br w:val="nil"/>
                    <w:tr2bl w:val="nil"/>
                  </w:tcBorders>
                  <w:noWrap w:val="0"/>
                  <w:tcMar>
                    <w:top w:w="0" w:type="dxa"/>
                    <w:left w:w="0" w:type="dxa"/>
                    <w:bottom w:w="0" w:type="dxa"/>
                    <w:right w:w="0" w:type="dxa"/>
                  </w:tcMar>
                  <w:vAlign w:val="center"/>
                </w:tcPr>
                <w:p w14:paraId="20D7B5DC">
                  <w:pPr>
                    <w:pStyle w:val="15"/>
                    <w:bidi w:val="0"/>
                    <w:rPr>
                      <w:rFonts w:hint="default"/>
                      <w:color w:val="auto"/>
                      <w:lang w:val="en-US" w:eastAsia="zh-CN"/>
                    </w:rPr>
                  </w:pPr>
                  <w:r>
                    <w:rPr>
                      <w:rFonts w:hint="eastAsia"/>
                      <w:color w:val="auto"/>
                      <w:lang w:val="en-US" w:eastAsia="zh-CN"/>
                    </w:rPr>
                    <w:t>纬度</w:t>
                  </w:r>
                </w:p>
              </w:tc>
              <w:tc>
                <w:tcPr>
                  <w:tcW w:w="407" w:type="pct"/>
                  <w:vMerge w:val="continue"/>
                  <w:tcBorders>
                    <w:tl2br w:val="nil"/>
                    <w:tr2bl w:val="nil"/>
                  </w:tcBorders>
                  <w:noWrap w:val="0"/>
                  <w:tcMar>
                    <w:top w:w="0" w:type="dxa"/>
                    <w:left w:w="0" w:type="dxa"/>
                    <w:bottom w:w="0" w:type="dxa"/>
                    <w:right w:w="0" w:type="dxa"/>
                  </w:tcMar>
                  <w:vAlign w:val="center"/>
                </w:tcPr>
                <w:p w14:paraId="04796CCC">
                  <w:pPr>
                    <w:pStyle w:val="15"/>
                    <w:bidi w:val="0"/>
                    <w:rPr>
                      <w:rFonts w:hint="default"/>
                      <w:color w:val="auto"/>
                    </w:rPr>
                  </w:pPr>
                </w:p>
              </w:tc>
              <w:tc>
                <w:tcPr>
                  <w:tcW w:w="407" w:type="pct"/>
                  <w:vMerge w:val="continue"/>
                  <w:tcBorders>
                    <w:tl2br w:val="nil"/>
                    <w:tr2bl w:val="nil"/>
                  </w:tcBorders>
                  <w:noWrap w:val="0"/>
                  <w:tcMar>
                    <w:top w:w="0" w:type="dxa"/>
                    <w:left w:w="0" w:type="dxa"/>
                    <w:bottom w:w="0" w:type="dxa"/>
                    <w:right w:w="0" w:type="dxa"/>
                  </w:tcMar>
                  <w:vAlign w:val="center"/>
                </w:tcPr>
                <w:p w14:paraId="5E13A039">
                  <w:pPr>
                    <w:pStyle w:val="15"/>
                    <w:bidi w:val="0"/>
                    <w:rPr>
                      <w:rFonts w:hint="default"/>
                      <w:color w:val="auto"/>
                    </w:rPr>
                  </w:pPr>
                </w:p>
              </w:tc>
              <w:tc>
                <w:tcPr>
                  <w:tcW w:w="675" w:type="pct"/>
                  <w:vMerge w:val="continue"/>
                  <w:tcBorders>
                    <w:tl2br w:val="nil"/>
                    <w:tr2bl w:val="nil"/>
                  </w:tcBorders>
                  <w:noWrap w:val="0"/>
                  <w:tcMar>
                    <w:top w:w="0" w:type="dxa"/>
                    <w:left w:w="0" w:type="dxa"/>
                    <w:bottom w:w="0" w:type="dxa"/>
                    <w:right w:w="0" w:type="dxa"/>
                  </w:tcMar>
                  <w:vAlign w:val="center"/>
                </w:tcPr>
                <w:p w14:paraId="03190C81">
                  <w:pPr>
                    <w:pStyle w:val="15"/>
                    <w:bidi w:val="0"/>
                    <w:rPr>
                      <w:rFonts w:hint="default"/>
                      <w:color w:val="auto"/>
                    </w:rPr>
                  </w:pPr>
                </w:p>
              </w:tc>
              <w:tc>
                <w:tcPr>
                  <w:tcW w:w="273" w:type="pct"/>
                  <w:vMerge w:val="continue"/>
                  <w:tcBorders>
                    <w:tl2br w:val="nil"/>
                    <w:tr2bl w:val="nil"/>
                  </w:tcBorders>
                  <w:noWrap w:val="0"/>
                  <w:tcMar>
                    <w:top w:w="0" w:type="dxa"/>
                    <w:left w:w="0" w:type="dxa"/>
                    <w:bottom w:w="0" w:type="dxa"/>
                    <w:right w:w="0" w:type="dxa"/>
                  </w:tcMar>
                  <w:vAlign w:val="center"/>
                </w:tcPr>
                <w:p w14:paraId="3E99AB8A">
                  <w:pPr>
                    <w:pStyle w:val="15"/>
                    <w:bidi w:val="0"/>
                    <w:rPr>
                      <w:rFonts w:hint="default"/>
                      <w:color w:val="auto"/>
                    </w:rPr>
                  </w:pPr>
                </w:p>
              </w:tc>
              <w:tc>
                <w:tcPr>
                  <w:tcW w:w="311" w:type="pct"/>
                  <w:vMerge w:val="continue"/>
                  <w:tcBorders>
                    <w:tl2br w:val="nil"/>
                    <w:tr2bl w:val="nil"/>
                  </w:tcBorders>
                  <w:noWrap w:val="0"/>
                  <w:tcMar>
                    <w:top w:w="0" w:type="dxa"/>
                    <w:left w:w="0" w:type="dxa"/>
                    <w:bottom w:w="0" w:type="dxa"/>
                    <w:right w:w="0" w:type="dxa"/>
                  </w:tcMar>
                  <w:vAlign w:val="center"/>
                </w:tcPr>
                <w:p w14:paraId="5045A85B">
                  <w:pPr>
                    <w:pStyle w:val="15"/>
                    <w:bidi w:val="0"/>
                    <w:rPr>
                      <w:rFonts w:hint="default"/>
                      <w:color w:val="auto"/>
                    </w:rPr>
                  </w:pPr>
                </w:p>
              </w:tc>
              <w:tc>
                <w:tcPr>
                  <w:tcW w:w="317" w:type="pct"/>
                  <w:vMerge w:val="continue"/>
                  <w:tcBorders>
                    <w:tl2br w:val="nil"/>
                    <w:tr2bl w:val="nil"/>
                  </w:tcBorders>
                  <w:noWrap w:val="0"/>
                  <w:tcMar>
                    <w:top w:w="0" w:type="dxa"/>
                    <w:left w:w="0" w:type="dxa"/>
                    <w:bottom w:w="0" w:type="dxa"/>
                    <w:right w:w="0" w:type="dxa"/>
                  </w:tcMar>
                  <w:vAlign w:val="center"/>
                </w:tcPr>
                <w:p w14:paraId="351B92DE">
                  <w:pPr>
                    <w:pStyle w:val="15"/>
                    <w:bidi w:val="0"/>
                    <w:rPr>
                      <w:rFonts w:hint="default"/>
                      <w:color w:val="auto"/>
                    </w:rPr>
                  </w:pPr>
                </w:p>
              </w:tc>
            </w:tr>
            <w:tr w14:paraId="5A35C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3D6C3D88">
                  <w:pPr>
                    <w:pStyle w:val="15"/>
                    <w:bidi w:val="0"/>
                    <w:rPr>
                      <w:rFonts w:hint="default"/>
                      <w:color w:val="auto"/>
                      <w:lang w:val="en-US" w:eastAsia="zh-CN"/>
                    </w:rPr>
                  </w:pPr>
                  <w:r>
                    <w:rPr>
                      <w:rFonts w:hint="default"/>
                      <w:color w:val="auto"/>
                      <w:lang w:val="en-US" w:eastAsia="zh-CN"/>
                    </w:rPr>
                    <w:t>1</w:t>
                  </w:r>
                </w:p>
              </w:tc>
              <w:tc>
                <w:tcPr>
                  <w:tcW w:w="909" w:type="pct"/>
                  <w:tcBorders>
                    <w:tl2br w:val="nil"/>
                    <w:tr2bl w:val="nil"/>
                  </w:tcBorders>
                  <w:noWrap w:val="0"/>
                  <w:tcMar>
                    <w:top w:w="0" w:type="dxa"/>
                    <w:left w:w="0" w:type="dxa"/>
                    <w:bottom w:w="0" w:type="dxa"/>
                    <w:right w:w="0" w:type="dxa"/>
                  </w:tcMar>
                  <w:vAlign w:val="center"/>
                </w:tcPr>
                <w:p w14:paraId="6F8F6987">
                  <w:pPr>
                    <w:pStyle w:val="15"/>
                    <w:bidi w:val="0"/>
                    <w:rPr>
                      <w:rFonts w:hint="default"/>
                      <w:color w:val="auto"/>
                      <w:lang w:val="en-US" w:eastAsia="zh-CN"/>
                    </w:rPr>
                  </w:pPr>
                  <w:r>
                    <w:rPr>
                      <w:rFonts w:hint="default"/>
                      <w:color w:val="auto"/>
                      <w:lang w:val="en-US" w:eastAsia="zh-CN"/>
                    </w:rPr>
                    <w:t>厂区上游</w:t>
                  </w:r>
                </w:p>
                <w:p w14:paraId="11A8D3B3">
                  <w:pPr>
                    <w:pStyle w:val="15"/>
                    <w:bidi w:val="0"/>
                    <w:rPr>
                      <w:rFonts w:hint="default"/>
                      <w:color w:val="auto"/>
                      <w:lang w:val="en-US" w:eastAsia="zh-CN"/>
                    </w:rPr>
                  </w:pPr>
                  <w:r>
                    <w:rPr>
                      <w:rFonts w:hint="default"/>
                      <w:color w:val="auto"/>
                      <w:lang w:val="en-US" w:eastAsia="zh-CN"/>
                    </w:rPr>
                    <w:t>地下水监测点1</w:t>
                  </w:r>
                </w:p>
              </w:tc>
              <w:tc>
                <w:tcPr>
                  <w:tcW w:w="708" w:type="pct"/>
                  <w:tcBorders>
                    <w:tl2br w:val="nil"/>
                    <w:tr2bl w:val="nil"/>
                  </w:tcBorders>
                  <w:noWrap w:val="0"/>
                  <w:tcMar>
                    <w:top w:w="0" w:type="dxa"/>
                    <w:left w:w="0" w:type="dxa"/>
                    <w:bottom w:w="0" w:type="dxa"/>
                    <w:right w:w="0" w:type="dxa"/>
                  </w:tcMar>
                  <w:vAlign w:val="center"/>
                </w:tcPr>
                <w:p w14:paraId="6F831E39">
                  <w:pPr>
                    <w:pStyle w:val="15"/>
                    <w:bidi w:val="0"/>
                    <w:rPr>
                      <w:rFonts w:hint="default"/>
                      <w:color w:val="auto"/>
                    </w:rPr>
                  </w:pPr>
                  <w:r>
                    <w:rPr>
                      <w:rFonts w:hint="default"/>
                      <w:color w:val="auto"/>
                    </w:rPr>
                    <w:t>84°52'50.72"</w:t>
                  </w:r>
                </w:p>
              </w:tc>
              <w:tc>
                <w:tcPr>
                  <w:tcW w:w="708" w:type="pct"/>
                  <w:tcBorders>
                    <w:tl2br w:val="nil"/>
                    <w:tr2bl w:val="nil"/>
                  </w:tcBorders>
                  <w:noWrap w:val="0"/>
                  <w:tcMar>
                    <w:top w:w="0" w:type="dxa"/>
                    <w:left w:w="0" w:type="dxa"/>
                    <w:bottom w:w="0" w:type="dxa"/>
                    <w:right w:w="0" w:type="dxa"/>
                  </w:tcMar>
                  <w:vAlign w:val="center"/>
                </w:tcPr>
                <w:p w14:paraId="6E058BB1">
                  <w:pPr>
                    <w:pStyle w:val="15"/>
                    <w:bidi w:val="0"/>
                    <w:rPr>
                      <w:rFonts w:hint="default"/>
                      <w:color w:val="auto"/>
                    </w:rPr>
                  </w:pPr>
                  <w:r>
                    <w:rPr>
                      <w:rFonts w:hint="default"/>
                      <w:color w:val="auto"/>
                    </w:rPr>
                    <w:t>44°50'27.26"</w:t>
                  </w:r>
                </w:p>
              </w:tc>
              <w:tc>
                <w:tcPr>
                  <w:tcW w:w="407" w:type="pct"/>
                  <w:tcBorders>
                    <w:tl2br w:val="nil"/>
                    <w:tr2bl w:val="nil"/>
                  </w:tcBorders>
                  <w:noWrap w:val="0"/>
                  <w:tcMar>
                    <w:top w:w="0" w:type="dxa"/>
                    <w:left w:w="0" w:type="dxa"/>
                    <w:bottom w:w="0" w:type="dxa"/>
                    <w:right w:w="0" w:type="dxa"/>
                  </w:tcMar>
                  <w:vAlign w:val="center"/>
                </w:tcPr>
                <w:p w14:paraId="6252C7F8">
                  <w:pPr>
                    <w:pStyle w:val="15"/>
                    <w:bidi w:val="0"/>
                    <w:rPr>
                      <w:rFonts w:hint="default"/>
                      <w:color w:val="auto"/>
                      <w:lang w:val="en-US" w:eastAsia="zh-CN"/>
                    </w:rPr>
                  </w:pPr>
                  <w:r>
                    <w:rPr>
                      <w:rFonts w:hint="eastAsia"/>
                      <w:color w:val="auto"/>
                      <w:lang w:val="en-US" w:eastAsia="zh-CN"/>
                    </w:rPr>
                    <w:t>上游</w:t>
                  </w:r>
                </w:p>
              </w:tc>
              <w:tc>
                <w:tcPr>
                  <w:tcW w:w="407" w:type="pct"/>
                  <w:tcBorders>
                    <w:tl2br w:val="nil"/>
                    <w:tr2bl w:val="nil"/>
                  </w:tcBorders>
                  <w:noWrap w:val="0"/>
                  <w:tcMar>
                    <w:top w:w="0" w:type="dxa"/>
                    <w:left w:w="0" w:type="dxa"/>
                    <w:bottom w:w="0" w:type="dxa"/>
                    <w:right w:w="0" w:type="dxa"/>
                  </w:tcMar>
                  <w:vAlign w:val="center"/>
                </w:tcPr>
                <w:p w14:paraId="4BB9D1E9">
                  <w:pPr>
                    <w:pStyle w:val="15"/>
                    <w:bidi w:val="0"/>
                    <w:rPr>
                      <w:rFonts w:hint="default"/>
                      <w:color w:val="auto"/>
                      <w:lang w:val="en-US" w:eastAsia="zh-CN"/>
                    </w:rPr>
                  </w:pPr>
                  <w:r>
                    <w:rPr>
                      <w:rFonts w:hint="eastAsia"/>
                      <w:color w:val="auto"/>
                      <w:lang w:val="en-US" w:eastAsia="zh-CN"/>
                    </w:rPr>
                    <w:t>47</w:t>
                  </w:r>
                </w:p>
              </w:tc>
              <w:tc>
                <w:tcPr>
                  <w:tcW w:w="675" w:type="pct"/>
                  <w:tcBorders>
                    <w:tl2br w:val="nil"/>
                    <w:tr2bl w:val="nil"/>
                  </w:tcBorders>
                  <w:noWrap w:val="0"/>
                  <w:tcMar>
                    <w:top w:w="0" w:type="dxa"/>
                    <w:left w:w="0" w:type="dxa"/>
                    <w:bottom w:w="0" w:type="dxa"/>
                    <w:right w:w="0" w:type="dxa"/>
                  </w:tcMar>
                  <w:vAlign w:val="center"/>
                </w:tcPr>
                <w:p w14:paraId="2B206C83">
                  <w:pPr>
                    <w:pStyle w:val="15"/>
                    <w:bidi w:val="0"/>
                    <w:rPr>
                      <w:rFonts w:hint="eastAsia"/>
                      <w:color w:val="auto"/>
                      <w:lang w:val="en-US" w:eastAsia="zh-CN"/>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396DC4A6">
                  <w:pPr>
                    <w:pStyle w:val="15"/>
                    <w:bidi w:val="0"/>
                    <w:rPr>
                      <w:rFonts w:hint="default"/>
                      <w:color w:val="auto"/>
                      <w:lang w:val="en-US" w:eastAsia="zh-CN"/>
                    </w:rPr>
                  </w:pPr>
                  <w:r>
                    <w:rPr>
                      <w:rFonts w:hint="eastAsia"/>
                      <w:color w:val="auto"/>
                      <w:lang w:val="en-US" w:eastAsia="zh-CN"/>
                    </w:rPr>
                    <w:t>12</w:t>
                  </w:r>
                </w:p>
              </w:tc>
              <w:tc>
                <w:tcPr>
                  <w:tcW w:w="311" w:type="pct"/>
                  <w:tcBorders>
                    <w:tl2br w:val="nil"/>
                    <w:tr2bl w:val="nil"/>
                  </w:tcBorders>
                  <w:noWrap w:val="0"/>
                  <w:tcMar>
                    <w:top w:w="0" w:type="dxa"/>
                    <w:left w:w="0" w:type="dxa"/>
                    <w:bottom w:w="0" w:type="dxa"/>
                    <w:right w:w="0" w:type="dxa"/>
                  </w:tcMar>
                  <w:vAlign w:val="center"/>
                </w:tcPr>
                <w:p w14:paraId="1CE89A6A">
                  <w:pPr>
                    <w:pStyle w:val="15"/>
                    <w:bidi w:val="0"/>
                    <w:rPr>
                      <w:rFonts w:hint="default"/>
                      <w:color w:val="auto"/>
                      <w:lang w:val="en-US" w:eastAsia="zh-CN"/>
                    </w:rPr>
                  </w:pPr>
                  <w:r>
                    <w:rPr>
                      <w:rFonts w:hint="eastAsia"/>
                      <w:color w:val="auto"/>
                      <w:lang w:val="en-US" w:eastAsia="zh-CN"/>
                    </w:rPr>
                    <w:t>4</w:t>
                  </w:r>
                </w:p>
              </w:tc>
              <w:tc>
                <w:tcPr>
                  <w:tcW w:w="317" w:type="pct"/>
                  <w:tcBorders>
                    <w:tl2br w:val="nil"/>
                    <w:tr2bl w:val="nil"/>
                  </w:tcBorders>
                  <w:noWrap w:val="0"/>
                  <w:tcMar>
                    <w:top w:w="0" w:type="dxa"/>
                    <w:left w:w="0" w:type="dxa"/>
                    <w:bottom w:w="0" w:type="dxa"/>
                    <w:right w:w="0" w:type="dxa"/>
                  </w:tcMar>
                  <w:vAlign w:val="center"/>
                </w:tcPr>
                <w:p w14:paraId="02B76FA7">
                  <w:pPr>
                    <w:pStyle w:val="15"/>
                    <w:bidi w:val="0"/>
                    <w:rPr>
                      <w:rFonts w:hint="default"/>
                      <w:color w:val="auto"/>
                      <w:lang w:val="en-US" w:eastAsia="zh-CN"/>
                    </w:rPr>
                  </w:pPr>
                  <w:r>
                    <w:rPr>
                      <w:rFonts w:hint="eastAsia"/>
                      <w:color w:val="auto"/>
                      <w:lang w:val="en-US" w:eastAsia="zh-CN"/>
                    </w:rPr>
                    <w:t>4.5</w:t>
                  </w:r>
                </w:p>
              </w:tc>
            </w:tr>
            <w:tr w14:paraId="63DFE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2FE1C52B">
                  <w:pPr>
                    <w:pStyle w:val="15"/>
                    <w:bidi w:val="0"/>
                    <w:rPr>
                      <w:rFonts w:hint="default"/>
                      <w:color w:val="auto"/>
                      <w:lang w:val="en-US" w:eastAsia="zh-CN"/>
                    </w:rPr>
                  </w:pPr>
                  <w:r>
                    <w:rPr>
                      <w:rFonts w:hint="default"/>
                      <w:color w:val="auto"/>
                      <w:lang w:val="en-US" w:eastAsia="zh-CN"/>
                    </w:rPr>
                    <w:t>2</w:t>
                  </w:r>
                </w:p>
              </w:tc>
              <w:tc>
                <w:tcPr>
                  <w:tcW w:w="909" w:type="pct"/>
                  <w:tcBorders>
                    <w:tl2br w:val="nil"/>
                    <w:tr2bl w:val="nil"/>
                  </w:tcBorders>
                  <w:noWrap w:val="0"/>
                  <w:tcMar>
                    <w:top w:w="0" w:type="dxa"/>
                    <w:left w:w="0" w:type="dxa"/>
                    <w:bottom w:w="0" w:type="dxa"/>
                    <w:right w:w="0" w:type="dxa"/>
                  </w:tcMar>
                  <w:vAlign w:val="center"/>
                </w:tcPr>
                <w:p w14:paraId="73E6EB2C">
                  <w:pPr>
                    <w:pStyle w:val="15"/>
                    <w:bidi w:val="0"/>
                    <w:rPr>
                      <w:rFonts w:hint="default"/>
                      <w:color w:val="auto"/>
                      <w:lang w:val="en-US" w:eastAsia="zh-CN"/>
                    </w:rPr>
                  </w:pPr>
                  <w:r>
                    <w:rPr>
                      <w:rFonts w:hint="default"/>
                      <w:color w:val="auto"/>
                      <w:lang w:val="en-US" w:eastAsia="zh-CN"/>
                    </w:rPr>
                    <w:t>厂区侧向</w:t>
                  </w:r>
                </w:p>
                <w:p w14:paraId="1CC70A33">
                  <w:pPr>
                    <w:pStyle w:val="15"/>
                    <w:bidi w:val="0"/>
                    <w:rPr>
                      <w:rFonts w:hint="default"/>
                      <w:color w:val="auto"/>
                    </w:rPr>
                  </w:pPr>
                  <w:r>
                    <w:rPr>
                      <w:rFonts w:hint="default"/>
                      <w:color w:val="auto"/>
                      <w:lang w:val="en-US" w:eastAsia="zh-CN"/>
                    </w:rPr>
                    <w:t>地下水监测点2</w:t>
                  </w:r>
                </w:p>
              </w:tc>
              <w:tc>
                <w:tcPr>
                  <w:tcW w:w="708" w:type="pct"/>
                  <w:tcBorders>
                    <w:tl2br w:val="nil"/>
                    <w:tr2bl w:val="nil"/>
                  </w:tcBorders>
                  <w:noWrap w:val="0"/>
                  <w:tcMar>
                    <w:top w:w="0" w:type="dxa"/>
                    <w:left w:w="0" w:type="dxa"/>
                    <w:bottom w:w="0" w:type="dxa"/>
                    <w:right w:w="0" w:type="dxa"/>
                  </w:tcMar>
                  <w:vAlign w:val="center"/>
                </w:tcPr>
                <w:p w14:paraId="29D600EF">
                  <w:pPr>
                    <w:pStyle w:val="15"/>
                    <w:bidi w:val="0"/>
                    <w:rPr>
                      <w:rFonts w:hint="default"/>
                      <w:color w:val="auto"/>
                    </w:rPr>
                  </w:pPr>
                  <w:r>
                    <w:rPr>
                      <w:rFonts w:hint="default"/>
                      <w:color w:val="auto"/>
                    </w:rPr>
                    <w:t>84°53'17.43"</w:t>
                  </w:r>
                </w:p>
              </w:tc>
              <w:tc>
                <w:tcPr>
                  <w:tcW w:w="708" w:type="pct"/>
                  <w:tcBorders>
                    <w:tl2br w:val="nil"/>
                    <w:tr2bl w:val="nil"/>
                  </w:tcBorders>
                  <w:noWrap w:val="0"/>
                  <w:tcMar>
                    <w:top w:w="0" w:type="dxa"/>
                    <w:left w:w="0" w:type="dxa"/>
                    <w:bottom w:w="0" w:type="dxa"/>
                    <w:right w:w="0" w:type="dxa"/>
                  </w:tcMar>
                  <w:vAlign w:val="center"/>
                </w:tcPr>
                <w:p w14:paraId="0DD248C0">
                  <w:pPr>
                    <w:pStyle w:val="15"/>
                    <w:bidi w:val="0"/>
                    <w:rPr>
                      <w:rFonts w:hint="default"/>
                      <w:color w:val="auto"/>
                    </w:rPr>
                  </w:pPr>
                  <w:r>
                    <w:rPr>
                      <w:rFonts w:hint="default"/>
                      <w:color w:val="auto"/>
                    </w:rPr>
                    <w:t>44°51'17.79"</w:t>
                  </w:r>
                </w:p>
              </w:tc>
              <w:tc>
                <w:tcPr>
                  <w:tcW w:w="407" w:type="pct"/>
                  <w:tcBorders>
                    <w:tl2br w:val="nil"/>
                    <w:tr2bl w:val="nil"/>
                  </w:tcBorders>
                  <w:noWrap w:val="0"/>
                  <w:tcMar>
                    <w:top w:w="0" w:type="dxa"/>
                    <w:left w:w="0" w:type="dxa"/>
                    <w:bottom w:w="0" w:type="dxa"/>
                    <w:right w:w="0" w:type="dxa"/>
                  </w:tcMar>
                  <w:vAlign w:val="center"/>
                </w:tcPr>
                <w:p w14:paraId="38F07408">
                  <w:pPr>
                    <w:pStyle w:val="15"/>
                    <w:bidi w:val="0"/>
                    <w:rPr>
                      <w:rFonts w:hint="eastAsia"/>
                      <w:color w:val="auto"/>
                      <w:lang w:val="en-US" w:eastAsia="zh-CN"/>
                    </w:rPr>
                  </w:pPr>
                  <w:r>
                    <w:rPr>
                      <w:rFonts w:hint="eastAsia"/>
                      <w:color w:val="auto"/>
                      <w:lang w:val="en-US" w:eastAsia="zh-CN"/>
                    </w:rPr>
                    <w:t>东侧</w:t>
                  </w:r>
                </w:p>
              </w:tc>
              <w:tc>
                <w:tcPr>
                  <w:tcW w:w="407" w:type="pct"/>
                  <w:tcBorders>
                    <w:tl2br w:val="nil"/>
                    <w:tr2bl w:val="nil"/>
                  </w:tcBorders>
                  <w:noWrap w:val="0"/>
                  <w:tcMar>
                    <w:top w:w="0" w:type="dxa"/>
                    <w:left w:w="0" w:type="dxa"/>
                    <w:bottom w:w="0" w:type="dxa"/>
                    <w:right w:w="0" w:type="dxa"/>
                  </w:tcMar>
                  <w:vAlign w:val="center"/>
                </w:tcPr>
                <w:p w14:paraId="1DB5A9F7">
                  <w:pPr>
                    <w:pStyle w:val="15"/>
                    <w:bidi w:val="0"/>
                    <w:rPr>
                      <w:rFonts w:hint="default"/>
                      <w:color w:val="auto"/>
                      <w:lang w:val="en-US" w:eastAsia="zh-CN"/>
                    </w:rPr>
                  </w:pPr>
                  <w:r>
                    <w:rPr>
                      <w:rFonts w:hint="eastAsia"/>
                      <w:color w:val="auto"/>
                      <w:lang w:val="en-US" w:eastAsia="zh-CN"/>
                    </w:rPr>
                    <w:t>1042</w:t>
                  </w:r>
                </w:p>
              </w:tc>
              <w:tc>
                <w:tcPr>
                  <w:tcW w:w="675" w:type="pct"/>
                  <w:tcBorders>
                    <w:tl2br w:val="nil"/>
                    <w:tr2bl w:val="nil"/>
                  </w:tcBorders>
                  <w:noWrap w:val="0"/>
                  <w:tcMar>
                    <w:top w:w="0" w:type="dxa"/>
                    <w:left w:w="0" w:type="dxa"/>
                    <w:bottom w:w="0" w:type="dxa"/>
                    <w:right w:w="0" w:type="dxa"/>
                  </w:tcMar>
                  <w:vAlign w:val="center"/>
                </w:tcPr>
                <w:p w14:paraId="5C9A5B26">
                  <w:pPr>
                    <w:pStyle w:val="15"/>
                    <w:bidi w:val="0"/>
                    <w:rPr>
                      <w:rFonts w:hint="default"/>
                      <w:color w:val="auto"/>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6E92B37C">
                  <w:pPr>
                    <w:pStyle w:val="15"/>
                    <w:bidi w:val="0"/>
                    <w:rPr>
                      <w:rFonts w:hint="default"/>
                      <w:color w:val="auto"/>
                      <w:lang w:val="en-US" w:eastAsia="zh-CN"/>
                    </w:rPr>
                  </w:pPr>
                  <w:r>
                    <w:rPr>
                      <w:rFonts w:hint="eastAsia"/>
                      <w:color w:val="auto"/>
                      <w:lang w:val="en-US" w:eastAsia="zh-CN"/>
                    </w:rPr>
                    <w:t>40</w:t>
                  </w:r>
                </w:p>
              </w:tc>
              <w:tc>
                <w:tcPr>
                  <w:tcW w:w="311" w:type="pct"/>
                  <w:tcBorders>
                    <w:tl2br w:val="nil"/>
                    <w:tr2bl w:val="nil"/>
                  </w:tcBorders>
                  <w:noWrap w:val="0"/>
                  <w:tcMar>
                    <w:top w:w="0" w:type="dxa"/>
                    <w:left w:w="0" w:type="dxa"/>
                    <w:bottom w:w="0" w:type="dxa"/>
                    <w:right w:w="0" w:type="dxa"/>
                  </w:tcMar>
                  <w:vAlign w:val="center"/>
                </w:tcPr>
                <w:p w14:paraId="1C2A2527">
                  <w:pPr>
                    <w:pStyle w:val="15"/>
                    <w:bidi w:val="0"/>
                    <w:rPr>
                      <w:rFonts w:hint="default"/>
                      <w:color w:val="auto"/>
                      <w:lang w:val="en-US" w:eastAsia="zh-CN"/>
                    </w:rPr>
                  </w:pPr>
                  <w:r>
                    <w:rPr>
                      <w:rFonts w:hint="eastAsia"/>
                      <w:color w:val="auto"/>
                      <w:lang w:val="en-US" w:eastAsia="zh-CN"/>
                    </w:rPr>
                    <w:t>6</w:t>
                  </w:r>
                </w:p>
              </w:tc>
              <w:tc>
                <w:tcPr>
                  <w:tcW w:w="317" w:type="pct"/>
                  <w:tcBorders>
                    <w:tl2br w:val="nil"/>
                    <w:tr2bl w:val="nil"/>
                  </w:tcBorders>
                  <w:noWrap w:val="0"/>
                  <w:tcMar>
                    <w:top w:w="0" w:type="dxa"/>
                    <w:left w:w="0" w:type="dxa"/>
                    <w:bottom w:w="0" w:type="dxa"/>
                    <w:right w:w="0" w:type="dxa"/>
                  </w:tcMar>
                  <w:vAlign w:val="center"/>
                </w:tcPr>
                <w:p w14:paraId="775D8289">
                  <w:pPr>
                    <w:pStyle w:val="15"/>
                    <w:bidi w:val="0"/>
                    <w:rPr>
                      <w:rFonts w:hint="default"/>
                      <w:color w:val="auto"/>
                      <w:lang w:val="en-US" w:eastAsia="zh-CN"/>
                    </w:rPr>
                  </w:pPr>
                  <w:r>
                    <w:rPr>
                      <w:rFonts w:hint="eastAsia"/>
                      <w:color w:val="auto"/>
                      <w:lang w:val="en-US" w:eastAsia="zh-CN"/>
                    </w:rPr>
                    <w:t>6.5</w:t>
                  </w:r>
                </w:p>
              </w:tc>
            </w:tr>
            <w:tr w14:paraId="4FEE7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2D1F61B2">
                  <w:pPr>
                    <w:pStyle w:val="15"/>
                    <w:bidi w:val="0"/>
                    <w:rPr>
                      <w:rFonts w:hint="default"/>
                      <w:color w:val="auto"/>
                      <w:lang w:val="en-US" w:eastAsia="zh-CN"/>
                    </w:rPr>
                  </w:pPr>
                  <w:r>
                    <w:rPr>
                      <w:rFonts w:hint="default"/>
                      <w:color w:val="auto"/>
                      <w:lang w:val="en-US" w:eastAsia="zh-CN"/>
                    </w:rPr>
                    <w:t>3</w:t>
                  </w:r>
                </w:p>
              </w:tc>
              <w:tc>
                <w:tcPr>
                  <w:tcW w:w="909" w:type="pct"/>
                  <w:tcBorders>
                    <w:tl2br w:val="nil"/>
                    <w:tr2bl w:val="nil"/>
                  </w:tcBorders>
                  <w:noWrap w:val="0"/>
                  <w:tcMar>
                    <w:top w:w="0" w:type="dxa"/>
                    <w:left w:w="0" w:type="dxa"/>
                    <w:bottom w:w="0" w:type="dxa"/>
                    <w:right w:w="0" w:type="dxa"/>
                  </w:tcMar>
                  <w:vAlign w:val="center"/>
                </w:tcPr>
                <w:p w14:paraId="25096291">
                  <w:pPr>
                    <w:pStyle w:val="15"/>
                    <w:bidi w:val="0"/>
                    <w:rPr>
                      <w:rFonts w:hint="default"/>
                      <w:color w:val="auto"/>
                      <w:lang w:val="en-US" w:eastAsia="zh-CN"/>
                    </w:rPr>
                  </w:pPr>
                  <w:r>
                    <w:rPr>
                      <w:rFonts w:hint="default"/>
                      <w:color w:val="auto"/>
                      <w:lang w:val="en-US" w:eastAsia="zh-CN"/>
                    </w:rPr>
                    <w:t>厂区侧向</w:t>
                  </w:r>
                </w:p>
                <w:p w14:paraId="7BBA4FEC">
                  <w:pPr>
                    <w:pStyle w:val="15"/>
                    <w:bidi w:val="0"/>
                    <w:rPr>
                      <w:rFonts w:hint="default"/>
                      <w:color w:val="auto"/>
                    </w:rPr>
                  </w:pPr>
                  <w:r>
                    <w:rPr>
                      <w:rFonts w:hint="default"/>
                      <w:color w:val="auto"/>
                      <w:lang w:val="en-US" w:eastAsia="zh-CN"/>
                    </w:rPr>
                    <w:t>地下水监测点3</w:t>
                  </w:r>
                </w:p>
              </w:tc>
              <w:tc>
                <w:tcPr>
                  <w:tcW w:w="708" w:type="pct"/>
                  <w:tcBorders>
                    <w:tl2br w:val="nil"/>
                    <w:tr2bl w:val="nil"/>
                  </w:tcBorders>
                  <w:noWrap w:val="0"/>
                  <w:tcMar>
                    <w:top w:w="0" w:type="dxa"/>
                    <w:left w:w="0" w:type="dxa"/>
                    <w:bottom w:w="0" w:type="dxa"/>
                    <w:right w:w="0" w:type="dxa"/>
                  </w:tcMar>
                  <w:vAlign w:val="center"/>
                </w:tcPr>
                <w:p w14:paraId="28B2C4DD">
                  <w:pPr>
                    <w:pStyle w:val="15"/>
                    <w:bidi w:val="0"/>
                    <w:rPr>
                      <w:rFonts w:hint="default"/>
                      <w:color w:val="auto"/>
                    </w:rPr>
                  </w:pPr>
                  <w:r>
                    <w:rPr>
                      <w:rFonts w:hint="default"/>
                      <w:color w:val="auto"/>
                    </w:rPr>
                    <w:t>84°52'20.88"</w:t>
                  </w:r>
                </w:p>
              </w:tc>
              <w:tc>
                <w:tcPr>
                  <w:tcW w:w="708" w:type="pct"/>
                  <w:tcBorders>
                    <w:tl2br w:val="nil"/>
                    <w:tr2bl w:val="nil"/>
                  </w:tcBorders>
                  <w:noWrap w:val="0"/>
                  <w:tcMar>
                    <w:top w:w="0" w:type="dxa"/>
                    <w:left w:w="0" w:type="dxa"/>
                    <w:bottom w:w="0" w:type="dxa"/>
                    <w:right w:w="0" w:type="dxa"/>
                  </w:tcMar>
                  <w:vAlign w:val="center"/>
                </w:tcPr>
                <w:p w14:paraId="5C77DF64">
                  <w:pPr>
                    <w:pStyle w:val="15"/>
                    <w:bidi w:val="0"/>
                    <w:rPr>
                      <w:rFonts w:hint="default"/>
                      <w:color w:val="auto"/>
                    </w:rPr>
                  </w:pPr>
                  <w:r>
                    <w:rPr>
                      <w:rFonts w:hint="default"/>
                      <w:color w:val="auto"/>
                    </w:rPr>
                    <w:t>44°51'17.97"</w:t>
                  </w:r>
                </w:p>
              </w:tc>
              <w:tc>
                <w:tcPr>
                  <w:tcW w:w="407" w:type="pct"/>
                  <w:tcBorders>
                    <w:tl2br w:val="nil"/>
                    <w:tr2bl w:val="nil"/>
                  </w:tcBorders>
                  <w:noWrap w:val="0"/>
                  <w:tcMar>
                    <w:top w:w="0" w:type="dxa"/>
                    <w:left w:w="0" w:type="dxa"/>
                    <w:bottom w:w="0" w:type="dxa"/>
                    <w:right w:w="0" w:type="dxa"/>
                  </w:tcMar>
                  <w:vAlign w:val="center"/>
                </w:tcPr>
                <w:p w14:paraId="495EE625">
                  <w:pPr>
                    <w:pStyle w:val="15"/>
                    <w:bidi w:val="0"/>
                    <w:rPr>
                      <w:rFonts w:hint="eastAsia"/>
                      <w:color w:val="auto"/>
                      <w:lang w:val="en-US" w:eastAsia="zh-CN"/>
                    </w:rPr>
                  </w:pPr>
                  <w:r>
                    <w:rPr>
                      <w:rFonts w:hint="eastAsia"/>
                      <w:color w:val="auto"/>
                      <w:lang w:val="en-US" w:eastAsia="zh-CN"/>
                    </w:rPr>
                    <w:t>西侧</w:t>
                  </w:r>
                </w:p>
              </w:tc>
              <w:tc>
                <w:tcPr>
                  <w:tcW w:w="407" w:type="pct"/>
                  <w:tcBorders>
                    <w:tl2br w:val="nil"/>
                    <w:tr2bl w:val="nil"/>
                  </w:tcBorders>
                  <w:noWrap w:val="0"/>
                  <w:tcMar>
                    <w:top w:w="0" w:type="dxa"/>
                    <w:left w:w="0" w:type="dxa"/>
                    <w:bottom w:w="0" w:type="dxa"/>
                    <w:right w:w="0" w:type="dxa"/>
                  </w:tcMar>
                  <w:vAlign w:val="center"/>
                </w:tcPr>
                <w:p w14:paraId="2BB7B77B">
                  <w:pPr>
                    <w:pStyle w:val="15"/>
                    <w:bidi w:val="0"/>
                    <w:rPr>
                      <w:rFonts w:hint="default"/>
                      <w:color w:val="auto"/>
                      <w:lang w:val="en-US" w:eastAsia="zh-CN"/>
                    </w:rPr>
                  </w:pPr>
                  <w:r>
                    <w:rPr>
                      <w:rFonts w:hint="eastAsia"/>
                      <w:color w:val="auto"/>
                      <w:lang w:val="en-US" w:eastAsia="zh-CN"/>
                    </w:rPr>
                    <w:t>975</w:t>
                  </w:r>
                </w:p>
              </w:tc>
              <w:tc>
                <w:tcPr>
                  <w:tcW w:w="675" w:type="pct"/>
                  <w:tcBorders>
                    <w:tl2br w:val="nil"/>
                    <w:tr2bl w:val="nil"/>
                  </w:tcBorders>
                  <w:noWrap w:val="0"/>
                  <w:tcMar>
                    <w:top w:w="0" w:type="dxa"/>
                    <w:left w:w="0" w:type="dxa"/>
                    <w:bottom w:w="0" w:type="dxa"/>
                    <w:right w:w="0" w:type="dxa"/>
                  </w:tcMar>
                  <w:vAlign w:val="center"/>
                </w:tcPr>
                <w:p w14:paraId="0467D7C6">
                  <w:pPr>
                    <w:pStyle w:val="15"/>
                    <w:bidi w:val="0"/>
                    <w:rPr>
                      <w:rFonts w:hint="default"/>
                      <w:color w:val="auto"/>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7D0D109B">
                  <w:pPr>
                    <w:pStyle w:val="15"/>
                    <w:bidi w:val="0"/>
                    <w:rPr>
                      <w:rFonts w:hint="default"/>
                      <w:color w:val="auto"/>
                      <w:lang w:val="en-US" w:eastAsia="zh-CN"/>
                    </w:rPr>
                  </w:pPr>
                  <w:r>
                    <w:rPr>
                      <w:rFonts w:hint="eastAsia"/>
                      <w:color w:val="auto"/>
                      <w:lang w:val="en-US" w:eastAsia="zh-CN"/>
                    </w:rPr>
                    <w:t>40</w:t>
                  </w:r>
                </w:p>
              </w:tc>
              <w:tc>
                <w:tcPr>
                  <w:tcW w:w="311" w:type="pct"/>
                  <w:tcBorders>
                    <w:tl2br w:val="nil"/>
                    <w:tr2bl w:val="nil"/>
                  </w:tcBorders>
                  <w:noWrap w:val="0"/>
                  <w:tcMar>
                    <w:top w:w="0" w:type="dxa"/>
                    <w:left w:w="0" w:type="dxa"/>
                    <w:bottom w:w="0" w:type="dxa"/>
                    <w:right w:w="0" w:type="dxa"/>
                  </w:tcMar>
                  <w:vAlign w:val="center"/>
                </w:tcPr>
                <w:p w14:paraId="02A66B0A">
                  <w:pPr>
                    <w:pStyle w:val="15"/>
                    <w:bidi w:val="0"/>
                    <w:rPr>
                      <w:rFonts w:hint="eastAsia"/>
                      <w:color w:val="auto"/>
                      <w:lang w:val="en-US" w:eastAsia="zh-CN"/>
                    </w:rPr>
                  </w:pPr>
                  <w:r>
                    <w:rPr>
                      <w:rFonts w:hint="eastAsia"/>
                      <w:color w:val="auto"/>
                      <w:lang w:val="en-US" w:eastAsia="zh-CN"/>
                    </w:rPr>
                    <w:t>6</w:t>
                  </w:r>
                </w:p>
              </w:tc>
              <w:tc>
                <w:tcPr>
                  <w:tcW w:w="317" w:type="pct"/>
                  <w:tcBorders>
                    <w:tl2br w:val="nil"/>
                    <w:tr2bl w:val="nil"/>
                  </w:tcBorders>
                  <w:noWrap w:val="0"/>
                  <w:tcMar>
                    <w:top w:w="0" w:type="dxa"/>
                    <w:left w:w="0" w:type="dxa"/>
                    <w:bottom w:w="0" w:type="dxa"/>
                    <w:right w:w="0" w:type="dxa"/>
                  </w:tcMar>
                  <w:vAlign w:val="center"/>
                </w:tcPr>
                <w:p w14:paraId="7AEC8F66">
                  <w:pPr>
                    <w:pStyle w:val="15"/>
                    <w:bidi w:val="0"/>
                    <w:rPr>
                      <w:rFonts w:hint="default"/>
                      <w:color w:val="auto"/>
                      <w:lang w:val="en-US" w:eastAsia="zh-CN"/>
                    </w:rPr>
                  </w:pPr>
                  <w:r>
                    <w:rPr>
                      <w:rFonts w:hint="eastAsia"/>
                      <w:color w:val="auto"/>
                      <w:lang w:val="en-US" w:eastAsia="zh-CN"/>
                    </w:rPr>
                    <w:t>6.5</w:t>
                  </w:r>
                </w:p>
              </w:tc>
            </w:tr>
            <w:tr w14:paraId="3D7F9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3D014DE5">
                  <w:pPr>
                    <w:pStyle w:val="15"/>
                    <w:bidi w:val="0"/>
                    <w:rPr>
                      <w:rFonts w:hint="default"/>
                      <w:color w:val="auto"/>
                      <w:lang w:val="en-US" w:eastAsia="zh-CN"/>
                    </w:rPr>
                  </w:pPr>
                  <w:r>
                    <w:rPr>
                      <w:rFonts w:hint="default"/>
                      <w:color w:val="auto"/>
                      <w:lang w:val="en-US" w:eastAsia="zh-CN"/>
                    </w:rPr>
                    <w:t>4</w:t>
                  </w:r>
                </w:p>
              </w:tc>
              <w:tc>
                <w:tcPr>
                  <w:tcW w:w="909" w:type="pct"/>
                  <w:tcBorders>
                    <w:tl2br w:val="nil"/>
                    <w:tr2bl w:val="nil"/>
                  </w:tcBorders>
                  <w:noWrap w:val="0"/>
                  <w:tcMar>
                    <w:top w:w="0" w:type="dxa"/>
                    <w:left w:w="0" w:type="dxa"/>
                    <w:bottom w:w="0" w:type="dxa"/>
                    <w:right w:w="0" w:type="dxa"/>
                  </w:tcMar>
                  <w:vAlign w:val="center"/>
                </w:tcPr>
                <w:p w14:paraId="53F084B5">
                  <w:pPr>
                    <w:pStyle w:val="15"/>
                    <w:bidi w:val="0"/>
                    <w:rPr>
                      <w:rFonts w:hint="eastAsia"/>
                      <w:color w:val="auto"/>
                      <w:lang w:val="en-US" w:eastAsia="zh-CN"/>
                    </w:rPr>
                  </w:pPr>
                  <w:r>
                    <w:rPr>
                      <w:rFonts w:hint="default"/>
                      <w:color w:val="auto"/>
                      <w:lang w:val="en-US" w:eastAsia="zh-CN"/>
                    </w:rPr>
                    <w:t>厂区</w:t>
                  </w:r>
                  <w:r>
                    <w:rPr>
                      <w:rFonts w:hint="eastAsia"/>
                      <w:color w:val="auto"/>
                      <w:lang w:val="en-US" w:eastAsia="zh-CN"/>
                    </w:rPr>
                    <w:t>内</w:t>
                  </w:r>
                </w:p>
                <w:p w14:paraId="7E1DC025">
                  <w:pPr>
                    <w:pStyle w:val="15"/>
                    <w:bidi w:val="0"/>
                    <w:rPr>
                      <w:rFonts w:hint="default"/>
                      <w:color w:val="auto"/>
                    </w:rPr>
                  </w:pPr>
                  <w:r>
                    <w:rPr>
                      <w:rFonts w:hint="default"/>
                      <w:color w:val="auto"/>
                      <w:lang w:val="en-US" w:eastAsia="zh-CN"/>
                    </w:rPr>
                    <w:t>地下水监测点4</w:t>
                  </w:r>
                </w:p>
              </w:tc>
              <w:tc>
                <w:tcPr>
                  <w:tcW w:w="708" w:type="pct"/>
                  <w:tcBorders>
                    <w:tl2br w:val="nil"/>
                    <w:tr2bl w:val="nil"/>
                  </w:tcBorders>
                  <w:noWrap w:val="0"/>
                  <w:tcMar>
                    <w:top w:w="0" w:type="dxa"/>
                    <w:left w:w="0" w:type="dxa"/>
                    <w:bottom w:w="0" w:type="dxa"/>
                    <w:right w:w="0" w:type="dxa"/>
                  </w:tcMar>
                  <w:vAlign w:val="center"/>
                </w:tcPr>
                <w:p w14:paraId="21B0CF2E">
                  <w:pPr>
                    <w:pStyle w:val="15"/>
                    <w:bidi w:val="0"/>
                    <w:rPr>
                      <w:rFonts w:hint="default"/>
                      <w:color w:val="auto"/>
                    </w:rPr>
                  </w:pPr>
                  <w:r>
                    <w:rPr>
                      <w:rFonts w:hint="default"/>
                      <w:color w:val="auto"/>
                    </w:rPr>
                    <w:t>84°52'52.02"</w:t>
                  </w:r>
                </w:p>
              </w:tc>
              <w:tc>
                <w:tcPr>
                  <w:tcW w:w="708" w:type="pct"/>
                  <w:tcBorders>
                    <w:tl2br w:val="nil"/>
                    <w:tr2bl w:val="nil"/>
                  </w:tcBorders>
                  <w:noWrap w:val="0"/>
                  <w:tcMar>
                    <w:top w:w="0" w:type="dxa"/>
                    <w:left w:w="0" w:type="dxa"/>
                    <w:bottom w:w="0" w:type="dxa"/>
                    <w:right w:w="0" w:type="dxa"/>
                  </w:tcMar>
                  <w:vAlign w:val="center"/>
                </w:tcPr>
                <w:p w14:paraId="45A89CDE">
                  <w:pPr>
                    <w:pStyle w:val="15"/>
                    <w:bidi w:val="0"/>
                    <w:rPr>
                      <w:rFonts w:hint="default"/>
                      <w:color w:val="auto"/>
                    </w:rPr>
                  </w:pPr>
                  <w:r>
                    <w:rPr>
                      <w:rFonts w:hint="default"/>
                      <w:color w:val="auto"/>
                    </w:rPr>
                    <w:t>44°50'43.22"</w:t>
                  </w:r>
                </w:p>
              </w:tc>
              <w:tc>
                <w:tcPr>
                  <w:tcW w:w="407" w:type="pct"/>
                  <w:tcBorders>
                    <w:tl2br w:val="nil"/>
                    <w:tr2bl w:val="nil"/>
                  </w:tcBorders>
                  <w:noWrap w:val="0"/>
                  <w:tcMar>
                    <w:top w:w="0" w:type="dxa"/>
                    <w:left w:w="0" w:type="dxa"/>
                    <w:bottom w:w="0" w:type="dxa"/>
                    <w:right w:w="0" w:type="dxa"/>
                  </w:tcMar>
                  <w:vAlign w:val="center"/>
                </w:tcPr>
                <w:p w14:paraId="6B7899C1">
                  <w:pPr>
                    <w:pStyle w:val="15"/>
                    <w:bidi w:val="0"/>
                    <w:rPr>
                      <w:rFonts w:hint="default"/>
                      <w:color w:val="auto"/>
                      <w:lang w:val="en-US" w:eastAsia="zh-CN"/>
                    </w:rPr>
                  </w:pPr>
                  <w:r>
                    <w:rPr>
                      <w:rFonts w:hint="eastAsia"/>
                      <w:color w:val="auto"/>
                      <w:lang w:val="en-US" w:eastAsia="zh-CN"/>
                    </w:rPr>
                    <w:t>厂区</w:t>
                  </w:r>
                </w:p>
              </w:tc>
              <w:tc>
                <w:tcPr>
                  <w:tcW w:w="407" w:type="pct"/>
                  <w:tcBorders>
                    <w:tl2br w:val="nil"/>
                    <w:tr2bl w:val="nil"/>
                  </w:tcBorders>
                  <w:noWrap w:val="0"/>
                  <w:tcMar>
                    <w:top w:w="0" w:type="dxa"/>
                    <w:left w:w="0" w:type="dxa"/>
                    <w:bottom w:w="0" w:type="dxa"/>
                    <w:right w:w="0" w:type="dxa"/>
                  </w:tcMar>
                  <w:vAlign w:val="center"/>
                </w:tcPr>
                <w:p w14:paraId="64C91611">
                  <w:pPr>
                    <w:pStyle w:val="15"/>
                    <w:bidi w:val="0"/>
                    <w:rPr>
                      <w:rFonts w:hint="default"/>
                      <w:color w:val="auto"/>
                      <w:lang w:val="en-US" w:eastAsia="zh-CN"/>
                    </w:rPr>
                  </w:pPr>
                  <w:r>
                    <w:rPr>
                      <w:rFonts w:hint="eastAsia"/>
                      <w:color w:val="auto"/>
                      <w:lang w:val="en-US" w:eastAsia="zh-CN"/>
                    </w:rPr>
                    <w:t>/</w:t>
                  </w:r>
                </w:p>
              </w:tc>
              <w:tc>
                <w:tcPr>
                  <w:tcW w:w="675" w:type="pct"/>
                  <w:tcBorders>
                    <w:tl2br w:val="nil"/>
                    <w:tr2bl w:val="nil"/>
                  </w:tcBorders>
                  <w:noWrap w:val="0"/>
                  <w:tcMar>
                    <w:top w:w="0" w:type="dxa"/>
                    <w:left w:w="0" w:type="dxa"/>
                    <w:bottom w:w="0" w:type="dxa"/>
                    <w:right w:w="0" w:type="dxa"/>
                  </w:tcMar>
                  <w:vAlign w:val="center"/>
                </w:tcPr>
                <w:p w14:paraId="0751F83C">
                  <w:pPr>
                    <w:pStyle w:val="15"/>
                    <w:bidi w:val="0"/>
                    <w:rPr>
                      <w:rFonts w:hint="eastAsia"/>
                      <w:color w:val="auto"/>
                      <w:lang w:val="en-US" w:eastAsia="zh-CN"/>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7D763CF5">
                  <w:pPr>
                    <w:pStyle w:val="15"/>
                    <w:bidi w:val="0"/>
                    <w:rPr>
                      <w:rFonts w:hint="default"/>
                      <w:color w:val="auto"/>
                      <w:lang w:val="en-US" w:eastAsia="zh-CN"/>
                    </w:rPr>
                  </w:pPr>
                  <w:r>
                    <w:rPr>
                      <w:rFonts w:hint="eastAsia"/>
                      <w:color w:val="auto"/>
                      <w:lang w:val="en-US" w:eastAsia="zh-CN"/>
                    </w:rPr>
                    <w:t>12</w:t>
                  </w:r>
                </w:p>
              </w:tc>
              <w:tc>
                <w:tcPr>
                  <w:tcW w:w="311" w:type="pct"/>
                  <w:tcBorders>
                    <w:tl2br w:val="nil"/>
                    <w:tr2bl w:val="nil"/>
                  </w:tcBorders>
                  <w:noWrap w:val="0"/>
                  <w:tcMar>
                    <w:top w:w="0" w:type="dxa"/>
                    <w:left w:w="0" w:type="dxa"/>
                    <w:bottom w:w="0" w:type="dxa"/>
                    <w:right w:w="0" w:type="dxa"/>
                  </w:tcMar>
                  <w:vAlign w:val="center"/>
                </w:tcPr>
                <w:p w14:paraId="02A0EF63">
                  <w:pPr>
                    <w:pStyle w:val="15"/>
                    <w:bidi w:val="0"/>
                    <w:rPr>
                      <w:rFonts w:hint="default"/>
                      <w:color w:val="auto"/>
                      <w:lang w:val="en-US" w:eastAsia="zh-CN"/>
                    </w:rPr>
                  </w:pPr>
                  <w:r>
                    <w:rPr>
                      <w:rFonts w:hint="eastAsia"/>
                      <w:color w:val="auto"/>
                      <w:lang w:val="en-US" w:eastAsia="zh-CN"/>
                    </w:rPr>
                    <w:t>4</w:t>
                  </w:r>
                </w:p>
              </w:tc>
              <w:tc>
                <w:tcPr>
                  <w:tcW w:w="317" w:type="pct"/>
                  <w:tcBorders>
                    <w:tl2br w:val="nil"/>
                    <w:tr2bl w:val="nil"/>
                  </w:tcBorders>
                  <w:noWrap w:val="0"/>
                  <w:tcMar>
                    <w:top w:w="0" w:type="dxa"/>
                    <w:left w:w="0" w:type="dxa"/>
                    <w:bottom w:w="0" w:type="dxa"/>
                    <w:right w:w="0" w:type="dxa"/>
                  </w:tcMar>
                  <w:vAlign w:val="center"/>
                </w:tcPr>
                <w:p w14:paraId="1B3C49E9">
                  <w:pPr>
                    <w:pStyle w:val="15"/>
                    <w:bidi w:val="0"/>
                    <w:rPr>
                      <w:rFonts w:hint="default"/>
                      <w:color w:val="auto"/>
                      <w:lang w:val="en-US" w:eastAsia="zh-CN"/>
                    </w:rPr>
                  </w:pPr>
                  <w:r>
                    <w:rPr>
                      <w:rFonts w:hint="eastAsia"/>
                      <w:color w:val="auto"/>
                      <w:lang w:val="en-US" w:eastAsia="zh-CN"/>
                    </w:rPr>
                    <w:t>4.5</w:t>
                  </w:r>
                </w:p>
              </w:tc>
            </w:tr>
            <w:tr w14:paraId="4BD58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1FF8017E">
                  <w:pPr>
                    <w:pStyle w:val="15"/>
                    <w:bidi w:val="0"/>
                    <w:rPr>
                      <w:rFonts w:hint="default"/>
                      <w:color w:val="auto"/>
                      <w:lang w:val="en-US" w:eastAsia="zh-CN"/>
                    </w:rPr>
                  </w:pPr>
                  <w:r>
                    <w:rPr>
                      <w:rFonts w:hint="default"/>
                      <w:color w:val="auto"/>
                      <w:lang w:val="en-US" w:eastAsia="zh-CN"/>
                    </w:rPr>
                    <w:t>5</w:t>
                  </w:r>
                </w:p>
              </w:tc>
              <w:tc>
                <w:tcPr>
                  <w:tcW w:w="909" w:type="pct"/>
                  <w:tcBorders>
                    <w:tl2br w:val="nil"/>
                    <w:tr2bl w:val="nil"/>
                  </w:tcBorders>
                  <w:noWrap w:val="0"/>
                  <w:tcMar>
                    <w:top w:w="0" w:type="dxa"/>
                    <w:left w:w="0" w:type="dxa"/>
                    <w:bottom w:w="0" w:type="dxa"/>
                    <w:right w:w="0" w:type="dxa"/>
                  </w:tcMar>
                  <w:vAlign w:val="center"/>
                </w:tcPr>
                <w:p w14:paraId="18D55066">
                  <w:pPr>
                    <w:pStyle w:val="15"/>
                    <w:bidi w:val="0"/>
                    <w:rPr>
                      <w:rFonts w:hint="default"/>
                      <w:color w:val="auto"/>
                      <w:lang w:val="en-US" w:eastAsia="zh-CN"/>
                    </w:rPr>
                  </w:pPr>
                  <w:r>
                    <w:rPr>
                      <w:rFonts w:hint="default"/>
                      <w:color w:val="auto"/>
                      <w:lang w:val="en-US" w:eastAsia="zh-CN"/>
                    </w:rPr>
                    <w:t>厂区下游</w:t>
                  </w:r>
                </w:p>
                <w:p w14:paraId="61F8F7CB">
                  <w:pPr>
                    <w:pStyle w:val="15"/>
                    <w:bidi w:val="0"/>
                    <w:rPr>
                      <w:rFonts w:hint="default"/>
                      <w:color w:val="auto"/>
                    </w:rPr>
                  </w:pPr>
                  <w:r>
                    <w:rPr>
                      <w:rFonts w:hint="default"/>
                      <w:color w:val="auto"/>
                      <w:lang w:val="en-US" w:eastAsia="zh-CN"/>
                    </w:rPr>
                    <w:t>地下水监测点5</w:t>
                  </w:r>
                </w:p>
              </w:tc>
              <w:tc>
                <w:tcPr>
                  <w:tcW w:w="708" w:type="pct"/>
                  <w:tcBorders>
                    <w:tl2br w:val="nil"/>
                    <w:tr2bl w:val="nil"/>
                  </w:tcBorders>
                  <w:noWrap w:val="0"/>
                  <w:tcMar>
                    <w:top w:w="0" w:type="dxa"/>
                    <w:left w:w="0" w:type="dxa"/>
                    <w:bottom w:w="0" w:type="dxa"/>
                    <w:right w:w="0" w:type="dxa"/>
                  </w:tcMar>
                  <w:vAlign w:val="center"/>
                </w:tcPr>
                <w:p w14:paraId="2075CB7E">
                  <w:pPr>
                    <w:pStyle w:val="15"/>
                    <w:bidi w:val="0"/>
                    <w:rPr>
                      <w:rFonts w:hint="default"/>
                      <w:color w:val="auto"/>
                    </w:rPr>
                  </w:pPr>
                  <w:r>
                    <w:rPr>
                      <w:rFonts w:hint="default"/>
                      <w:color w:val="auto"/>
                    </w:rPr>
                    <w:t>84°52'33.90"</w:t>
                  </w:r>
                </w:p>
              </w:tc>
              <w:tc>
                <w:tcPr>
                  <w:tcW w:w="708" w:type="pct"/>
                  <w:tcBorders>
                    <w:tl2br w:val="nil"/>
                    <w:tr2bl w:val="nil"/>
                  </w:tcBorders>
                  <w:noWrap w:val="0"/>
                  <w:tcMar>
                    <w:top w:w="0" w:type="dxa"/>
                    <w:left w:w="0" w:type="dxa"/>
                    <w:bottom w:w="0" w:type="dxa"/>
                    <w:right w:w="0" w:type="dxa"/>
                  </w:tcMar>
                  <w:vAlign w:val="center"/>
                </w:tcPr>
                <w:p w14:paraId="2DC2EE65">
                  <w:pPr>
                    <w:pStyle w:val="15"/>
                    <w:bidi w:val="0"/>
                    <w:rPr>
                      <w:rFonts w:hint="default"/>
                      <w:color w:val="auto"/>
                    </w:rPr>
                  </w:pPr>
                  <w:r>
                    <w:rPr>
                      <w:rFonts w:hint="default"/>
                      <w:color w:val="auto"/>
                    </w:rPr>
                    <w:t>44°50'45.94"</w:t>
                  </w:r>
                </w:p>
              </w:tc>
              <w:tc>
                <w:tcPr>
                  <w:tcW w:w="407" w:type="pct"/>
                  <w:tcBorders>
                    <w:tl2br w:val="nil"/>
                    <w:tr2bl w:val="nil"/>
                  </w:tcBorders>
                  <w:noWrap w:val="0"/>
                  <w:tcMar>
                    <w:top w:w="0" w:type="dxa"/>
                    <w:left w:w="0" w:type="dxa"/>
                    <w:bottom w:w="0" w:type="dxa"/>
                    <w:right w:w="0" w:type="dxa"/>
                  </w:tcMar>
                  <w:vAlign w:val="center"/>
                </w:tcPr>
                <w:p w14:paraId="237C8105">
                  <w:pPr>
                    <w:pStyle w:val="15"/>
                    <w:bidi w:val="0"/>
                    <w:rPr>
                      <w:rFonts w:hint="default"/>
                      <w:color w:val="auto"/>
                      <w:lang w:val="en-US" w:eastAsia="zh-CN"/>
                    </w:rPr>
                  </w:pPr>
                  <w:r>
                    <w:rPr>
                      <w:rFonts w:hint="eastAsia"/>
                      <w:color w:val="auto"/>
                      <w:lang w:val="en-US" w:eastAsia="zh-CN"/>
                    </w:rPr>
                    <w:t>下游</w:t>
                  </w:r>
                </w:p>
              </w:tc>
              <w:tc>
                <w:tcPr>
                  <w:tcW w:w="407" w:type="pct"/>
                  <w:tcBorders>
                    <w:tl2br w:val="nil"/>
                    <w:tr2bl w:val="nil"/>
                  </w:tcBorders>
                  <w:noWrap w:val="0"/>
                  <w:tcMar>
                    <w:top w:w="0" w:type="dxa"/>
                    <w:left w:w="0" w:type="dxa"/>
                    <w:bottom w:w="0" w:type="dxa"/>
                    <w:right w:w="0" w:type="dxa"/>
                  </w:tcMar>
                  <w:vAlign w:val="center"/>
                </w:tcPr>
                <w:p w14:paraId="7456F5A4">
                  <w:pPr>
                    <w:pStyle w:val="15"/>
                    <w:bidi w:val="0"/>
                    <w:rPr>
                      <w:rFonts w:hint="default"/>
                      <w:color w:val="auto"/>
                      <w:lang w:val="en-US" w:eastAsia="zh-CN"/>
                    </w:rPr>
                  </w:pPr>
                  <w:r>
                    <w:rPr>
                      <w:rFonts w:hint="eastAsia"/>
                      <w:color w:val="auto"/>
                      <w:lang w:val="en-US" w:eastAsia="zh-CN"/>
                    </w:rPr>
                    <w:t>20</w:t>
                  </w:r>
                </w:p>
              </w:tc>
              <w:tc>
                <w:tcPr>
                  <w:tcW w:w="675" w:type="pct"/>
                  <w:tcBorders>
                    <w:tl2br w:val="nil"/>
                    <w:tr2bl w:val="nil"/>
                  </w:tcBorders>
                  <w:noWrap w:val="0"/>
                  <w:tcMar>
                    <w:top w:w="0" w:type="dxa"/>
                    <w:left w:w="0" w:type="dxa"/>
                    <w:bottom w:w="0" w:type="dxa"/>
                    <w:right w:w="0" w:type="dxa"/>
                  </w:tcMar>
                  <w:vAlign w:val="center"/>
                </w:tcPr>
                <w:p w14:paraId="7566BBE8">
                  <w:pPr>
                    <w:pStyle w:val="15"/>
                    <w:bidi w:val="0"/>
                    <w:rPr>
                      <w:rFonts w:hint="eastAsia"/>
                      <w:color w:val="auto"/>
                      <w:lang w:val="en-US" w:eastAsia="zh-CN"/>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0C5C3D04">
                  <w:pPr>
                    <w:pStyle w:val="15"/>
                    <w:bidi w:val="0"/>
                    <w:rPr>
                      <w:rFonts w:hint="default"/>
                      <w:color w:val="auto"/>
                      <w:lang w:val="en-US" w:eastAsia="zh-CN"/>
                    </w:rPr>
                  </w:pPr>
                  <w:r>
                    <w:rPr>
                      <w:rFonts w:hint="eastAsia"/>
                      <w:color w:val="auto"/>
                      <w:lang w:val="en-US" w:eastAsia="zh-CN"/>
                    </w:rPr>
                    <w:t>12</w:t>
                  </w:r>
                </w:p>
              </w:tc>
              <w:tc>
                <w:tcPr>
                  <w:tcW w:w="311" w:type="pct"/>
                  <w:tcBorders>
                    <w:tl2br w:val="nil"/>
                    <w:tr2bl w:val="nil"/>
                  </w:tcBorders>
                  <w:noWrap w:val="0"/>
                  <w:tcMar>
                    <w:top w:w="0" w:type="dxa"/>
                    <w:left w:w="0" w:type="dxa"/>
                    <w:bottom w:w="0" w:type="dxa"/>
                    <w:right w:w="0" w:type="dxa"/>
                  </w:tcMar>
                  <w:vAlign w:val="center"/>
                </w:tcPr>
                <w:p w14:paraId="2C2ADB2C">
                  <w:pPr>
                    <w:pStyle w:val="15"/>
                    <w:bidi w:val="0"/>
                    <w:rPr>
                      <w:rFonts w:hint="default"/>
                      <w:color w:val="auto"/>
                      <w:lang w:val="en-US" w:eastAsia="zh-CN"/>
                    </w:rPr>
                  </w:pPr>
                  <w:r>
                    <w:rPr>
                      <w:rFonts w:hint="eastAsia"/>
                      <w:color w:val="auto"/>
                      <w:lang w:val="en-US" w:eastAsia="zh-CN"/>
                    </w:rPr>
                    <w:t>4</w:t>
                  </w:r>
                </w:p>
              </w:tc>
              <w:tc>
                <w:tcPr>
                  <w:tcW w:w="317" w:type="pct"/>
                  <w:tcBorders>
                    <w:tl2br w:val="nil"/>
                    <w:tr2bl w:val="nil"/>
                  </w:tcBorders>
                  <w:noWrap w:val="0"/>
                  <w:tcMar>
                    <w:top w:w="0" w:type="dxa"/>
                    <w:left w:w="0" w:type="dxa"/>
                    <w:bottom w:w="0" w:type="dxa"/>
                    <w:right w:w="0" w:type="dxa"/>
                  </w:tcMar>
                  <w:vAlign w:val="center"/>
                </w:tcPr>
                <w:p w14:paraId="69178C7B">
                  <w:pPr>
                    <w:pStyle w:val="15"/>
                    <w:bidi w:val="0"/>
                    <w:rPr>
                      <w:rFonts w:hint="default"/>
                      <w:color w:val="auto"/>
                      <w:lang w:val="en-US" w:eastAsia="zh-CN"/>
                    </w:rPr>
                  </w:pPr>
                  <w:r>
                    <w:rPr>
                      <w:rFonts w:hint="eastAsia"/>
                      <w:color w:val="auto"/>
                      <w:lang w:val="en-US" w:eastAsia="zh-CN"/>
                    </w:rPr>
                    <w:t>4.5</w:t>
                  </w:r>
                </w:p>
              </w:tc>
            </w:tr>
            <w:tr w14:paraId="2B168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1FE49EE2">
                  <w:pPr>
                    <w:pStyle w:val="15"/>
                    <w:bidi w:val="0"/>
                    <w:rPr>
                      <w:rFonts w:hint="default"/>
                      <w:color w:val="auto"/>
                      <w:lang w:val="en-US" w:eastAsia="zh-CN"/>
                    </w:rPr>
                  </w:pPr>
                  <w:r>
                    <w:rPr>
                      <w:rFonts w:hint="default"/>
                      <w:color w:val="auto"/>
                      <w:lang w:val="en-US" w:eastAsia="zh-CN"/>
                    </w:rPr>
                    <w:t>6</w:t>
                  </w:r>
                </w:p>
              </w:tc>
              <w:tc>
                <w:tcPr>
                  <w:tcW w:w="909" w:type="pct"/>
                  <w:tcBorders>
                    <w:tl2br w:val="nil"/>
                    <w:tr2bl w:val="nil"/>
                  </w:tcBorders>
                  <w:noWrap w:val="0"/>
                  <w:tcMar>
                    <w:top w:w="0" w:type="dxa"/>
                    <w:left w:w="0" w:type="dxa"/>
                    <w:bottom w:w="0" w:type="dxa"/>
                    <w:right w:w="0" w:type="dxa"/>
                  </w:tcMar>
                  <w:vAlign w:val="center"/>
                </w:tcPr>
                <w:p w14:paraId="7B5C770F">
                  <w:pPr>
                    <w:pStyle w:val="15"/>
                    <w:bidi w:val="0"/>
                    <w:rPr>
                      <w:rFonts w:hint="default"/>
                      <w:color w:val="auto"/>
                      <w:lang w:val="en-US" w:eastAsia="zh-CN"/>
                    </w:rPr>
                  </w:pPr>
                  <w:r>
                    <w:rPr>
                      <w:rFonts w:hint="default"/>
                      <w:color w:val="auto"/>
                      <w:lang w:val="en-US" w:eastAsia="zh-CN"/>
                    </w:rPr>
                    <w:t>水位监测点1</w:t>
                  </w:r>
                </w:p>
                <w:p w14:paraId="581F9904">
                  <w:pPr>
                    <w:pStyle w:val="15"/>
                    <w:bidi w:val="0"/>
                    <w:rPr>
                      <w:rFonts w:hint="default"/>
                      <w:color w:val="auto"/>
                      <w:lang w:val="en-US" w:eastAsia="zh-CN"/>
                    </w:rPr>
                  </w:pPr>
                  <w:r>
                    <w:rPr>
                      <w:rFonts w:hint="eastAsia"/>
                      <w:color w:val="auto"/>
                      <w:lang w:val="en-US" w:eastAsia="zh-CN"/>
                    </w:rPr>
                    <w:t>（南-1）</w:t>
                  </w:r>
                </w:p>
              </w:tc>
              <w:tc>
                <w:tcPr>
                  <w:tcW w:w="708" w:type="pct"/>
                  <w:tcBorders>
                    <w:tl2br w:val="nil"/>
                    <w:tr2bl w:val="nil"/>
                  </w:tcBorders>
                  <w:noWrap w:val="0"/>
                  <w:tcMar>
                    <w:top w:w="0" w:type="dxa"/>
                    <w:left w:w="0" w:type="dxa"/>
                    <w:bottom w:w="0" w:type="dxa"/>
                    <w:right w:w="0" w:type="dxa"/>
                  </w:tcMar>
                  <w:vAlign w:val="center"/>
                </w:tcPr>
                <w:p w14:paraId="7A02A84F">
                  <w:pPr>
                    <w:pStyle w:val="15"/>
                    <w:bidi w:val="0"/>
                    <w:rPr>
                      <w:rFonts w:hint="default"/>
                      <w:color w:val="auto"/>
                    </w:rPr>
                  </w:pPr>
                  <w:r>
                    <w:rPr>
                      <w:rFonts w:hint="default"/>
                      <w:color w:val="auto"/>
                    </w:rPr>
                    <w:t>84°51'33.17"</w:t>
                  </w:r>
                </w:p>
              </w:tc>
              <w:tc>
                <w:tcPr>
                  <w:tcW w:w="708" w:type="pct"/>
                  <w:tcBorders>
                    <w:tl2br w:val="nil"/>
                    <w:tr2bl w:val="nil"/>
                  </w:tcBorders>
                  <w:noWrap w:val="0"/>
                  <w:tcMar>
                    <w:top w:w="0" w:type="dxa"/>
                    <w:left w:w="0" w:type="dxa"/>
                    <w:bottom w:w="0" w:type="dxa"/>
                    <w:right w:w="0" w:type="dxa"/>
                  </w:tcMar>
                  <w:vAlign w:val="center"/>
                </w:tcPr>
                <w:p w14:paraId="6A0D0C6A">
                  <w:pPr>
                    <w:pStyle w:val="15"/>
                    <w:bidi w:val="0"/>
                    <w:rPr>
                      <w:rFonts w:hint="default"/>
                      <w:color w:val="auto"/>
                    </w:rPr>
                  </w:pPr>
                  <w:r>
                    <w:rPr>
                      <w:rFonts w:hint="default"/>
                      <w:color w:val="auto"/>
                    </w:rPr>
                    <w:t>44°51'18.98"</w:t>
                  </w:r>
                </w:p>
              </w:tc>
              <w:tc>
                <w:tcPr>
                  <w:tcW w:w="407" w:type="pct"/>
                  <w:tcBorders>
                    <w:tl2br w:val="nil"/>
                    <w:tr2bl w:val="nil"/>
                  </w:tcBorders>
                  <w:noWrap w:val="0"/>
                  <w:tcMar>
                    <w:top w:w="0" w:type="dxa"/>
                    <w:left w:w="0" w:type="dxa"/>
                    <w:bottom w:w="0" w:type="dxa"/>
                    <w:right w:w="0" w:type="dxa"/>
                  </w:tcMar>
                  <w:vAlign w:val="center"/>
                </w:tcPr>
                <w:p w14:paraId="5028EE63">
                  <w:pPr>
                    <w:pStyle w:val="15"/>
                    <w:bidi w:val="0"/>
                    <w:rPr>
                      <w:rFonts w:hint="eastAsia" w:eastAsia="宋体"/>
                      <w:color w:val="auto"/>
                      <w:lang w:val="en-US" w:eastAsia="zh-CN"/>
                    </w:rPr>
                  </w:pPr>
                  <w:r>
                    <w:rPr>
                      <w:rFonts w:hint="eastAsia"/>
                      <w:color w:val="auto"/>
                      <w:lang w:val="en-US" w:eastAsia="zh-CN"/>
                    </w:rPr>
                    <w:t>西北侧</w:t>
                  </w:r>
                </w:p>
              </w:tc>
              <w:tc>
                <w:tcPr>
                  <w:tcW w:w="407" w:type="pct"/>
                  <w:tcBorders>
                    <w:tl2br w:val="nil"/>
                    <w:tr2bl w:val="nil"/>
                  </w:tcBorders>
                  <w:noWrap w:val="0"/>
                  <w:tcMar>
                    <w:top w:w="0" w:type="dxa"/>
                    <w:left w:w="0" w:type="dxa"/>
                    <w:bottom w:w="0" w:type="dxa"/>
                    <w:right w:w="0" w:type="dxa"/>
                  </w:tcMar>
                  <w:vAlign w:val="center"/>
                </w:tcPr>
                <w:p w14:paraId="09E5C091">
                  <w:pPr>
                    <w:pStyle w:val="15"/>
                    <w:bidi w:val="0"/>
                    <w:rPr>
                      <w:rFonts w:hint="default" w:eastAsia="宋体"/>
                      <w:color w:val="auto"/>
                      <w:lang w:val="en-US" w:eastAsia="zh-CN"/>
                    </w:rPr>
                  </w:pPr>
                  <w:r>
                    <w:rPr>
                      <w:rFonts w:hint="eastAsia"/>
                      <w:color w:val="auto"/>
                      <w:lang w:val="en-US" w:eastAsia="zh-CN"/>
                    </w:rPr>
                    <w:t>1636</w:t>
                  </w:r>
                </w:p>
              </w:tc>
              <w:tc>
                <w:tcPr>
                  <w:tcW w:w="675" w:type="pct"/>
                  <w:tcBorders>
                    <w:tl2br w:val="nil"/>
                    <w:tr2bl w:val="nil"/>
                  </w:tcBorders>
                  <w:shd w:val="clear" w:color="auto" w:fill="auto"/>
                  <w:noWrap w:val="0"/>
                  <w:tcMar>
                    <w:top w:w="0" w:type="dxa"/>
                    <w:left w:w="0" w:type="dxa"/>
                    <w:bottom w:w="0" w:type="dxa"/>
                    <w:right w:w="0" w:type="dxa"/>
                  </w:tcMar>
                  <w:vAlign w:val="center"/>
                </w:tcPr>
                <w:p w14:paraId="0B392D6D">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513B2352">
                  <w:pPr>
                    <w:pStyle w:val="15"/>
                    <w:bidi w:val="0"/>
                    <w:rPr>
                      <w:rFonts w:hint="default"/>
                      <w:color w:val="auto"/>
                    </w:rPr>
                  </w:pPr>
                </w:p>
              </w:tc>
              <w:tc>
                <w:tcPr>
                  <w:tcW w:w="311" w:type="pct"/>
                  <w:tcBorders>
                    <w:tl2br w:val="nil"/>
                    <w:tr2bl w:val="nil"/>
                  </w:tcBorders>
                  <w:noWrap w:val="0"/>
                  <w:tcMar>
                    <w:top w:w="0" w:type="dxa"/>
                    <w:left w:w="0" w:type="dxa"/>
                    <w:bottom w:w="0" w:type="dxa"/>
                    <w:right w:w="0" w:type="dxa"/>
                  </w:tcMar>
                  <w:vAlign w:val="center"/>
                </w:tcPr>
                <w:p w14:paraId="1CEEFDC6">
                  <w:pPr>
                    <w:pStyle w:val="15"/>
                    <w:bidi w:val="0"/>
                    <w:rPr>
                      <w:rFonts w:hint="default" w:eastAsia="宋体"/>
                      <w:color w:val="auto"/>
                      <w:lang w:val="en-US" w:eastAsia="zh-CN"/>
                    </w:rPr>
                  </w:pPr>
                  <w:r>
                    <w:rPr>
                      <w:rFonts w:hint="eastAsia"/>
                      <w:color w:val="auto"/>
                      <w:lang w:val="en-US" w:eastAsia="zh-CN"/>
                    </w:rPr>
                    <w:t>5.3</w:t>
                  </w:r>
                </w:p>
              </w:tc>
              <w:tc>
                <w:tcPr>
                  <w:tcW w:w="317" w:type="pct"/>
                  <w:tcBorders>
                    <w:tl2br w:val="nil"/>
                    <w:tr2bl w:val="nil"/>
                  </w:tcBorders>
                  <w:noWrap w:val="0"/>
                  <w:tcMar>
                    <w:top w:w="0" w:type="dxa"/>
                    <w:left w:w="0" w:type="dxa"/>
                    <w:bottom w:w="0" w:type="dxa"/>
                    <w:right w:w="0" w:type="dxa"/>
                  </w:tcMar>
                  <w:vAlign w:val="center"/>
                </w:tcPr>
                <w:p w14:paraId="5C9DAA54">
                  <w:pPr>
                    <w:pStyle w:val="15"/>
                    <w:bidi w:val="0"/>
                    <w:rPr>
                      <w:rFonts w:hint="default"/>
                      <w:color w:val="auto"/>
                    </w:rPr>
                  </w:pPr>
                </w:p>
              </w:tc>
            </w:tr>
            <w:tr w14:paraId="56877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37269A14">
                  <w:pPr>
                    <w:pStyle w:val="15"/>
                    <w:bidi w:val="0"/>
                    <w:rPr>
                      <w:rFonts w:hint="default"/>
                      <w:color w:val="auto"/>
                      <w:lang w:val="en-US" w:eastAsia="zh-CN"/>
                    </w:rPr>
                  </w:pPr>
                  <w:r>
                    <w:rPr>
                      <w:rFonts w:hint="default"/>
                      <w:color w:val="auto"/>
                      <w:lang w:val="en-US" w:eastAsia="zh-CN"/>
                    </w:rPr>
                    <w:t>7</w:t>
                  </w:r>
                </w:p>
              </w:tc>
              <w:tc>
                <w:tcPr>
                  <w:tcW w:w="909" w:type="pct"/>
                  <w:tcBorders>
                    <w:tl2br w:val="nil"/>
                    <w:tr2bl w:val="nil"/>
                  </w:tcBorders>
                  <w:noWrap w:val="0"/>
                  <w:tcMar>
                    <w:top w:w="0" w:type="dxa"/>
                    <w:left w:w="0" w:type="dxa"/>
                    <w:bottom w:w="0" w:type="dxa"/>
                    <w:right w:w="0" w:type="dxa"/>
                  </w:tcMar>
                  <w:vAlign w:val="center"/>
                </w:tcPr>
                <w:p w14:paraId="4603AEE6">
                  <w:pPr>
                    <w:pStyle w:val="15"/>
                    <w:bidi w:val="0"/>
                    <w:rPr>
                      <w:rFonts w:hint="default"/>
                      <w:color w:val="auto"/>
                      <w:lang w:val="en-US" w:eastAsia="zh-CN"/>
                    </w:rPr>
                  </w:pPr>
                  <w:r>
                    <w:rPr>
                      <w:rFonts w:hint="default"/>
                      <w:color w:val="auto"/>
                      <w:lang w:val="en-US" w:eastAsia="zh-CN"/>
                    </w:rPr>
                    <w:t>水位监测点2</w:t>
                  </w:r>
                </w:p>
                <w:p w14:paraId="4CFBD6C8">
                  <w:pPr>
                    <w:pStyle w:val="15"/>
                    <w:bidi w:val="0"/>
                    <w:rPr>
                      <w:rFonts w:hint="default"/>
                      <w:color w:val="auto"/>
                    </w:rPr>
                  </w:pPr>
                  <w:r>
                    <w:rPr>
                      <w:rFonts w:hint="eastAsia"/>
                      <w:color w:val="auto"/>
                      <w:lang w:val="en-US" w:eastAsia="zh-CN"/>
                    </w:rPr>
                    <w:t>（南-2）</w:t>
                  </w:r>
                </w:p>
              </w:tc>
              <w:tc>
                <w:tcPr>
                  <w:tcW w:w="708" w:type="pct"/>
                  <w:tcBorders>
                    <w:tl2br w:val="nil"/>
                    <w:tr2bl w:val="nil"/>
                  </w:tcBorders>
                  <w:noWrap w:val="0"/>
                  <w:tcMar>
                    <w:top w:w="0" w:type="dxa"/>
                    <w:left w:w="0" w:type="dxa"/>
                    <w:bottom w:w="0" w:type="dxa"/>
                    <w:right w:w="0" w:type="dxa"/>
                  </w:tcMar>
                  <w:vAlign w:val="center"/>
                </w:tcPr>
                <w:p w14:paraId="716A25A0">
                  <w:pPr>
                    <w:pStyle w:val="15"/>
                    <w:bidi w:val="0"/>
                    <w:rPr>
                      <w:rFonts w:hint="default"/>
                      <w:color w:val="auto"/>
                    </w:rPr>
                  </w:pPr>
                  <w:r>
                    <w:rPr>
                      <w:rFonts w:hint="default"/>
                      <w:color w:val="auto"/>
                    </w:rPr>
                    <w:t>84°52'10.07"</w:t>
                  </w:r>
                </w:p>
              </w:tc>
              <w:tc>
                <w:tcPr>
                  <w:tcW w:w="708" w:type="pct"/>
                  <w:tcBorders>
                    <w:tl2br w:val="nil"/>
                    <w:tr2bl w:val="nil"/>
                  </w:tcBorders>
                  <w:noWrap w:val="0"/>
                  <w:tcMar>
                    <w:top w:w="0" w:type="dxa"/>
                    <w:left w:w="0" w:type="dxa"/>
                    <w:bottom w:w="0" w:type="dxa"/>
                    <w:right w:w="0" w:type="dxa"/>
                  </w:tcMar>
                  <w:vAlign w:val="center"/>
                </w:tcPr>
                <w:p w14:paraId="1BC154E2">
                  <w:pPr>
                    <w:pStyle w:val="15"/>
                    <w:bidi w:val="0"/>
                    <w:rPr>
                      <w:rFonts w:hint="default"/>
                      <w:color w:val="auto"/>
                    </w:rPr>
                  </w:pPr>
                  <w:r>
                    <w:rPr>
                      <w:rFonts w:hint="default"/>
                      <w:color w:val="auto"/>
                    </w:rPr>
                    <w:t>44°51'17.64"</w:t>
                  </w:r>
                </w:p>
              </w:tc>
              <w:tc>
                <w:tcPr>
                  <w:tcW w:w="407" w:type="pct"/>
                  <w:tcBorders>
                    <w:tl2br w:val="nil"/>
                    <w:tr2bl w:val="nil"/>
                  </w:tcBorders>
                  <w:noWrap w:val="0"/>
                  <w:tcMar>
                    <w:top w:w="0" w:type="dxa"/>
                    <w:left w:w="0" w:type="dxa"/>
                    <w:bottom w:w="0" w:type="dxa"/>
                    <w:right w:w="0" w:type="dxa"/>
                  </w:tcMar>
                  <w:vAlign w:val="center"/>
                </w:tcPr>
                <w:p w14:paraId="21020493">
                  <w:pPr>
                    <w:pStyle w:val="15"/>
                    <w:bidi w:val="0"/>
                    <w:rPr>
                      <w:rFonts w:hint="default" w:eastAsia="宋体"/>
                      <w:color w:val="auto"/>
                      <w:lang w:val="en-US" w:eastAsia="zh-CN"/>
                    </w:rPr>
                  </w:pPr>
                  <w:r>
                    <w:rPr>
                      <w:rFonts w:hint="eastAsia"/>
                      <w:color w:val="auto"/>
                      <w:lang w:val="en-US" w:eastAsia="zh-CN"/>
                    </w:rPr>
                    <w:t>西北侧</w:t>
                  </w:r>
                </w:p>
              </w:tc>
              <w:tc>
                <w:tcPr>
                  <w:tcW w:w="407" w:type="pct"/>
                  <w:tcBorders>
                    <w:tl2br w:val="nil"/>
                    <w:tr2bl w:val="nil"/>
                  </w:tcBorders>
                  <w:noWrap w:val="0"/>
                  <w:tcMar>
                    <w:top w:w="0" w:type="dxa"/>
                    <w:left w:w="0" w:type="dxa"/>
                    <w:bottom w:w="0" w:type="dxa"/>
                    <w:right w:w="0" w:type="dxa"/>
                  </w:tcMar>
                  <w:vAlign w:val="center"/>
                </w:tcPr>
                <w:p w14:paraId="12AE454F">
                  <w:pPr>
                    <w:pStyle w:val="15"/>
                    <w:bidi w:val="0"/>
                    <w:rPr>
                      <w:rFonts w:hint="default"/>
                      <w:color w:val="auto"/>
                    </w:rPr>
                  </w:pPr>
                  <w:r>
                    <w:rPr>
                      <w:rFonts w:hint="eastAsia"/>
                      <w:color w:val="auto"/>
                      <w:lang w:val="en-US" w:eastAsia="zh-CN"/>
                    </w:rPr>
                    <w:t>1099</w:t>
                  </w:r>
                </w:p>
              </w:tc>
              <w:tc>
                <w:tcPr>
                  <w:tcW w:w="675" w:type="pct"/>
                  <w:tcBorders>
                    <w:tl2br w:val="nil"/>
                    <w:tr2bl w:val="nil"/>
                  </w:tcBorders>
                  <w:shd w:val="clear" w:color="auto" w:fill="auto"/>
                  <w:noWrap w:val="0"/>
                  <w:tcMar>
                    <w:top w:w="0" w:type="dxa"/>
                    <w:left w:w="0" w:type="dxa"/>
                    <w:bottom w:w="0" w:type="dxa"/>
                    <w:right w:w="0" w:type="dxa"/>
                  </w:tcMar>
                  <w:vAlign w:val="center"/>
                </w:tcPr>
                <w:p w14:paraId="054D7E71">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282ECB83">
                  <w:pPr>
                    <w:pStyle w:val="15"/>
                    <w:bidi w:val="0"/>
                    <w:rPr>
                      <w:rFonts w:hint="default"/>
                      <w:color w:val="auto"/>
                    </w:rPr>
                  </w:pPr>
                </w:p>
              </w:tc>
              <w:tc>
                <w:tcPr>
                  <w:tcW w:w="311" w:type="pct"/>
                  <w:tcBorders>
                    <w:tl2br w:val="nil"/>
                    <w:tr2bl w:val="nil"/>
                  </w:tcBorders>
                  <w:noWrap w:val="0"/>
                  <w:tcMar>
                    <w:top w:w="0" w:type="dxa"/>
                    <w:left w:w="0" w:type="dxa"/>
                    <w:bottom w:w="0" w:type="dxa"/>
                    <w:right w:w="0" w:type="dxa"/>
                  </w:tcMar>
                  <w:vAlign w:val="center"/>
                </w:tcPr>
                <w:p w14:paraId="0A7C2875">
                  <w:pPr>
                    <w:pStyle w:val="15"/>
                    <w:bidi w:val="0"/>
                    <w:rPr>
                      <w:rFonts w:hint="default" w:eastAsia="宋体"/>
                      <w:color w:val="auto"/>
                      <w:lang w:val="en-US" w:eastAsia="zh-CN"/>
                    </w:rPr>
                  </w:pPr>
                  <w:r>
                    <w:rPr>
                      <w:rFonts w:hint="eastAsia"/>
                      <w:color w:val="auto"/>
                      <w:lang w:val="en-US" w:eastAsia="zh-CN"/>
                    </w:rPr>
                    <w:t>6.2</w:t>
                  </w:r>
                </w:p>
              </w:tc>
              <w:tc>
                <w:tcPr>
                  <w:tcW w:w="317" w:type="pct"/>
                  <w:tcBorders>
                    <w:tl2br w:val="nil"/>
                    <w:tr2bl w:val="nil"/>
                  </w:tcBorders>
                  <w:noWrap w:val="0"/>
                  <w:tcMar>
                    <w:top w:w="0" w:type="dxa"/>
                    <w:left w:w="0" w:type="dxa"/>
                    <w:bottom w:w="0" w:type="dxa"/>
                    <w:right w:w="0" w:type="dxa"/>
                  </w:tcMar>
                  <w:vAlign w:val="center"/>
                </w:tcPr>
                <w:p w14:paraId="065FAB8A">
                  <w:pPr>
                    <w:pStyle w:val="15"/>
                    <w:bidi w:val="0"/>
                    <w:rPr>
                      <w:rFonts w:hint="default"/>
                      <w:color w:val="auto"/>
                    </w:rPr>
                  </w:pPr>
                </w:p>
              </w:tc>
            </w:tr>
            <w:tr w14:paraId="5A0EB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17A353C7">
                  <w:pPr>
                    <w:pStyle w:val="15"/>
                    <w:bidi w:val="0"/>
                    <w:rPr>
                      <w:rFonts w:hint="default"/>
                      <w:color w:val="auto"/>
                      <w:lang w:val="en-US" w:eastAsia="zh-CN"/>
                    </w:rPr>
                  </w:pPr>
                  <w:r>
                    <w:rPr>
                      <w:rFonts w:hint="default"/>
                      <w:color w:val="auto"/>
                      <w:lang w:val="en-US" w:eastAsia="zh-CN"/>
                    </w:rPr>
                    <w:t>8</w:t>
                  </w:r>
                </w:p>
              </w:tc>
              <w:tc>
                <w:tcPr>
                  <w:tcW w:w="909" w:type="pct"/>
                  <w:tcBorders>
                    <w:tl2br w:val="nil"/>
                    <w:tr2bl w:val="nil"/>
                  </w:tcBorders>
                  <w:noWrap w:val="0"/>
                  <w:tcMar>
                    <w:top w:w="0" w:type="dxa"/>
                    <w:left w:w="0" w:type="dxa"/>
                    <w:bottom w:w="0" w:type="dxa"/>
                    <w:right w:w="0" w:type="dxa"/>
                  </w:tcMar>
                  <w:vAlign w:val="center"/>
                </w:tcPr>
                <w:p w14:paraId="338A7219">
                  <w:pPr>
                    <w:pStyle w:val="15"/>
                    <w:bidi w:val="0"/>
                    <w:rPr>
                      <w:rFonts w:hint="default"/>
                      <w:color w:val="auto"/>
                      <w:lang w:val="en-US" w:eastAsia="zh-CN"/>
                    </w:rPr>
                  </w:pPr>
                  <w:r>
                    <w:rPr>
                      <w:rFonts w:hint="default"/>
                      <w:color w:val="auto"/>
                      <w:lang w:val="en-US" w:eastAsia="zh-CN"/>
                    </w:rPr>
                    <w:t>水位监测点3</w:t>
                  </w:r>
                </w:p>
                <w:p w14:paraId="107E199A">
                  <w:pPr>
                    <w:pStyle w:val="15"/>
                    <w:bidi w:val="0"/>
                    <w:rPr>
                      <w:rFonts w:hint="default"/>
                      <w:color w:val="auto"/>
                    </w:rPr>
                  </w:pPr>
                  <w:r>
                    <w:rPr>
                      <w:rFonts w:hint="eastAsia"/>
                      <w:color w:val="auto"/>
                      <w:lang w:val="en-US" w:eastAsia="zh-CN"/>
                    </w:rPr>
                    <w:t>（南-5）</w:t>
                  </w:r>
                </w:p>
              </w:tc>
              <w:tc>
                <w:tcPr>
                  <w:tcW w:w="708" w:type="pct"/>
                  <w:tcBorders>
                    <w:tl2br w:val="nil"/>
                    <w:tr2bl w:val="nil"/>
                  </w:tcBorders>
                  <w:noWrap w:val="0"/>
                  <w:tcMar>
                    <w:top w:w="0" w:type="dxa"/>
                    <w:left w:w="0" w:type="dxa"/>
                    <w:bottom w:w="0" w:type="dxa"/>
                    <w:right w:w="0" w:type="dxa"/>
                  </w:tcMar>
                  <w:vAlign w:val="center"/>
                </w:tcPr>
                <w:p w14:paraId="5B66E671">
                  <w:pPr>
                    <w:pStyle w:val="15"/>
                    <w:bidi w:val="0"/>
                    <w:rPr>
                      <w:rFonts w:hint="default"/>
                      <w:color w:val="auto"/>
                    </w:rPr>
                  </w:pPr>
                  <w:r>
                    <w:rPr>
                      <w:rFonts w:hint="default"/>
                      <w:color w:val="auto"/>
                    </w:rPr>
                    <w:t>84°51'21.84"</w:t>
                  </w:r>
                </w:p>
              </w:tc>
              <w:tc>
                <w:tcPr>
                  <w:tcW w:w="708" w:type="pct"/>
                  <w:tcBorders>
                    <w:tl2br w:val="nil"/>
                    <w:tr2bl w:val="nil"/>
                  </w:tcBorders>
                  <w:noWrap w:val="0"/>
                  <w:tcMar>
                    <w:top w:w="0" w:type="dxa"/>
                    <w:left w:w="0" w:type="dxa"/>
                    <w:bottom w:w="0" w:type="dxa"/>
                    <w:right w:w="0" w:type="dxa"/>
                  </w:tcMar>
                  <w:vAlign w:val="center"/>
                </w:tcPr>
                <w:p w14:paraId="04CC6822">
                  <w:pPr>
                    <w:pStyle w:val="15"/>
                    <w:bidi w:val="0"/>
                    <w:rPr>
                      <w:rFonts w:hint="default"/>
                      <w:color w:val="auto"/>
                    </w:rPr>
                  </w:pPr>
                  <w:r>
                    <w:rPr>
                      <w:rFonts w:hint="default"/>
                      <w:color w:val="auto"/>
                    </w:rPr>
                    <w:t>44°50'46.48"</w:t>
                  </w:r>
                </w:p>
              </w:tc>
              <w:tc>
                <w:tcPr>
                  <w:tcW w:w="407" w:type="pct"/>
                  <w:tcBorders>
                    <w:tl2br w:val="nil"/>
                    <w:tr2bl w:val="nil"/>
                  </w:tcBorders>
                  <w:noWrap w:val="0"/>
                  <w:tcMar>
                    <w:top w:w="0" w:type="dxa"/>
                    <w:left w:w="0" w:type="dxa"/>
                    <w:bottom w:w="0" w:type="dxa"/>
                    <w:right w:w="0" w:type="dxa"/>
                  </w:tcMar>
                  <w:vAlign w:val="center"/>
                </w:tcPr>
                <w:p w14:paraId="4E5D853E">
                  <w:pPr>
                    <w:pStyle w:val="15"/>
                    <w:bidi w:val="0"/>
                    <w:rPr>
                      <w:rFonts w:hint="eastAsia" w:eastAsia="宋体"/>
                      <w:color w:val="auto"/>
                      <w:lang w:val="en-US" w:eastAsia="zh-CN"/>
                    </w:rPr>
                  </w:pPr>
                  <w:r>
                    <w:rPr>
                      <w:rFonts w:hint="eastAsia"/>
                      <w:color w:val="auto"/>
                      <w:lang w:val="en-US" w:eastAsia="zh-CN"/>
                    </w:rPr>
                    <w:t>西侧</w:t>
                  </w:r>
                </w:p>
              </w:tc>
              <w:tc>
                <w:tcPr>
                  <w:tcW w:w="407" w:type="pct"/>
                  <w:tcBorders>
                    <w:tl2br w:val="nil"/>
                    <w:tr2bl w:val="nil"/>
                  </w:tcBorders>
                  <w:noWrap w:val="0"/>
                  <w:tcMar>
                    <w:top w:w="0" w:type="dxa"/>
                    <w:left w:w="0" w:type="dxa"/>
                    <w:bottom w:w="0" w:type="dxa"/>
                    <w:right w:w="0" w:type="dxa"/>
                  </w:tcMar>
                  <w:vAlign w:val="center"/>
                </w:tcPr>
                <w:p w14:paraId="38695AA7">
                  <w:pPr>
                    <w:pStyle w:val="15"/>
                    <w:bidi w:val="0"/>
                    <w:rPr>
                      <w:rFonts w:hint="default" w:eastAsia="宋体"/>
                      <w:color w:val="auto"/>
                      <w:lang w:val="en-US" w:eastAsia="zh-CN"/>
                    </w:rPr>
                  </w:pPr>
                  <w:r>
                    <w:rPr>
                      <w:rFonts w:hint="eastAsia"/>
                      <w:color w:val="auto"/>
                      <w:lang w:val="en-US" w:eastAsia="zh-CN"/>
                    </w:rPr>
                    <w:t>1511</w:t>
                  </w:r>
                </w:p>
              </w:tc>
              <w:tc>
                <w:tcPr>
                  <w:tcW w:w="675" w:type="pct"/>
                  <w:tcBorders>
                    <w:tl2br w:val="nil"/>
                    <w:tr2bl w:val="nil"/>
                  </w:tcBorders>
                  <w:shd w:val="clear" w:color="auto" w:fill="auto"/>
                  <w:noWrap w:val="0"/>
                  <w:tcMar>
                    <w:top w:w="0" w:type="dxa"/>
                    <w:left w:w="0" w:type="dxa"/>
                    <w:bottom w:w="0" w:type="dxa"/>
                    <w:right w:w="0" w:type="dxa"/>
                  </w:tcMar>
                  <w:vAlign w:val="center"/>
                </w:tcPr>
                <w:p w14:paraId="5AF8308A">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56058081">
                  <w:pPr>
                    <w:pStyle w:val="15"/>
                    <w:bidi w:val="0"/>
                    <w:rPr>
                      <w:rFonts w:hint="default"/>
                      <w:color w:val="auto"/>
                    </w:rPr>
                  </w:pPr>
                </w:p>
              </w:tc>
              <w:tc>
                <w:tcPr>
                  <w:tcW w:w="311" w:type="pct"/>
                  <w:tcBorders>
                    <w:tl2br w:val="nil"/>
                    <w:tr2bl w:val="nil"/>
                  </w:tcBorders>
                  <w:noWrap w:val="0"/>
                  <w:tcMar>
                    <w:top w:w="0" w:type="dxa"/>
                    <w:left w:w="0" w:type="dxa"/>
                    <w:bottom w:w="0" w:type="dxa"/>
                    <w:right w:w="0" w:type="dxa"/>
                  </w:tcMar>
                  <w:vAlign w:val="center"/>
                </w:tcPr>
                <w:p w14:paraId="3D89B7DD">
                  <w:pPr>
                    <w:pStyle w:val="15"/>
                    <w:bidi w:val="0"/>
                    <w:rPr>
                      <w:rFonts w:hint="default" w:eastAsia="宋体"/>
                      <w:color w:val="auto"/>
                      <w:lang w:val="en-US" w:eastAsia="zh-CN"/>
                    </w:rPr>
                  </w:pPr>
                  <w:r>
                    <w:rPr>
                      <w:rFonts w:hint="eastAsia"/>
                      <w:color w:val="auto"/>
                      <w:lang w:val="en-US" w:eastAsia="zh-CN"/>
                    </w:rPr>
                    <w:t>6.4</w:t>
                  </w:r>
                </w:p>
              </w:tc>
              <w:tc>
                <w:tcPr>
                  <w:tcW w:w="317" w:type="pct"/>
                  <w:tcBorders>
                    <w:tl2br w:val="nil"/>
                    <w:tr2bl w:val="nil"/>
                  </w:tcBorders>
                  <w:noWrap w:val="0"/>
                  <w:tcMar>
                    <w:top w:w="0" w:type="dxa"/>
                    <w:left w:w="0" w:type="dxa"/>
                    <w:bottom w:w="0" w:type="dxa"/>
                    <w:right w:w="0" w:type="dxa"/>
                  </w:tcMar>
                  <w:vAlign w:val="center"/>
                </w:tcPr>
                <w:p w14:paraId="28957DBB">
                  <w:pPr>
                    <w:pStyle w:val="15"/>
                    <w:bidi w:val="0"/>
                    <w:rPr>
                      <w:rFonts w:hint="default"/>
                      <w:color w:val="auto"/>
                    </w:rPr>
                  </w:pPr>
                </w:p>
              </w:tc>
            </w:tr>
            <w:tr w14:paraId="53A93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12DA1EF2">
                  <w:pPr>
                    <w:pStyle w:val="15"/>
                    <w:bidi w:val="0"/>
                    <w:rPr>
                      <w:rFonts w:hint="default"/>
                      <w:color w:val="auto"/>
                      <w:lang w:val="en-US" w:eastAsia="zh-CN"/>
                    </w:rPr>
                  </w:pPr>
                  <w:r>
                    <w:rPr>
                      <w:rFonts w:hint="default"/>
                      <w:color w:val="auto"/>
                      <w:lang w:val="en-US" w:eastAsia="zh-CN"/>
                    </w:rPr>
                    <w:t>9</w:t>
                  </w:r>
                </w:p>
              </w:tc>
              <w:tc>
                <w:tcPr>
                  <w:tcW w:w="909" w:type="pct"/>
                  <w:tcBorders>
                    <w:tl2br w:val="nil"/>
                    <w:tr2bl w:val="nil"/>
                  </w:tcBorders>
                  <w:noWrap w:val="0"/>
                  <w:tcMar>
                    <w:top w:w="0" w:type="dxa"/>
                    <w:left w:w="0" w:type="dxa"/>
                    <w:bottom w:w="0" w:type="dxa"/>
                    <w:right w:w="0" w:type="dxa"/>
                  </w:tcMar>
                  <w:vAlign w:val="center"/>
                </w:tcPr>
                <w:p w14:paraId="54029E38">
                  <w:pPr>
                    <w:pStyle w:val="15"/>
                    <w:bidi w:val="0"/>
                    <w:rPr>
                      <w:rFonts w:hint="default"/>
                      <w:color w:val="auto"/>
                      <w:lang w:val="en-US" w:eastAsia="zh-CN"/>
                    </w:rPr>
                  </w:pPr>
                  <w:r>
                    <w:rPr>
                      <w:rFonts w:hint="default"/>
                      <w:color w:val="auto"/>
                      <w:lang w:val="en-US" w:eastAsia="zh-CN"/>
                    </w:rPr>
                    <w:t>水位监测点4</w:t>
                  </w:r>
                </w:p>
                <w:p w14:paraId="6DE22766">
                  <w:pPr>
                    <w:pStyle w:val="15"/>
                    <w:bidi w:val="0"/>
                    <w:rPr>
                      <w:rFonts w:hint="default"/>
                      <w:color w:val="auto"/>
                    </w:rPr>
                  </w:pPr>
                  <w:r>
                    <w:rPr>
                      <w:rFonts w:hint="eastAsia"/>
                      <w:color w:val="auto"/>
                      <w:lang w:val="en-US" w:eastAsia="zh-CN"/>
                    </w:rPr>
                    <w:t>（南-4）</w:t>
                  </w:r>
                </w:p>
              </w:tc>
              <w:tc>
                <w:tcPr>
                  <w:tcW w:w="708" w:type="pct"/>
                  <w:tcBorders>
                    <w:tl2br w:val="nil"/>
                    <w:tr2bl w:val="nil"/>
                  </w:tcBorders>
                  <w:noWrap w:val="0"/>
                  <w:tcMar>
                    <w:top w:w="0" w:type="dxa"/>
                    <w:left w:w="0" w:type="dxa"/>
                    <w:bottom w:w="0" w:type="dxa"/>
                    <w:right w:w="0" w:type="dxa"/>
                  </w:tcMar>
                  <w:vAlign w:val="center"/>
                </w:tcPr>
                <w:p w14:paraId="34B9A8BA">
                  <w:pPr>
                    <w:pStyle w:val="15"/>
                    <w:bidi w:val="0"/>
                    <w:rPr>
                      <w:rFonts w:hint="default"/>
                      <w:color w:val="auto"/>
                    </w:rPr>
                  </w:pPr>
                  <w:r>
                    <w:rPr>
                      <w:rFonts w:hint="default"/>
                      <w:color w:val="auto"/>
                    </w:rPr>
                    <w:t>84°53'05.46"</w:t>
                  </w:r>
                </w:p>
              </w:tc>
              <w:tc>
                <w:tcPr>
                  <w:tcW w:w="708" w:type="pct"/>
                  <w:tcBorders>
                    <w:tl2br w:val="nil"/>
                    <w:tr2bl w:val="nil"/>
                  </w:tcBorders>
                  <w:noWrap w:val="0"/>
                  <w:tcMar>
                    <w:top w:w="0" w:type="dxa"/>
                    <w:left w:w="0" w:type="dxa"/>
                    <w:bottom w:w="0" w:type="dxa"/>
                    <w:right w:w="0" w:type="dxa"/>
                  </w:tcMar>
                  <w:vAlign w:val="center"/>
                </w:tcPr>
                <w:p w14:paraId="7C8321A9">
                  <w:pPr>
                    <w:pStyle w:val="15"/>
                    <w:bidi w:val="0"/>
                    <w:rPr>
                      <w:rFonts w:hint="default"/>
                      <w:color w:val="auto"/>
                    </w:rPr>
                  </w:pPr>
                  <w:r>
                    <w:rPr>
                      <w:rFonts w:hint="default"/>
                      <w:color w:val="auto"/>
                    </w:rPr>
                    <w:t>44°51'53.01"</w:t>
                  </w:r>
                </w:p>
              </w:tc>
              <w:tc>
                <w:tcPr>
                  <w:tcW w:w="407" w:type="pct"/>
                  <w:tcBorders>
                    <w:tl2br w:val="nil"/>
                    <w:tr2bl w:val="nil"/>
                  </w:tcBorders>
                  <w:shd w:val="clear" w:color="auto" w:fill="auto"/>
                  <w:noWrap w:val="0"/>
                  <w:tcMar>
                    <w:top w:w="0" w:type="dxa"/>
                    <w:left w:w="0" w:type="dxa"/>
                    <w:bottom w:w="0" w:type="dxa"/>
                    <w:right w:w="0" w:type="dxa"/>
                  </w:tcMar>
                  <w:vAlign w:val="center"/>
                </w:tcPr>
                <w:p w14:paraId="7F288C03">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eastAsia="宋体" w:cstheme="minorBidi"/>
                      <w:color w:val="auto"/>
                      <w:kern w:val="2"/>
                      <w:sz w:val="21"/>
                      <w:szCs w:val="21"/>
                      <w:lang w:val="en-US" w:eastAsia="zh-CN" w:bidi="ar-SA"/>
                    </w:rPr>
                    <w:t>北侧</w:t>
                  </w:r>
                </w:p>
              </w:tc>
              <w:tc>
                <w:tcPr>
                  <w:tcW w:w="407" w:type="pct"/>
                  <w:tcBorders>
                    <w:tl2br w:val="nil"/>
                    <w:tr2bl w:val="nil"/>
                  </w:tcBorders>
                  <w:shd w:val="clear" w:color="auto" w:fill="auto"/>
                  <w:noWrap w:val="0"/>
                  <w:tcMar>
                    <w:top w:w="0" w:type="dxa"/>
                    <w:left w:w="0" w:type="dxa"/>
                    <w:bottom w:w="0" w:type="dxa"/>
                    <w:right w:w="0" w:type="dxa"/>
                  </w:tcMar>
                  <w:vAlign w:val="center"/>
                </w:tcPr>
                <w:p w14:paraId="51245B38">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color w:val="auto"/>
                      <w:lang w:val="en-US" w:eastAsia="zh-CN"/>
                    </w:rPr>
                    <w:t>2102</w:t>
                  </w:r>
                </w:p>
              </w:tc>
              <w:tc>
                <w:tcPr>
                  <w:tcW w:w="675" w:type="pct"/>
                  <w:tcBorders>
                    <w:tl2br w:val="nil"/>
                    <w:tr2bl w:val="nil"/>
                  </w:tcBorders>
                  <w:shd w:val="clear" w:color="auto" w:fill="auto"/>
                  <w:noWrap w:val="0"/>
                  <w:tcMar>
                    <w:top w:w="0" w:type="dxa"/>
                    <w:left w:w="0" w:type="dxa"/>
                    <w:bottom w:w="0" w:type="dxa"/>
                    <w:right w:w="0" w:type="dxa"/>
                  </w:tcMar>
                  <w:vAlign w:val="center"/>
                </w:tcPr>
                <w:p w14:paraId="2638550A">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541B05D6">
                  <w:pPr>
                    <w:pStyle w:val="15"/>
                    <w:bidi w:val="0"/>
                    <w:rPr>
                      <w:rFonts w:hint="default"/>
                      <w:color w:val="auto"/>
                    </w:rPr>
                  </w:pPr>
                </w:p>
              </w:tc>
              <w:tc>
                <w:tcPr>
                  <w:tcW w:w="311" w:type="pct"/>
                  <w:tcBorders>
                    <w:tl2br w:val="nil"/>
                    <w:tr2bl w:val="nil"/>
                  </w:tcBorders>
                  <w:noWrap w:val="0"/>
                  <w:tcMar>
                    <w:top w:w="0" w:type="dxa"/>
                    <w:left w:w="0" w:type="dxa"/>
                    <w:bottom w:w="0" w:type="dxa"/>
                    <w:right w:w="0" w:type="dxa"/>
                  </w:tcMar>
                  <w:vAlign w:val="center"/>
                </w:tcPr>
                <w:p w14:paraId="5965FFE0">
                  <w:pPr>
                    <w:pStyle w:val="15"/>
                    <w:bidi w:val="0"/>
                    <w:rPr>
                      <w:rFonts w:hint="default" w:eastAsia="宋体"/>
                      <w:color w:val="auto"/>
                      <w:lang w:val="en-US" w:eastAsia="zh-CN"/>
                    </w:rPr>
                  </w:pPr>
                  <w:r>
                    <w:rPr>
                      <w:rFonts w:hint="eastAsia"/>
                      <w:color w:val="auto"/>
                      <w:lang w:val="en-US" w:eastAsia="zh-CN"/>
                    </w:rPr>
                    <w:t>5.7</w:t>
                  </w:r>
                </w:p>
              </w:tc>
              <w:tc>
                <w:tcPr>
                  <w:tcW w:w="317" w:type="pct"/>
                  <w:tcBorders>
                    <w:tl2br w:val="nil"/>
                    <w:tr2bl w:val="nil"/>
                  </w:tcBorders>
                  <w:noWrap w:val="0"/>
                  <w:tcMar>
                    <w:top w:w="0" w:type="dxa"/>
                    <w:left w:w="0" w:type="dxa"/>
                    <w:bottom w:w="0" w:type="dxa"/>
                    <w:right w:w="0" w:type="dxa"/>
                  </w:tcMar>
                  <w:vAlign w:val="center"/>
                </w:tcPr>
                <w:p w14:paraId="7F55F27F">
                  <w:pPr>
                    <w:pStyle w:val="15"/>
                    <w:bidi w:val="0"/>
                    <w:rPr>
                      <w:rFonts w:hint="default"/>
                      <w:color w:val="auto"/>
                    </w:rPr>
                  </w:pPr>
                </w:p>
              </w:tc>
            </w:tr>
            <w:tr w14:paraId="2EE0C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tcBorders>
                    <w:tl2br w:val="nil"/>
                    <w:tr2bl w:val="nil"/>
                  </w:tcBorders>
                  <w:noWrap w:val="0"/>
                  <w:tcMar>
                    <w:top w:w="0" w:type="dxa"/>
                    <w:left w:w="0" w:type="dxa"/>
                    <w:bottom w:w="0" w:type="dxa"/>
                    <w:right w:w="0" w:type="dxa"/>
                  </w:tcMar>
                  <w:vAlign w:val="center"/>
                </w:tcPr>
                <w:p w14:paraId="03A6471B">
                  <w:pPr>
                    <w:pStyle w:val="15"/>
                    <w:bidi w:val="0"/>
                    <w:rPr>
                      <w:rFonts w:hint="default"/>
                      <w:color w:val="auto"/>
                      <w:lang w:val="en-US" w:eastAsia="zh-CN"/>
                    </w:rPr>
                  </w:pPr>
                  <w:r>
                    <w:rPr>
                      <w:rFonts w:hint="default"/>
                      <w:color w:val="auto"/>
                      <w:lang w:val="en-US" w:eastAsia="zh-CN"/>
                    </w:rPr>
                    <w:t>10</w:t>
                  </w:r>
                </w:p>
              </w:tc>
              <w:tc>
                <w:tcPr>
                  <w:tcW w:w="909" w:type="pct"/>
                  <w:tcBorders>
                    <w:tl2br w:val="nil"/>
                    <w:tr2bl w:val="nil"/>
                  </w:tcBorders>
                  <w:noWrap w:val="0"/>
                  <w:tcMar>
                    <w:top w:w="0" w:type="dxa"/>
                    <w:left w:w="0" w:type="dxa"/>
                    <w:bottom w:w="0" w:type="dxa"/>
                    <w:right w:w="0" w:type="dxa"/>
                  </w:tcMar>
                  <w:vAlign w:val="center"/>
                </w:tcPr>
                <w:p w14:paraId="5D46C5FA">
                  <w:pPr>
                    <w:pStyle w:val="15"/>
                    <w:bidi w:val="0"/>
                    <w:rPr>
                      <w:rFonts w:hint="default"/>
                      <w:color w:val="auto"/>
                      <w:lang w:val="en-US" w:eastAsia="zh-CN"/>
                    </w:rPr>
                  </w:pPr>
                  <w:r>
                    <w:rPr>
                      <w:rFonts w:hint="default"/>
                      <w:color w:val="auto"/>
                      <w:lang w:val="en-US" w:eastAsia="zh-CN"/>
                    </w:rPr>
                    <w:t>水位监测点5</w:t>
                  </w:r>
                </w:p>
                <w:p w14:paraId="74DBA198">
                  <w:pPr>
                    <w:pStyle w:val="15"/>
                    <w:bidi w:val="0"/>
                    <w:rPr>
                      <w:rFonts w:hint="default"/>
                      <w:color w:val="auto"/>
                    </w:rPr>
                  </w:pPr>
                  <w:r>
                    <w:rPr>
                      <w:rFonts w:hint="eastAsia"/>
                      <w:color w:val="auto"/>
                      <w:lang w:val="en-US" w:eastAsia="zh-CN"/>
                    </w:rPr>
                    <w:t>（南-18）</w:t>
                  </w:r>
                </w:p>
              </w:tc>
              <w:tc>
                <w:tcPr>
                  <w:tcW w:w="708" w:type="pct"/>
                  <w:tcBorders>
                    <w:tl2br w:val="nil"/>
                    <w:tr2bl w:val="nil"/>
                  </w:tcBorders>
                  <w:noWrap w:val="0"/>
                  <w:tcMar>
                    <w:top w:w="0" w:type="dxa"/>
                    <w:left w:w="0" w:type="dxa"/>
                    <w:bottom w:w="0" w:type="dxa"/>
                    <w:right w:w="0" w:type="dxa"/>
                  </w:tcMar>
                  <w:vAlign w:val="center"/>
                </w:tcPr>
                <w:p w14:paraId="37A91350">
                  <w:pPr>
                    <w:pStyle w:val="15"/>
                    <w:bidi w:val="0"/>
                    <w:rPr>
                      <w:rFonts w:hint="default"/>
                      <w:color w:val="auto"/>
                    </w:rPr>
                  </w:pPr>
                  <w:r>
                    <w:rPr>
                      <w:rFonts w:hint="default"/>
                      <w:color w:val="auto"/>
                    </w:rPr>
                    <w:t>84°52'42.31"</w:t>
                  </w:r>
                </w:p>
              </w:tc>
              <w:tc>
                <w:tcPr>
                  <w:tcW w:w="708" w:type="pct"/>
                  <w:tcBorders>
                    <w:tl2br w:val="nil"/>
                    <w:tr2bl w:val="nil"/>
                  </w:tcBorders>
                  <w:noWrap w:val="0"/>
                  <w:tcMar>
                    <w:top w:w="0" w:type="dxa"/>
                    <w:left w:w="0" w:type="dxa"/>
                    <w:bottom w:w="0" w:type="dxa"/>
                    <w:right w:w="0" w:type="dxa"/>
                  </w:tcMar>
                  <w:vAlign w:val="center"/>
                </w:tcPr>
                <w:p w14:paraId="5061CD13">
                  <w:pPr>
                    <w:pStyle w:val="15"/>
                    <w:bidi w:val="0"/>
                    <w:rPr>
                      <w:rFonts w:hint="default"/>
                      <w:color w:val="auto"/>
                    </w:rPr>
                  </w:pPr>
                  <w:r>
                    <w:rPr>
                      <w:rFonts w:hint="default"/>
                      <w:color w:val="auto"/>
                    </w:rPr>
                    <w:t>44°49'01.41"</w:t>
                  </w:r>
                </w:p>
              </w:tc>
              <w:tc>
                <w:tcPr>
                  <w:tcW w:w="407" w:type="pct"/>
                  <w:tcBorders>
                    <w:tl2br w:val="nil"/>
                    <w:tr2bl w:val="nil"/>
                  </w:tcBorders>
                  <w:noWrap w:val="0"/>
                  <w:tcMar>
                    <w:top w:w="0" w:type="dxa"/>
                    <w:left w:w="0" w:type="dxa"/>
                    <w:bottom w:w="0" w:type="dxa"/>
                    <w:right w:w="0" w:type="dxa"/>
                  </w:tcMar>
                  <w:vAlign w:val="center"/>
                </w:tcPr>
                <w:p w14:paraId="24DD53C1">
                  <w:pPr>
                    <w:pStyle w:val="15"/>
                    <w:bidi w:val="0"/>
                    <w:rPr>
                      <w:rFonts w:hint="eastAsia"/>
                      <w:color w:val="auto"/>
                      <w:lang w:val="en-US" w:eastAsia="zh-CN"/>
                    </w:rPr>
                  </w:pPr>
                  <w:r>
                    <w:rPr>
                      <w:rFonts w:hint="eastAsia"/>
                      <w:color w:val="auto"/>
                      <w:lang w:val="en-US" w:eastAsia="zh-CN"/>
                    </w:rPr>
                    <w:t>南侧</w:t>
                  </w:r>
                </w:p>
              </w:tc>
              <w:tc>
                <w:tcPr>
                  <w:tcW w:w="407" w:type="pct"/>
                  <w:tcBorders>
                    <w:tl2br w:val="nil"/>
                    <w:tr2bl w:val="nil"/>
                  </w:tcBorders>
                  <w:noWrap w:val="0"/>
                  <w:tcMar>
                    <w:top w:w="0" w:type="dxa"/>
                    <w:left w:w="0" w:type="dxa"/>
                    <w:bottom w:w="0" w:type="dxa"/>
                    <w:right w:w="0" w:type="dxa"/>
                  </w:tcMar>
                  <w:vAlign w:val="center"/>
                </w:tcPr>
                <w:p w14:paraId="75F53CF5">
                  <w:pPr>
                    <w:pStyle w:val="15"/>
                    <w:bidi w:val="0"/>
                    <w:rPr>
                      <w:rFonts w:hint="default" w:eastAsia="宋体"/>
                      <w:color w:val="auto"/>
                      <w:lang w:val="en-US" w:eastAsia="zh-CN"/>
                    </w:rPr>
                  </w:pPr>
                  <w:r>
                    <w:rPr>
                      <w:rFonts w:hint="eastAsia"/>
                      <w:color w:val="auto"/>
                      <w:lang w:val="en-US" w:eastAsia="zh-CN"/>
                    </w:rPr>
                    <w:t>2657</w:t>
                  </w:r>
                </w:p>
              </w:tc>
              <w:tc>
                <w:tcPr>
                  <w:tcW w:w="675" w:type="pct"/>
                  <w:tcBorders>
                    <w:tl2br w:val="nil"/>
                    <w:tr2bl w:val="nil"/>
                  </w:tcBorders>
                  <w:shd w:val="clear" w:color="auto" w:fill="auto"/>
                  <w:noWrap w:val="0"/>
                  <w:tcMar>
                    <w:top w:w="0" w:type="dxa"/>
                    <w:left w:w="0" w:type="dxa"/>
                    <w:bottom w:w="0" w:type="dxa"/>
                    <w:right w:w="0" w:type="dxa"/>
                  </w:tcMar>
                  <w:vAlign w:val="center"/>
                </w:tcPr>
                <w:p w14:paraId="7E702CE0">
                  <w:pPr>
                    <w:pStyle w:val="15"/>
                    <w:bidi w:val="0"/>
                    <w:ind w:left="0" w:leftChars="0" w:firstLine="0" w:firstLineChars="0"/>
                    <w:rPr>
                      <w:rFonts w:hint="default" w:ascii="Times New Roman" w:hAnsi="Times New Roman" w:eastAsia="宋体" w:cstheme="minorBidi"/>
                      <w:color w:val="auto"/>
                      <w:kern w:val="2"/>
                      <w:sz w:val="21"/>
                      <w:szCs w:val="21"/>
                      <w:lang w:val="en-US" w:eastAsia="zh-CN" w:bidi="ar-SA"/>
                    </w:rPr>
                  </w:pPr>
                  <w:r>
                    <w:rPr>
                      <w:rFonts w:hint="eastAsia"/>
                      <w:color w:val="auto"/>
                      <w:lang w:val="en-US" w:eastAsia="zh-CN"/>
                    </w:rPr>
                    <w:t>潜水含水层</w:t>
                  </w:r>
                </w:p>
              </w:tc>
              <w:tc>
                <w:tcPr>
                  <w:tcW w:w="273" w:type="pct"/>
                  <w:tcBorders>
                    <w:tl2br w:val="nil"/>
                    <w:tr2bl w:val="nil"/>
                  </w:tcBorders>
                  <w:noWrap w:val="0"/>
                  <w:tcMar>
                    <w:top w:w="0" w:type="dxa"/>
                    <w:left w:w="0" w:type="dxa"/>
                    <w:bottom w:w="0" w:type="dxa"/>
                    <w:right w:w="0" w:type="dxa"/>
                  </w:tcMar>
                  <w:vAlign w:val="center"/>
                </w:tcPr>
                <w:p w14:paraId="395C902F">
                  <w:pPr>
                    <w:pStyle w:val="15"/>
                    <w:bidi w:val="0"/>
                    <w:rPr>
                      <w:rFonts w:hint="default"/>
                      <w:color w:val="auto"/>
                    </w:rPr>
                  </w:pPr>
                </w:p>
              </w:tc>
              <w:tc>
                <w:tcPr>
                  <w:tcW w:w="311" w:type="pct"/>
                  <w:tcBorders>
                    <w:tl2br w:val="nil"/>
                    <w:tr2bl w:val="nil"/>
                  </w:tcBorders>
                  <w:noWrap w:val="0"/>
                  <w:tcMar>
                    <w:top w:w="0" w:type="dxa"/>
                    <w:left w:w="0" w:type="dxa"/>
                    <w:bottom w:w="0" w:type="dxa"/>
                    <w:right w:w="0" w:type="dxa"/>
                  </w:tcMar>
                  <w:vAlign w:val="center"/>
                </w:tcPr>
                <w:p w14:paraId="7BE9E545">
                  <w:pPr>
                    <w:pStyle w:val="15"/>
                    <w:bidi w:val="0"/>
                    <w:rPr>
                      <w:rFonts w:hint="default" w:eastAsia="宋体"/>
                      <w:color w:val="auto"/>
                      <w:lang w:val="en-US" w:eastAsia="zh-CN"/>
                    </w:rPr>
                  </w:pPr>
                  <w:r>
                    <w:rPr>
                      <w:rFonts w:hint="eastAsia"/>
                      <w:color w:val="auto"/>
                      <w:lang w:val="en-US" w:eastAsia="zh-CN"/>
                    </w:rPr>
                    <w:t>4.9</w:t>
                  </w:r>
                </w:p>
              </w:tc>
              <w:tc>
                <w:tcPr>
                  <w:tcW w:w="317" w:type="pct"/>
                  <w:tcBorders>
                    <w:tl2br w:val="nil"/>
                    <w:tr2bl w:val="nil"/>
                  </w:tcBorders>
                  <w:noWrap w:val="0"/>
                  <w:tcMar>
                    <w:top w:w="0" w:type="dxa"/>
                    <w:left w:w="0" w:type="dxa"/>
                    <w:bottom w:w="0" w:type="dxa"/>
                    <w:right w:w="0" w:type="dxa"/>
                  </w:tcMar>
                  <w:vAlign w:val="center"/>
                </w:tcPr>
                <w:p w14:paraId="750A20CC">
                  <w:pPr>
                    <w:pStyle w:val="15"/>
                    <w:bidi w:val="0"/>
                    <w:rPr>
                      <w:rFonts w:hint="default"/>
                      <w:color w:val="auto"/>
                    </w:rPr>
                  </w:pPr>
                </w:p>
              </w:tc>
            </w:tr>
          </w:tbl>
          <w:p w14:paraId="0D30B336">
            <w:pPr>
              <w:rPr>
                <w:rFonts w:hint="default"/>
                <w:color w:val="auto"/>
                <w:lang w:val="en-US" w:eastAsia="zh-CN"/>
              </w:rPr>
            </w:pPr>
            <w:r>
              <w:rPr>
                <w:rFonts w:hint="eastAsia"/>
                <w:color w:val="auto"/>
                <w:lang w:val="en-US" w:eastAsia="zh-CN"/>
              </w:rPr>
              <w:t>（2）监测项目</w:t>
            </w:r>
          </w:p>
          <w:p w14:paraId="7A6BB771">
            <w:pPr>
              <w:ind w:firstLine="480"/>
              <w:outlineLvl w:val="9"/>
              <w:rPr>
                <w:rFonts w:cs="Times New Roman"/>
                <w:color w:val="auto"/>
                <w:highlight w:val="none"/>
              </w:rPr>
            </w:pPr>
            <w:r>
              <w:rPr>
                <w:rFonts w:hint="eastAsia" w:cs="Times New Roman"/>
                <w:color w:val="auto"/>
                <w:highlight w:val="none"/>
              </w:rPr>
              <w:t>本项目地下水环境各监测点位监测因子</w:t>
            </w:r>
            <w:r>
              <w:rPr>
                <w:rFonts w:cs="Times New Roman"/>
                <w:color w:val="auto"/>
                <w:highlight w:val="none"/>
              </w:rPr>
              <w:t>见</w:t>
            </w:r>
            <w:r>
              <w:rPr>
                <w:rFonts w:hint="eastAsia" w:cs="Times New Roman"/>
                <w:color w:val="auto"/>
                <w:highlight w:val="none"/>
                <w:lang w:val="en-US" w:eastAsia="zh-CN"/>
              </w:rPr>
              <w:t>下表19</w:t>
            </w:r>
            <w:r>
              <w:rPr>
                <w:rFonts w:cs="Times New Roman"/>
                <w:color w:val="auto"/>
                <w:highlight w:val="none"/>
              </w:rPr>
              <w:t>。</w:t>
            </w:r>
          </w:p>
          <w:p w14:paraId="1D2A769C">
            <w:pPr>
              <w:pStyle w:val="16"/>
              <w:bidi w:val="0"/>
              <w:rPr>
                <w:color w:val="auto"/>
                <w:highlight w:val="none"/>
              </w:rPr>
            </w:pPr>
            <w:r>
              <w:t xml:space="preserve">表 </w:t>
            </w:r>
            <w:r>
              <w:fldChar w:fldCharType="begin"/>
            </w:r>
            <w:r>
              <w:instrText xml:space="preserve"> SEQ 表 \* ARABIC </w:instrText>
            </w:r>
            <w:r>
              <w:fldChar w:fldCharType="separate"/>
            </w:r>
            <w:r>
              <w:t>19</w:t>
            </w:r>
            <w:r>
              <w:fldChar w:fldCharType="end"/>
            </w:r>
            <w:r>
              <w:rPr>
                <w:rFonts w:hint="eastAsia"/>
                <w:lang w:val="en-US" w:eastAsia="zh-CN"/>
              </w:rPr>
              <w:t xml:space="preserve">  </w:t>
            </w:r>
            <w:r>
              <w:rPr>
                <w:rFonts w:hint="eastAsia"/>
                <w:color w:val="auto"/>
                <w:lang w:val="en-US" w:eastAsia="zh-CN"/>
              </w:rPr>
              <w:t xml:space="preserve">  </w:t>
            </w:r>
            <w:r>
              <w:rPr>
                <w:color w:val="auto"/>
              </w:rPr>
              <w:t>地下水监测内容</w:t>
            </w:r>
            <w:r>
              <w:rPr>
                <w:rFonts w:hint="eastAsia"/>
                <w:color w:val="auto"/>
              </w:rPr>
              <w:t>一览表</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6"/>
              <w:gridCol w:w="2270"/>
              <w:gridCol w:w="5185"/>
            </w:tblGrid>
            <w:tr w14:paraId="5A0C5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 w:type="pct"/>
                  <w:noWrap w:val="0"/>
                  <w:tcMar>
                    <w:top w:w="0" w:type="dxa"/>
                    <w:left w:w="0" w:type="dxa"/>
                    <w:bottom w:w="0" w:type="dxa"/>
                    <w:right w:w="0" w:type="dxa"/>
                  </w:tcMar>
                  <w:vAlign w:val="center"/>
                </w:tcPr>
                <w:p w14:paraId="53E56D75">
                  <w:pPr>
                    <w:pStyle w:val="15"/>
                    <w:bidi w:val="0"/>
                    <w:rPr>
                      <w:rFonts w:hint="default"/>
                      <w:color w:val="auto"/>
                    </w:rPr>
                  </w:pPr>
                  <w:r>
                    <w:rPr>
                      <w:rFonts w:hint="eastAsia"/>
                      <w:color w:val="auto"/>
                    </w:rPr>
                    <w:t>点位</w:t>
                  </w:r>
                </w:p>
              </w:tc>
              <w:tc>
                <w:tcPr>
                  <w:tcW w:w="1429" w:type="pct"/>
                  <w:noWrap w:val="0"/>
                  <w:tcMar>
                    <w:top w:w="0" w:type="dxa"/>
                    <w:left w:w="0" w:type="dxa"/>
                    <w:bottom w:w="0" w:type="dxa"/>
                    <w:right w:w="0" w:type="dxa"/>
                  </w:tcMar>
                  <w:vAlign w:val="center"/>
                </w:tcPr>
                <w:p w14:paraId="76E58126">
                  <w:pPr>
                    <w:pStyle w:val="15"/>
                    <w:bidi w:val="0"/>
                    <w:rPr>
                      <w:rFonts w:hint="default"/>
                      <w:color w:val="auto"/>
                    </w:rPr>
                  </w:pPr>
                  <w:r>
                    <w:rPr>
                      <w:rFonts w:hint="eastAsia"/>
                      <w:color w:val="auto"/>
                    </w:rPr>
                    <w:t>监测点名称</w:t>
                  </w:r>
                </w:p>
              </w:tc>
              <w:tc>
                <w:tcPr>
                  <w:tcW w:w="3264" w:type="pct"/>
                  <w:noWrap w:val="0"/>
                  <w:tcMar>
                    <w:top w:w="0" w:type="dxa"/>
                    <w:left w:w="0" w:type="dxa"/>
                    <w:bottom w:w="0" w:type="dxa"/>
                    <w:right w:w="0" w:type="dxa"/>
                  </w:tcMar>
                  <w:vAlign w:val="center"/>
                </w:tcPr>
                <w:p w14:paraId="0566974C">
                  <w:pPr>
                    <w:pStyle w:val="15"/>
                    <w:bidi w:val="0"/>
                    <w:rPr>
                      <w:rFonts w:hint="default"/>
                      <w:color w:val="auto"/>
                    </w:rPr>
                  </w:pPr>
                  <w:r>
                    <w:rPr>
                      <w:rFonts w:hint="eastAsia"/>
                      <w:color w:val="auto"/>
                    </w:rPr>
                    <w:t>监测项目</w:t>
                  </w:r>
                </w:p>
              </w:tc>
            </w:tr>
            <w:tr w14:paraId="024B5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 w:type="pct"/>
                  <w:noWrap w:val="0"/>
                  <w:tcMar>
                    <w:top w:w="0" w:type="dxa"/>
                    <w:left w:w="0" w:type="dxa"/>
                    <w:bottom w:w="0" w:type="dxa"/>
                    <w:right w:w="0" w:type="dxa"/>
                  </w:tcMar>
                  <w:vAlign w:val="center"/>
                </w:tcPr>
                <w:p w14:paraId="75FA0059">
                  <w:pPr>
                    <w:pStyle w:val="15"/>
                    <w:bidi w:val="0"/>
                    <w:rPr>
                      <w:rFonts w:hint="default"/>
                      <w:color w:val="auto"/>
                      <w:lang w:val="en-US" w:eastAsia="zh-CN"/>
                    </w:rPr>
                  </w:pPr>
                  <w:r>
                    <w:rPr>
                      <w:rFonts w:hint="eastAsia"/>
                      <w:color w:val="auto"/>
                      <w:lang w:val="en-US" w:eastAsia="zh-CN"/>
                    </w:rPr>
                    <w:t>1</w:t>
                  </w:r>
                  <w:r>
                    <w:rPr>
                      <w:rFonts w:hint="default"/>
                      <w:color w:val="auto"/>
                    </w:rPr>
                    <w:t>#</w:t>
                  </w:r>
                  <w:r>
                    <w:rPr>
                      <w:rFonts w:hint="eastAsia"/>
                      <w:color w:val="auto"/>
                      <w:lang w:val="en-US" w:eastAsia="zh-CN"/>
                    </w:rPr>
                    <w:t>~5#</w:t>
                  </w:r>
                </w:p>
              </w:tc>
              <w:tc>
                <w:tcPr>
                  <w:tcW w:w="1429" w:type="pct"/>
                  <w:noWrap w:val="0"/>
                  <w:tcMar>
                    <w:top w:w="0" w:type="dxa"/>
                    <w:left w:w="0" w:type="dxa"/>
                    <w:bottom w:w="0" w:type="dxa"/>
                    <w:right w:w="0" w:type="dxa"/>
                  </w:tcMar>
                  <w:vAlign w:val="center"/>
                </w:tcPr>
                <w:p w14:paraId="54243032">
                  <w:pPr>
                    <w:pStyle w:val="15"/>
                    <w:bidi w:val="0"/>
                    <w:rPr>
                      <w:rFonts w:hint="default"/>
                      <w:color w:val="auto"/>
                    </w:rPr>
                  </w:pPr>
                  <w:r>
                    <w:rPr>
                      <w:rFonts w:hint="eastAsia"/>
                      <w:color w:val="auto"/>
                    </w:rPr>
                    <w:t>地下水环境监测点</w:t>
                  </w:r>
                </w:p>
              </w:tc>
              <w:tc>
                <w:tcPr>
                  <w:tcW w:w="3264" w:type="pct"/>
                  <w:noWrap w:val="0"/>
                  <w:vAlign w:val="center"/>
                </w:tcPr>
                <w:p w14:paraId="131A5596">
                  <w:pPr>
                    <w:pStyle w:val="15"/>
                    <w:bidi w:val="0"/>
                    <w:rPr>
                      <w:rFonts w:hint="default"/>
                      <w:color w:val="auto"/>
                    </w:rPr>
                  </w:pPr>
                  <w:r>
                    <w:rPr>
                      <w:rFonts w:hint="default"/>
                      <w:color w:val="auto"/>
                    </w:rPr>
                    <w:t>pH值、总硬度、</w:t>
                  </w:r>
                  <w:r>
                    <w:rPr>
                      <w:rFonts w:hint="default"/>
                      <w:color w:val="auto"/>
                      <w:lang w:val="en-US" w:eastAsia="zh-CN"/>
                    </w:rPr>
                    <w:t>耗氧量、</w:t>
                  </w:r>
                  <w:r>
                    <w:rPr>
                      <w:rFonts w:hint="default"/>
                      <w:color w:val="auto"/>
                    </w:rPr>
                    <w:t>溶解性总固体、硫酸盐、氯化物、</w:t>
                  </w:r>
                  <w:r>
                    <w:rPr>
                      <w:rFonts w:hint="default"/>
                      <w:color w:val="auto"/>
                      <w:lang w:val="en-US" w:eastAsia="zh-CN"/>
                    </w:rPr>
                    <w:t>氰化物</w:t>
                  </w:r>
                  <w:r>
                    <w:rPr>
                      <w:rFonts w:hint="default"/>
                      <w:color w:val="auto"/>
                    </w:rPr>
                    <w:t>、</w:t>
                  </w:r>
                  <w:r>
                    <w:rPr>
                      <w:rFonts w:hint="default"/>
                      <w:color w:val="auto"/>
                      <w:lang w:val="en-US" w:eastAsia="zh-CN"/>
                    </w:rPr>
                    <w:t>铅、</w:t>
                  </w:r>
                  <w:r>
                    <w:rPr>
                      <w:rFonts w:hint="default"/>
                      <w:color w:val="auto"/>
                    </w:rPr>
                    <w:t>铁、锰、</w:t>
                  </w:r>
                  <w:r>
                    <w:rPr>
                      <w:rFonts w:hint="default"/>
                      <w:color w:val="auto"/>
                      <w:lang w:val="en-US" w:eastAsia="zh-CN"/>
                    </w:rPr>
                    <w:t>铜、锌、</w:t>
                  </w:r>
                  <w:r>
                    <w:rPr>
                      <w:rFonts w:hint="default"/>
                      <w:color w:val="auto"/>
                    </w:rPr>
                    <w:t>挥发酚、氨氮、</w:t>
                  </w:r>
                  <w:r>
                    <w:rPr>
                      <w:rFonts w:hint="default"/>
                      <w:color w:val="auto"/>
                      <w:lang w:val="en-US" w:eastAsia="zh-CN"/>
                    </w:rPr>
                    <w:t>硫化物、</w:t>
                  </w:r>
                  <w:r>
                    <w:rPr>
                      <w:rFonts w:hint="default"/>
                      <w:color w:val="auto"/>
                    </w:rPr>
                    <w:t>总大肠菌群</w:t>
                  </w:r>
                  <w:r>
                    <w:rPr>
                      <w:rFonts w:hint="default"/>
                      <w:color w:val="auto"/>
                      <w:lang w:eastAsia="zh-CN"/>
                    </w:rPr>
                    <w:t>、</w:t>
                  </w:r>
                  <w:r>
                    <w:rPr>
                      <w:rFonts w:hint="default"/>
                      <w:color w:val="auto"/>
                    </w:rPr>
                    <w:t>硝酸盐、亚硝酸盐</w:t>
                  </w:r>
                  <w:r>
                    <w:rPr>
                      <w:rFonts w:hint="default"/>
                      <w:color w:val="auto"/>
                      <w:lang w:eastAsia="zh-CN"/>
                    </w:rPr>
                    <w:t>、</w:t>
                  </w:r>
                  <w:r>
                    <w:rPr>
                      <w:rFonts w:hint="default"/>
                      <w:color w:val="auto"/>
                      <w:lang w:val="en-US" w:eastAsia="zh-CN"/>
                    </w:rPr>
                    <w:t>氟化物</w:t>
                  </w:r>
                  <w:r>
                    <w:rPr>
                      <w:rFonts w:hint="default"/>
                      <w:color w:val="auto"/>
                    </w:rPr>
                    <w:t>、汞、砷、镉、铬（六价）</w:t>
                  </w:r>
                  <w:r>
                    <w:rPr>
                      <w:rFonts w:hint="default"/>
                      <w:color w:val="auto"/>
                      <w:lang w:eastAsia="zh-CN"/>
                    </w:rPr>
                    <w:t>、</w:t>
                  </w:r>
                  <w:r>
                    <w:rPr>
                      <w:rFonts w:hint="default"/>
                      <w:color w:val="auto"/>
                      <w:lang w:val="en-US" w:eastAsia="zh-CN"/>
                    </w:rPr>
                    <w:t>细菌总数</w:t>
                  </w:r>
                  <w:r>
                    <w:rPr>
                      <w:rFonts w:hint="default"/>
                      <w:color w:val="auto"/>
                    </w:rPr>
                    <w:t>、</w:t>
                  </w:r>
                  <w:r>
                    <w:rPr>
                      <w:rFonts w:hint="default"/>
                      <w:color w:val="auto"/>
                      <w:lang w:val="en-US" w:eastAsia="zh-CN"/>
                    </w:rPr>
                    <w:t>石油类、</w:t>
                  </w:r>
                  <w:r>
                    <w:rPr>
                      <w:rFonts w:hint="eastAsia"/>
                      <w:color w:val="auto"/>
                      <w:lang w:val="en-US" w:eastAsia="zh-CN"/>
                    </w:rPr>
                    <w:t>苯、</w:t>
                  </w:r>
                  <w:r>
                    <w:rPr>
                      <w:rFonts w:hint="default"/>
                      <w:color w:val="auto"/>
                      <w:lang w:val="en-US" w:eastAsia="zh-CN"/>
                    </w:rPr>
                    <w:t>甲苯</w:t>
                  </w:r>
                  <w:r>
                    <w:rPr>
                      <w:rFonts w:hint="eastAsia"/>
                      <w:color w:val="auto"/>
                      <w:lang w:val="en-US" w:eastAsia="zh-CN"/>
                    </w:rPr>
                    <w:t>、二甲苯</w:t>
                  </w:r>
                  <w:r>
                    <w:rPr>
                      <w:rFonts w:hint="default"/>
                      <w:color w:val="auto"/>
                    </w:rPr>
                    <w:t>以及K</w:t>
                  </w:r>
                  <w:r>
                    <w:rPr>
                      <w:rFonts w:hint="default"/>
                      <w:color w:val="auto"/>
                      <w:vertAlign w:val="superscript"/>
                    </w:rPr>
                    <w:t>+</w:t>
                  </w:r>
                  <w:r>
                    <w:rPr>
                      <w:rFonts w:hint="default"/>
                      <w:color w:val="auto"/>
                    </w:rPr>
                    <w:t>、Na</w:t>
                  </w:r>
                  <w:r>
                    <w:rPr>
                      <w:rFonts w:hint="default"/>
                      <w:color w:val="auto"/>
                      <w:vertAlign w:val="superscript"/>
                    </w:rPr>
                    <w:t>+</w:t>
                  </w:r>
                  <w:r>
                    <w:rPr>
                      <w:rFonts w:hint="default"/>
                      <w:color w:val="auto"/>
                    </w:rPr>
                    <w:t>、Ca</w:t>
                  </w:r>
                  <w:r>
                    <w:rPr>
                      <w:rFonts w:hint="default"/>
                      <w:color w:val="auto"/>
                      <w:vertAlign w:val="superscript"/>
                    </w:rPr>
                    <w:t>2+</w:t>
                  </w:r>
                  <w:r>
                    <w:rPr>
                      <w:rFonts w:hint="default"/>
                      <w:color w:val="auto"/>
                    </w:rPr>
                    <w:t>、Mg</w:t>
                  </w:r>
                  <w:r>
                    <w:rPr>
                      <w:rFonts w:hint="default"/>
                      <w:color w:val="auto"/>
                      <w:vertAlign w:val="superscript"/>
                    </w:rPr>
                    <w:t>2+</w:t>
                  </w:r>
                  <w:r>
                    <w:rPr>
                      <w:rFonts w:hint="default"/>
                      <w:color w:val="auto"/>
                    </w:rPr>
                    <w:t>、CO</w:t>
                  </w:r>
                  <w:r>
                    <w:rPr>
                      <w:rFonts w:hint="default"/>
                      <w:color w:val="auto"/>
                      <w:vertAlign w:val="subscript"/>
                    </w:rPr>
                    <w:t>3</w:t>
                  </w:r>
                  <w:r>
                    <w:rPr>
                      <w:rFonts w:hint="eastAsia"/>
                      <w:color w:val="auto"/>
                      <w:vertAlign w:val="superscript"/>
                      <w:lang w:val="en-US" w:eastAsia="zh-CN"/>
                    </w:rPr>
                    <w:t>2</w:t>
                  </w:r>
                  <w:r>
                    <w:rPr>
                      <w:rFonts w:hint="default"/>
                      <w:color w:val="auto"/>
                      <w:vertAlign w:val="superscript"/>
                    </w:rPr>
                    <w:t>-</w:t>
                  </w:r>
                  <w:r>
                    <w:rPr>
                      <w:rFonts w:hint="default"/>
                      <w:color w:val="auto"/>
                    </w:rPr>
                    <w:t>、HCO</w:t>
                  </w:r>
                  <w:r>
                    <w:rPr>
                      <w:rFonts w:hint="default"/>
                      <w:color w:val="auto"/>
                      <w:vertAlign w:val="subscript"/>
                    </w:rPr>
                    <w:t>3</w:t>
                  </w:r>
                  <w:r>
                    <w:rPr>
                      <w:rFonts w:hint="default"/>
                      <w:color w:val="auto"/>
                      <w:vertAlign w:val="superscript"/>
                    </w:rPr>
                    <w:t>-</w:t>
                  </w:r>
                  <w:r>
                    <w:rPr>
                      <w:rFonts w:hint="default"/>
                      <w:color w:val="auto"/>
                    </w:rPr>
                    <w:t>。</w:t>
                  </w:r>
                </w:p>
              </w:tc>
            </w:tr>
          </w:tbl>
          <w:p w14:paraId="4BC5F505">
            <w:pPr>
              <w:rPr>
                <w:rFonts w:hint="default"/>
                <w:color w:val="auto"/>
                <w:lang w:val="en-US" w:eastAsia="zh-CN"/>
              </w:rPr>
            </w:pPr>
            <w:r>
              <w:rPr>
                <w:rFonts w:hint="eastAsia"/>
                <w:color w:val="auto"/>
                <w:lang w:val="en-US" w:eastAsia="zh-CN"/>
              </w:rPr>
              <w:t>（3）分析方法</w:t>
            </w:r>
          </w:p>
          <w:p w14:paraId="5A1C2663">
            <w:pPr>
              <w:ind w:firstLine="480"/>
              <w:outlineLvl w:val="9"/>
              <w:rPr>
                <w:rFonts w:cs="Times New Roman"/>
                <w:color w:val="auto"/>
                <w:highlight w:val="none"/>
              </w:rPr>
            </w:pPr>
            <w:r>
              <w:rPr>
                <w:rFonts w:cs="Times New Roman"/>
                <w:color w:val="auto"/>
                <w:highlight w:val="none"/>
              </w:rPr>
              <w:t>地下水监测分析方法见</w:t>
            </w:r>
            <w:r>
              <w:rPr>
                <w:rFonts w:hint="eastAsia" w:cs="Times New Roman"/>
                <w:color w:val="auto"/>
                <w:highlight w:val="none"/>
                <w:lang w:val="en-US" w:eastAsia="zh-CN"/>
              </w:rPr>
              <w:t>下表20</w:t>
            </w:r>
            <w:r>
              <w:rPr>
                <w:rFonts w:cs="Times New Roman"/>
                <w:color w:val="auto"/>
                <w:highlight w:val="none"/>
              </w:rPr>
              <w:t>。</w:t>
            </w:r>
          </w:p>
          <w:p w14:paraId="331548CD">
            <w:pPr>
              <w:ind w:firstLine="480"/>
              <w:outlineLvl w:val="9"/>
              <w:rPr>
                <w:rFonts w:cs="Times New Roman"/>
                <w:color w:val="auto"/>
                <w:highlight w:val="none"/>
              </w:rPr>
            </w:pPr>
          </w:p>
          <w:p w14:paraId="54F79670">
            <w:pPr>
              <w:ind w:firstLine="480"/>
              <w:outlineLvl w:val="9"/>
              <w:rPr>
                <w:rFonts w:cs="Times New Roman"/>
                <w:color w:val="auto"/>
                <w:highlight w:val="none"/>
              </w:rPr>
            </w:pPr>
          </w:p>
          <w:p w14:paraId="497D636F">
            <w:pPr>
              <w:ind w:firstLine="480"/>
              <w:outlineLvl w:val="9"/>
              <w:rPr>
                <w:rFonts w:cs="Times New Roman"/>
                <w:color w:val="auto"/>
                <w:highlight w:val="none"/>
              </w:rPr>
            </w:pPr>
          </w:p>
          <w:p w14:paraId="3BD185F8">
            <w:pPr>
              <w:pStyle w:val="16"/>
              <w:bidi w:val="0"/>
              <w:rPr>
                <w:color w:val="auto"/>
                <w:highlight w:val="none"/>
              </w:rPr>
            </w:pPr>
            <w:r>
              <w:t xml:space="preserve">表 </w:t>
            </w:r>
            <w:r>
              <w:fldChar w:fldCharType="begin"/>
            </w:r>
            <w:r>
              <w:instrText xml:space="preserve"> SEQ 表 \* ARABIC </w:instrText>
            </w:r>
            <w:r>
              <w:fldChar w:fldCharType="separate"/>
            </w:r>
            <w:r>
              <w:t>20</w:t>
            </w:r>
            <w:r>
              <w:fldChar w:fldCharType="end"/>
            </w:r>
            <w:r>
              <w:rPr>
                <w:rFonts w:hint="eastAsia"/>
                <w:lang w:val="en-US" w:eastAsia="zh-CN"/>
              </w:rPr>
              <w:t xml:space="preserve">  </w:t>
            </w:r>
            <w:r>
              <w:rPr>
                <w:rFonts w:hint="eastAsia"/>
                <w:color w:val="auto"/>
                <w:lang w:val="en-US" w:eastAsia="zh-CN"/>
              </w:rPr>
              <w:t xml:space="preserve">  </w:t>
            </w:r>
            <w:r>
              <w:rPr>
                <w:color w:val="auto"/>
              </w:rPr>
              <w:t>地下水监测分析方法一览表</w:t>
            </w:r>
          </w:p>
          <w:tbl>
            <w:tblPr>
              <w:tblStyle w:val="11"/>
              <w:tblW w:w="50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078"/>
              <w:gridCol w:w="673"/>
            </w:tblGrid>
            <w:tr w14:paraId="5148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4" w:type="pct"/>
                  <w:tcBorders>
                    <w:tl2br w:val="nil"/>
                    <w:tr2bl w:val="nil"/>
                  </w:tcBorders>
                  <w:noWrap w:val="0"/>
                  <w:tcMar>
                    <w:top w:w="0" w:type="dxa"/>
                    <w:left w:w="0" w:type="dxa"/>
                    <w:bottom w:w="0" w:type="dxa"/>
                    <w:right w:w="0" w:type="dxa"/>
                  </w:tcMar>
                  <w:vAlign w:val="center"/>
                </w:tcPr>
                <w:p w14:paraId="00F8F9D6">
                  <w:pPr>
                    <w:pStyle w:val="15"/>
                    <w:bidi w:val="0"/>
                    <w:rPr>
                      <w:rFonts w:hint="default"/>
                      <w:color w:val="auto"/>
                      <w:lang w:eastAsia="zh-CN"/>
                    </w:rPr>
                  </w:pPr>
                  <w:r>
                    <w:rPr>
                      <w:rFonts w:hint="default"/>
                      <w:color w:val="auto"/>
                      <w:lang w:eastAsia="zh-CN"/>
                    </w:rPr>
                    <w:t>监测项目</w:t>
                  </w:r>
                </w:p>
              </w:tc>
              <w:tc>
                <w:tcPr>
                  <w:tcW w:w="3812" w:type="pct"/>
                  <w:tcBorders>
                    <w:tl2br w:val="nil"/>
                    <w:tr2bl w:val="nil"/>
                  </w:tcBorders>
                  <w:noWrap w:val="0"/>
                  <w:tcMar>
                    <w:top w:w="0" w:type="dxa"/>
                    <w:left w:w="0" w:type="dxa"/>
                    <w:bottom w:w="0" w:type="dxa"/>
                    <w:right w:w="0" w:type="dxa"/>
                  </w:tcMar>
                  <w:vAlign w:val="center"/>
                </w:tcPr>
                <w:p w14:paraId="31AADCF5">
                  <w:pPr>
                    <w:pStyle w:val="15"/>
                    <w:bidi w:val="0"/>
                    <w:rPr>
                      <w:rFonts w:hint="default"/>
                      <w:color w:val="auto"/>
                    </w:rPr>
                  </w:pPr>
                  <w:r>
                    <w:rPr>
                      <w:rFonts w:hint="default"/>
                      <w:color w:val="auto"/>
                      <w:lang w:eastAsia="zh-CN"/>
                    </w:rPr>
                    <w:t>监测</w:t>
                  </w:r>
                  <w:r>
                    <w:rPr>
                      <w:rFonts w:hint="default"/>
                      <w:color w:val="auto"/>
                    </w:rPr>
                    <w:t>依据</w:t>
                  </w:r>
                </w:p>
              </w:tc>
              <w:tc>
                <w:tcPr>
                  <w:tcW w:w="422" w:type="pct"/>
                  <w:tcBorders>
                    <w:tl2br w:val="nil"/>
                    <w:tr2bl w:val="nil"/>
                  </w:tcBorders>
                  <w:noWrap w:val="0"/>
                  <w:tcMar>
                    <w:top w:w="0" w:type="dxa"/>
                    <w:left w:w="0" w:type="dxa"/>
                    <w:bottom w:w="0" w:type="dxa"/>
                    <w:right w:w="0" w:type="dxa"/>
                  </w:tcMar>
                  <w:vAlign w:val="center"/>
                </w:tcPr>
                <w:p w14:paraId="471B277D">
                  <w:pPr>
                    <w:pStyle w:val="15"/>
                    <w:bidi w:val="0"/>
                    <w:rPr>
                      <w:rFonts w:hint="default"/>
                      <w:color w:val="auto"/>
                    </w:rPr>
                  </w:pPr>
                  <w:r>
                    <w:rPr>
                      <w:rFonts w:hint="default"/>
                      <w:color w:val="auto"/>
                    </w:rPr>
                    <w:t>检出限</w:t>
                  </w:r>
                </w:p>
              </w:tc>
            </w:tr>
            <w:tr w14:paraId="1AA62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noWrap w:val="0"/>
                  <w:tcMar>
                    <w:top w:w="0" w:type="dxa"/>
                    <w:left w:w="0" w:type="dxa"/>
                    <w:bottom w:w="0" w:type="dxa"/>
                    <w:right w:w="0" w:type="dxa"/>
                  </w:tcMar>
                  <w:vAlign w:val="center"/>
                </w:tcPr>
                <w:p w14:paraId="7988E653">
                  <w:pPr>
                    <w:pStyle w:val="15"/>
                    <w:bidi w:val="0"/>
                    <w:rPr>
                      <w:rFonts w:hint="default"/>
                      <w:color w:val="auto"/>
                      <w:lang w:val="en-US" w:eastAsia="zh-CN"/>
                    </w:rPr>
                  </w:pPr>
                  <w:r>
                    <w:rPr>
                      <w:rFonts w:hint="eastAsia"/>
                      <w:color w:val="auto"/>
                    </w:rPr>
                    <w:t>pH</w:t>
                  </w:r>
                </w:p>
              </w:tc>
              <w:tc>
                <w:tcPr>
                  <w:tcW w:w="3812" w:type="pct"/>
                  <w:tcBorders>
                    <w:tl2br w:val="nil"/>
                    <w:tr2bl w:val="nil"/>
                  </w:tcBorders>
                  <w:shd w:val="clear" w:color="auto" w:fill="auto"/>
                  <w:noWrap w:val="0"/>
                  <w:tcMar>
                    <w:top w:w="0" w:type="dxa"/>
                    <w:left w:w="0" w:type="dxa"/>
                    <w:bottom w:w="0" w:type="dxa"/>
                    <w:right w:w="0" w:type="dxa"/>
                  </w:tcMar>
                  <w:vAlign w:val="center"/>
                </w:tcPr>
                <w:p w14:paraId="42D5557C">
                  <w:pPr>
                    <w:pStyle w:val="15"/>
                    <w:bidi w:val="0"/>
                    <w:rPr>
                      <w:rFonts w:hint="default"/>
                      <w:color w:val="auto"/>
                      <w:lang w:val="en-US" w:eastAsia="zh-CN"/>
                    </w:rPr>
                  </w:pPr>
                  <w:r>
                    <w:rPr>
                      <w:rFonts w:hint="eastAsia"/>
                      <w:color w:val="auto"/>
                    </w:rPr>
                    <w:t>HJ 1147-2020水质 pH值的测定 电极法</w:t>
                  </w:r>
                </w:p>
              </w:tc>
              <w:tc>
                <w:tcPr>
                  <w:tcW w:w="422" w:type="pct"/>
                  <w:tcBorders>
                    <w:tl2br w:val="nil"/>
                    <w:tr2bl w:val="nil"/>
                  </w:tcBorders>
                  <w:shd w:val="clear" w:color="auto" w:fill="auto"/>
                  <w:noWrap w:val="0"/>
                  <w:tcMar>
                    <w:top w:w="0" w:type="dxa"/>
                    <w:left w:w="0" w:type="dxa"/>
                    <w:bottom w:w="0" w:type="dxa"/>
                    <w:right w:w="0" w:type="dxa"/>
                  </w:tcMar>
                  <w:vAlign w:val="center"/>
                </w:tcPr>
                <w:p w14:paraId="4AE4959D">
                  <w:pPr>
                    <w:pStyle w:val="15"/>
                    <w:bidi w:val="0"/>
                    <w:rPr>
                      <w:rFonts w:hint="default"/>
                      <w:color w:val="auto"/>
                      <w:lang w:val="en-US" w:eastAsia="zh-CN"/>
                    </w:rPr>
                  </w:pPr>
                  <w:r>
                    <w:rPr>
                      <w:rFonts w:hint="eastAsia"/>
                      <w:color w:val="auto"/>
                    </w:rPr>
                    <w:t>-</w:t>
                  </w:r>
                </w:p>
              </w:tc>
            </w:tr>
            <w:tr w14:paraId="4735D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41DB210D">
                  <w:pPr>
                    <w:pStyle w:val="15"/>
                    <w:bidi w:val="0"/>
                    <w:rPr>
                      <w:rFonts w:hint="default"/>
                      <w:color w:val="auto"/>
                      <w:lang w:val="en-US" w:eastAsia="zh-CN"/>
                    </w:rPr>
                  </w:pPr>
                  <w:r>
                    <w:rPr>
                      <w:rFonts w:hint="eastAsia"/>
                      <w:color w:val="auto"/>
                    </w:rPr>
                    <w:t>溶解性总固体</w:t>
                  </w:r>
                </w:p>
              </w:tc>
              <w:tc>
                <w:tcPr>
                  <w:tcW w:w="3812" w:type="pct"/>
                  <w:tcBorders>
                    <w:tl2br w:val="nil"/>
                    <w:tr2bl w:val="nil"/>
                  </w:tcBorders>
                  <w:shd w:val="clear" w:color="auto" w:fill="auto"/>
                  <w:tcMar>
                    <w:top w:w="0" w:type="dxa"/>
                    <w:left w:w="0" w:type="dxa"/>
                    <w:bottom w:w="0" w:type="dxa"/>
                    <w:right w:w="0" w:type="dxa"/>
                  </w:tcMar>
                  <w:vAlign w:val="center"/>
                </w:tcPr>
                <w:p w14:paraId="4932D826">
                  <w:pPr>
                    <w:pStyle w:val="15"/>
                    <w:bidi w:val="0"/>
                    <w:rPr>
                      <w:rFonts w:hint="default"/>
                      <w:color w:val="auto"/>
                      <w:lang w:val="en-US" w:eastAsia="zh-CN"/>
                    </w:rPr>
                  </w:pPr>
                  <w:r>
                    <w:rPr>
                      <w:rFonts w:hint="eastAsia"/>
                      <w:color w:val="auto"/>
                    </w:rPr>
                    <w:t>GB/T 5750.4-2023生活饮用水标准检验方法 第4部分：感官性状和物理指标 11.1 称量法</w:t>
                  </w:r>
                </w:p>
              </w:tc>
              <w:tc>
                <w:tcPr>
                  <w:tcW w:w="422" w:type="pct"/>
                  <w:tcBorders>
                    <w:tl2br w:val="nil"/>
                    <w:tr2bl w:val="nil"/>
                  </w:tcBorders>
                  <w:shd w:val="clear" w:color="auto" w:fill="auto"/>
                  <w:tcMar>
                    <w:top w:w="0" w:type="dxa"/>
                    <w:left w:w="0" w:type="dxa"/>
                    <w:bottom w:w="0" w:type="dxa"/>
                    <w:right w:w="0" w:type="dxa"/>
                  </w:tcMar>
                  <w:vAlign w:val="center"/>
                </w:tcPr>
                <w:p w14:paraId="04B13394">
                  <w:pPr>
                    <w:pStyle w:val="15"/>
                    <w:bidi w:val="0"/>
                    <w:rPr>
                      <w:rFonts w:hint="default"/>
                      <w:color w:val="auto"/>
                      <w:lang w:val="en-US" w:eastAsia="zh-CN"/>
                    </w:rPr>
                  </w:pPr>
                  <w:r>
                    <w:rPr>
                      <w:rFonts w:hint="eastAsia"/>
                      <w:color w:val="auto"/>
                    </w:rPr>
                    <w:t>-</w:t>
                  </w:r>
                </w:p>
              </w:tc>
            </w:tr>
            <w:tr w14:paraId="19BE5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2E806A36">
                  <w:pPr>
                    <w:pStyle w:val="15"/>
                    <w:bidi w:val="0"/>
                    <w:rPr>
                      <w:rFonts w:hint="eastAsia"/>
                      <w:color w:val="auto"/>
                      <w:lang w:val="en-US" w:eastAsia="zh-CN"/>
                    </w:rPr>
                  </w:pPr>
                  <w:r>
                    <w:rPr>
                      <w:rFonts w:hint="eastAsia"/>
                      <w:color w:val="auto"/>
                    </w:rPr>
                    <w:t>总大肠菌群</w:t>
                  </w:r>
                </w:p>
              </w:tc>
              <w:tc>
                <w:tcPr>
                  <w:tcW w:w="3812" w:type="pct"/>
                  <w:tcBorders>
                    <w:tl2br w:val="nil"/>
                    <w:tr2bl w:val="nil"/>
                  </w:tcBorders>
                  <w:shd w:val="clear" w:color="auto" w:fill="auto"/>
                  <w:tcMar>
                    <w:top w:w="0" w:type="dxa"/>
                    <w:left w:w="0" w:type="dxa"/>
                    <w:bottom w:w="0" w:type="dxa"/>
                    <w:right w:w="0" w:type="dxa"/>
                  </w:tcMar>
                  <w:vAlign w:val="center"/>
                </w:tcPr>
                <w:p w14:paraId="4BA8ACDA">
                  <w:pPr>
                    <w:pStyle w:val="15"/>
                    <w:bidi w:val="0"/>
                    <w:rPr>
                      <w:rFonts w:hint="eastAsia"/>
                      <w:color w:val="auto"/>
                      <w:lang w:val="en-US" w:eastAsia="zh-CN"/>
                    </w:rPr>
                  </w:pPr>
                  <w:r>
                    <w:rPr>
                      <w:rFonts w:hint="eastAsia"/>
                      <w:color w:val="auto"/>
                    </w:rPr>
                    <w:t>GB/T 5750.12-2023生活饮用水标准检验方法 第12部分：微生物指标 5.1 多管发酵法</w:t>
                  </w:r>
                </w:p>
              </w:tc>
              <w:tc>
                <w:tcPr>
                  <w:tcW w:w="422" w:type="pct"/>
                  <w:tcBorders>
                    <w:tl2br w:val="nil"/>
                    <w:tr2bl w:val="nil"/>
                  </w:tcBorders>
                  <w:shd w:val="clear" w:color="auto" w:fill="auto"/>
                  <w:tcMar>
                    <w:top w:w="0" w:type="dxa"/>
                    <w:left w:w="0" w:type="dxa"/>
                    <w:bottom w:w="0" w:type="dxa"/>
                    <w:right w:w="0" w:type="dxa"/>
                  </w:tcMar>
                  <w:vAlign w:val="center"/>
                </w:tcPr>
                <w:p w14:paraId="79DB3F9C">
                  <w:pPr>
                    <w:pStyle w:val="15"/>
                    <w:bidi w:val="0"/>
                    <w:rPr>
                      <w:rFonts w:hint="default"/>
                      <w:color w:val="auto"/>
                      <w:lang w:val="en-US" w:eastAsia="zh-CN"/>
                    </w:rPr>
                  </w:pPr>
                  <w:r>
                    <w:rPr>
                      <w:rFonts w:hint="eastAsia"/>
                      <w:color w:val="auto"/>
                    </w:rPr>
                    <w:t>-</w:t>
                  </w:r>
                </w:p>
              </w:tc>
            </w:tr>
            <w:tr w14:paraId="30B3D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04ECD461">
                  <w:pPr>
                    <w:pStyle w:val="15"/>
                    <w:bidi w:val="0"/>
                    <w:rPr>
                      <w:rFonts w:hint="eastAsia"/>
                      <w:color w:val="auto"/>
                      <w:lang w:val="en-US" w:eastAsia="zh-CN"/>
                    </w:rPr>
                  </w:pPr>
                  <w:r>
                    <w:rPr>
                      <w:rFonts w:hint="eastAsia"/>
                      <w:color w:val="auto"/>
                      <w:lang w:val="en-US" w:eastAsia="zh-CN"/>
                    </w:rPr>
                    <w:t>菌落</w:t>
                  </w:r>
                  <w:r>
                    <w:rPr>
                      <w:rFonts w:hint="eastAsia"/>
                      <w:color w:val="auto"/>
                    </w:rPr>
                    <w:t>总数</w:t>
                  </w:r>
                </w:p>
              </w:tc>
              <w:tc>
                <w:tcPr>
                  <w:tcW w:w="3812" w:type="pct"/>
                  <w:tcBorders>
                    <w:tl2br w:val="nil"/>
                    <w:tr2bl w:val="nil"/>
                  </w:tcBorders>
                  <w:shd w:val="clear" w:color="auto" w:fill="auto"/>
                  <w:tcMar>
                    <w:top w:w="0" w:type="dxa"/>
                    <w:left w:w="0" w:type="dxa"/>
                    <w:bottom w:w="0" w:type="dxa"/>
                    <w:right w:w="0" w:type="dxa"/>
                  </w:tcMar>
                  <w:vAlign w:val="center"/>
                </w:tcPr>
                <w:p w14:paraId="673A3E5D">
                  <w:pPr>
                    <w:pStyle w:val="15"/>
                    <w:bidi w:val="0"/>
                    <w:rPr>
                      <w:rFonts w:hint="eastAsia"/>
                      <w:color w:val="auto"/>
                      <w:lang w:val="en-US" w:eastAsia="zh-CN"/>
                    </w:rPr>
                  </w:pPr>
                  <w:r>
                    <w:rPr>
                      <w:rFonts w:hint="eastAsia"/>
                      <w:color w:val="auto"/>
                    </w:rPr>
                    <w:t>GB/T 5750.12-2023生活饮用水标准检验方法 第12部分：微生物指标 4.1 平皿计数法</w:t>
                  </w:r>
                </w:p>
              </w:tc>
              <w:tc>
                <w:tcPr>
                  <w:tcW w:w="422" w:type="pct"/>
                  <w:tcBorders>
                    <w:tl2br w:val="nil"/>
                    <w:tr2bl w:val="nil"/>
                  </w:tcBorders>
                  <w:shd w:val="clear" w:color="auto" w:fill="auto"/>
                  <w:tcMar>
                    <w:top w:w="0" w:type="dxa"/>
                    <w:left w:w="0" w:type="dxa"/>
                    <w:bottom w:w="0" w:type="dxa"/>
                    <w:right w:w="0" w:type="dxa"/>
                  </w:tcMar>
                  <w:vAlign w:val="center"/>
                </w:tcPr>
                <w:p w14:paraId="35BF499D">
                  <w:pPr>
                    <w:pStyle w:val="15"/>
                    <w:bidi w:val="0"/>
                    <w:rPr>
                      <w:rFonts w:hint="default"/>
                      <w:color w:val="auto"/>
                      <w:lang w:val="en-US" w:eastAsia="zh-CN"/>
                    </w:rPr>
                  </w:pPr>
                  <w:r>
                    <w:rPr>
                      <w:rFonts w:hint="eastAsia"/>
                      <w:color w:val="auto"/>
                      <w:lang w:val="en-US" w:eastAsia="zh-CN"/>
                    </w:rPr>
                    <w:t>-</w:t>
                  </w:r>
                </w:p>
              </w:tc>
            </w:tr>
            <w:tr w14:paraId="49449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100765EB">
                  <w:pPr>
                    <w:pStyle w:val="15"/>
                    <w:bidi w:val="0"/>
                    <w:rPr>
                      <w:rFonts w:hint="eastAsia"/>
                      <w:color w:val="auto"/>
                      <w:lang w:val="en-US" w:eastAsia="zh-CN"/>
                    </w:rPr>
                  </w:pPr>
                  <w:r>
                    <w:rPr>
                      <w:rFonts w:hint="eastAsia"/>
                      <w:color w:val="auto"/>
                    </w:rPr>
                    <w:t>氨氮</w:t>
                  </w:r>
                </w:p>
              </w:tc>
              <w:tc>
                <w:tcPr>
                  <w:tcW w:w="3812" w:type="pct"/>
                  <w:tcBorders>
                    <w:tl2br w:val="nil"/>
                    <w:tr2bl w:val="nil"/>
                  </w:tcBorders>
                  <w:shd w:val="clear" w:color="auto" w:fill="auto"/>
                  <w:tcMar>
                    <w:top w:w="0" w:type="dxa"/>
                    <w:left w:w="0" w:type="dxa"/>
                    <w:bottom w:w="0" w:type="dxa"/>
                    <w:right w:w="0" w:type="dxa"/>
                  </w:tcMar>
                  <w:vAlign w:val="center"/>
                </w:tcPr>
                <w:p w14:paraId="0A1EBAA9">
                  <w:pPr>
                    <w:pStyle w:val="15"/>
                    <w:bidi w:val="0"/>
                    <w:rPr>
                      <w:rFonts w:hint="eastAsia"/>
                      <w:color w:val="auto"/>
                      <w:lang w:val="en-US" w:eastAsia="zh-CN"/>
                    </w:rPr>
                  </w:pPr>
                  <w:r>
                    <w:rPr>
                      <w:rFonts w:hint="eastAsia"/>
                      <w:color w:val="auto"/>
                    </w:rPr>
                    <w:t>HJ 535-2009水质 氨氮的测定 纳氏试剂分光光度法</w:t>
                  </w:r>
                </w:p>
              </w:tc>
              <w:tc>
                <w:tcPr>
                  <w:tcW w:w="422" w:type="pct"/>
                  <w:tcBorders>
                    <w:tl2br w:val="nil"/>
                    <w:tr2bl w:val="nil"/>
                  </w:tcBorders>
                  <w:shd w:val="clear" w:color="auto" w:fill="auto"/>
                  <w:tcMar>
                    <w:top w:w="0" w:type="dxa"/>
                    <w:left w:w="0" w:type="dxa"/>
                    <w:bottom w:w="0" w:type="dxa"/>
                    <w:right w:w="0" w:type="dxa"/>
                  </w:tcMar>
                  <w:vAlign w:val="center"/>
                </w:tcPr>
                <w:p w14:paraId="531D297A">
                  <w:pPr>
                    <w:pStyle w:val="15"/>
                    <w:bidi w:val="0"/>
                    <w:rPr>
                      <w:rFonts w:hint="eastAsia"/>
                      <w:color w:val="auto"/>
                      <w:lang w:val="en-US" w:eastAsia="zh-CN"/>
                    </w:rPr>
                  </w:pPr>
                  <w:r>
                    <w:rPr>
                      <w:rFonts w:hint="eastAsia"/>
                      <w:color w:val="auto"/>
                    </w:rPr>
                    <w:t>0.025</w:t>
                  </w:r>
                </w:p>
              </w:tc>
            </w:tr>
            <w:tr w14:paraId="24905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3F7A6E0D">
                  <w:pPr>
                    <w:pStyle w:val="15"/>
                    <w:bidi w:val="0"/>
                    <w:rPr>
                      <w:rFonts w:hint="eastAsia"/>
                      <w:color w:val="auto"/>
                      <w:lang w:val="en-US" w:eastAsia="zh-CN"/>
                    </w:rPr>
                  </w:pPr>
                  <w:r>
                    <w:rPr>
                      <w:rFonts w:hint="eastAsia"/>
                      <w:color w:val="auto"/>
                    </w:rPr>
                    <w:t>硝酸盐氮</w:t>
                  </w:r>
                </w:p>
              </w:tc>
              <w:tc>
                <w:tcPr>
                  <w:tcW w:w="3812" w:type="pct"/>
                  <w:tcBorders>
                    <w:tl2br w:val="nil"/>
                    <w:tr2bl w:val="nil"/>
                  </w:tcBorders>
                  <w:shd w:val="clear" w:color="auto" w:fill="auto"/>
                  <w:tcMar>
                    <w:top w:w="0" w:type="dxa"/>
                    <w:left w:w="0" w:type="dxa"/>
                    <w:bottom w:w="0" w:type="dxa"/>
                    <w:right w:w="0" w:type="dxa"/>
                  </w:tcMar>
                  <w:vAlign w:val="center"/>
                </w:tcPr>
                <w:p w14:paraId="136373FA">
                  <w:pPr>
                    <w:pStyle w:val="15"/>
                    <w:bidi w:val="0"/>
                    <w:rPr>
                      <w:rFonts w:hint="eastAsia"/>
                      <w:color w:val="auto"/>
                      <w:lang w:val="en-US" w:eastAsia="zh-CN"/>
                    </w:rPr>
                  </w:pPr>
                  <w:r>
                    <w:rPr>
                      <w:rFonts w:hint="eastAsia"/>
                      <w:color w:val="auto"/>
                      <w:lang w:eastAsia="zh-CN"/>
                    </w:rPr>
                    <w:t>GB/T 7480-1987</w:t>
                  </w:r>
                  <w:r>
                    <w:rPr>
                      <w:rFonts w:hint="eastAsia"/>
                      <w:color w:val="auto"/>
                    </w:rPr>
                    <w:t>水质 硝酸盐氮的测定 酚二磺酸分光光度法</w:t>
                  </w:r>
                </w:p>
              </w:tc>
              <w:tc>
                <w:tcPr>
                  <w:tcW w:w="422" w:type="pct"/>
                  <w:tcBorders>
                    <w:tl2br w:val="nil"/>
                    <w:tr2bl w:val="nil"/>
                  </w:tcBorders>
                  <w:shd w:val="clear" w:color="auto" w:fill="auto"/>
                  <w:tcMar>
                    <w:top w:w="0" w:type="dxa"/>
                    <w:left w:w="0" w:type="dxa"/>
                    <w:bottom w:w="0" w:type="dxa"/>
                    <w:right w:w="0" w:type="dxa"/>
                  </w:tcMar>
                  <w:vAlign w:val="center"/>
                </w:tcPr>
                <w:p w14:paraId="1945BA39">
                  <w:pPr>
                    <w:pStyle w:val="15"/>
                    <w:bidi w:val="0"/>
                    <w:rPr>
                      <w:rFonts w:hint="eastAsia"/>
                      <w:color w:val="auto"/>
                      <w:lang w:val="en-US" w:eastAsia="zh-CN"/>
                    </w:rPr>
                  </w:pPr>
                  <w:r>
                    <w:rPr>
                      <w:rFonts w:hint="eastAsia"/>
                      <w:color w:val="auto"/>
                    </w:rPr>
                    <w:t>0.02</w:t>
                  </w:r>
                </w:p>
              </w:tc>
            </w:tr>
            <w:tr w14:paraId="23DFB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6D690C96">
                  <w:pPr>
                    <w:pStyle w:val="15"/>
                    <w:bidi w:val="0"/>
                    <w:rPr>
                      <w:rFonts w:hint="eastAsia"/>
                      <w:color w:val="auto"/>
                      <w:lang w:val="en-US" w:eastAsia="zh-CN"/>
                    </w:rPr>
                  </w:pPr>
                  <w:r>
                    <w:rPr>
                      <w:rFonts w:hint="eastAsia"/>
                      <w:color w:val="auto"/>
                    </w:rPr>
                    <w:t>亚硝酸盐氮</w:t>
                  </w:r>
                </w:p>
              </w:tc>
              <w:tc>
                <w:tcPr>
                  <w:tcW w:w="3812" w:type="pct"/>
                  <w:tcBorders>
                    <w:tl2br w:val="nil"/>
                    <w:tr2bl w:val="nil"/>
                  </w:tcBorders>
                  <w:shd w:val="clear" w:color="auto" w:fill="auto"/>
                  <w:tcMar>
                    <w:top w:w="0" w:type="dxa"/>
                    <w:left w:w="0" w:type="dxa"/>
                    <w:bottom w:w="0" w:type="dxa"/>
                    <w:right w:w="0" w:type="dxa"/>
                  </w:tcMar>
                  <w:vAlign w:val="center"/>
                </w:tcPr>
                <w:p w14:paraId="515AD5CD">
                  <w:pPr>
                    <w:pStyle w:val="15"/>
                    <w:bidi w:val="0"/>
                    <w:rPr>
                      <w:rFonts w:hint="eastAsia"/>
                      <w:color w:val="auto"/>
                      <w:lang w:val="en-US" w:eastAsia="zh-CN"/>
                    </w:rPr>
                  </w:pPr>
                  <w:r>
                    <w:rPr>
                      <w:rFonts w:hint="eastAsia"/>
                      <w:color w:val="auto"/>
                      <w:lang w:eastAsia="zh-CN"/>
                    </w:rPr>
                    <w:t>GB/T 7493-1987</w:t>
                  </w:r>
                  <w:r>
                    <w:rPr>
                      <w:rFonts w:hint="eastAsia"/>
                      <w:color w:val="auto"/>
                    </w:rPr>
                    <w:t>水质 亚硝酸盐氮的测定 分光光度法</w:t>
                  </w:r>
                </w:p>
              </w:tc>
              <w:tc>
                <w:tcPr>
                  <w:tcW w:w="422" w:type="pct"/>
                  <w:tcBorders>
                    <w:tl2br w:val="nil"/>
                    <w:tr2bl w:val="nil"/>
                  </w:tcBorders>
                  <w:shd w:val="clear" w:color="auto" w:fill="auto"/>
                  <w:tcMar>
                    <w:top w:w="0" w:type="dxa"/>
                    <w:left w:w="0" w:type="dxa"/>
                    <w:bottom w:w="0" w:type="dxa"/>
                    <w:right w:w="0" w:type="dxa"/>
                  </w:tcMar>
                  <w:vAlign w:val="center"/>
                </w:tcPr>
                <w:p w14:paraId="724091B6">
                  <w:pPr>
                    <w:pStyle w:val="15"/>
                    <w:bidi w:val="0"/>
                    <w:rPr>
                      <w:rFonts w:hint="eastAsia"/>
                      <w:color w:val="auto"/>
                      <w:lang w:val="en-US" w:eastAsia="zh-CN"/>
                    </w:rPr>
                  </w:pPr>
                  <w:r>
                    <w:rPr>
                      <w:rFonts w:hint="eastAsia"/>
                      <w:color w:val="auto"/>
                    </w:rPr>
                    <w:t>0.003</w:t>
                  </w:r>
                </w:p>
              </w:tc>
            </w:tr>
            <w:tr w14:paraId="52E08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3B255D47">
                  <w:pPr>
                    <w:pStyle w:val="15"/>
                    <w:bidi w:val="0"/>
                    <w:rPr>
                      <w:rFonts w:hint="eastAsia"/>
                      <w:color w:val="auto"/>
                      <w:lang w:val="en-US" w:eastAsia="zh-CN"/>
                    </w:rPr>
                  </w:pPr>
                  <w:r>
                    <w:rPr>
                      <w:rFonts w:hint="eastAsia"/>
                      <w:color w:val="auto"/>
                    </w:rPr>
                    <w:t>氰化物</w:t>
                  </w:r>
                </w:p>
              </w:tc>
              <w:tc>
                <w:tcPr>
                  <w:tcW w:w="3812" w:type="pct"/>
                  <w:tcBorders>
                    <w:tl2br w:val="nil"/>
                    <w:tr2bl w:val="nil"/>
                  </w:tcBorders>
                  <w:shd w:val="clear" w:color="auto" w:fill="auto"/>
                  <w:tcMar>
                    <w:top w:w="0" w:type="dxa"/>
                    <w:left w:w="0" w:type="dxa"/>
                    <w:bottom w:w="0" w:type="dxa"/>
                    <w:right w:w="0" w:type="dxa"/>
                  </w:tcMar>
                  <w:vAlign w:val="center"/>
                </w:tcPr>
                <w:p w14:paraId="7B0FB008">
                  <w:pPr>
                    <w:pStyle w:val="15"/>
                    <w:bidi w:val="0"/>
                    <w:rPr>
                      <w:rFonts w:hint="eastAsia"/>
                      <w:color w:val="auto"/>
                      <w:lang w:val="en-US" w:eastAsia="zh-CN"/>
                    </w:rPr>
                  </w:pPr>
                  <w:r>
                    <w:rPr>
                      <w:rFonts w:hint="eastAsia"/>
                      <w:color w:val="auto"/>
                    </w:rPr>
                    <w:t>GB/T 5750.5-2023生活饮用水标准检验方法 第5部分：无机非金属指标7.2 异烟酸-巴比妥酸分光光度法</w:t>
                  </w:r>
                </w:p>
              </w:tc>
              <w:tc>
                <w:tcPr>
                  <w:tcW w:w="422" w:type="pct"/>
                  <w:tcBorders>
                    <w:tl2br w:val="nil"/>
                    <w:tr2bl w:val="nil"/>
                  </w:tcBorders>
                  <w:shd w:val="clear" w:color="auto" w:fill="auto"/>
                  <w:tcMar>
                    <w:top w:w="0" w:type="dxa"/>
                    <w:left w:w="0" w:type="dxa"/>
                    <w:bottom w:w="0" w:type="dxa"/>
                    <w:right w:w="0" w:type="dxa"/>
                  </w:tcMar>
                  <w:vAlign w:val="center"/>
                </w:tcPr>
                <w:p w14:paraId="5D7FAFE3">
                  <w:pPr>
                    <w:pStyle w:val="15"/>
                    <w:bidi w:val="0"/>
                    <w:rPr>
                      <w:rFonts w:hint="eastAsia"/>
                      <w:color w:val="auto"/>
                      <w:lang w:val="en-US" w:eastAsia="zh-CN"/>
                    </w:rPr>
                  </w:pPr>
                  <w:r>
                    <w:rPr>
                      <w:rFonts w:hint="eastAsia"/>
                      <w:color w:val="auto"/>
                    </w:rPr>
                    <w:t>0.002</w:t>
                  </w:r>
                </w:p>
              </w:tc>
            </w:tr>
            <w:tr w14:paraId="1D27D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1FBCC27C">
                  <w:pPr>
                    <w:pStyle w:val="15"/>
                    <w:bidi w:val="0"/>
                    <w:rPr>
                      <w:rFonts w:hint="eastAsia"/>
                      <w:color w:val="auto"/>
                      <w:lang w:val="en-US" w:eastAsia="zh-CN"/>
                    </w:rPr>
                  </w:pPr>
                  <w:r>
                    <w:rPr>
                      <w:rFonts w:hint="eastAsia"/>
                      <w:color w:val="auto"/>
                      <w:lang w:eastAsia="zh-CN"/>
                    </w:rPr>
                    <w:t>铬（六价）</w:t>
                  </w:r>
                </w:p>
              </w:tc>
              <w:tc>
                <w:tcPr>
                  <w:tcW w:w="3812" w:type="pct"/>
                  <w:tcBorders>
                    <w:tl2br w:val="nil"/>
                    <w:tr2bl w:val="nil"/>
                  </w:tcBorders>
                  <w:shd w:val="clear" w:color="auto" w:fill="auto"/>
                  <w:tcMar>
                    <w:top w:w="0" w:type="dxa"/>
                    <w:left w:w="0" w:type="dxa"/>
                    <w:bottom w:w="0" w:type="dxa"/>
                    <w:right w:w="0" w:type="dxa"/>
                  </w:tcMar>
                  <w:vAlign w:val="center"/>
                </w:tcPr>
                <w:p w14:paraId="275FA5BA">
                  <w:pPr>
                    <w:pStyle w:val="15"/>
                    <w:bidi w:val="0"/>
                    <w:rPr>
                      <w:rFonts w:hint="eastAsia"/>
                      <w:color w:val="auto"/>
                      <w:lang w:val="en-US" w:eastAsia="zh-CN"/>
                    </w:rPr>
                  </w:pPr>
                  <w:r>
                    <w:rPr>
                      <w:rFonts w:hint="eastAsia"/>
                      <w:color w:val="auto"/>
                    </w:rPr>
                    <w:t>GB/T 5750.6-2023生活饮用水标准检验方法 第6部分：金属和类金属指标13.1 二苯碳酰二肼分光光度法</w:t>
                  </w:r>
                </w:p>
              </w:tc>
              <w:tc>
                <w:tcPr>
                  <w:tcW w:w="422" w:type="pct"/>
                  <w:tcBorders>
                    <w:tl2br w:val="nil"/>
                    <w:tr2bl w:val="nil"/>
                  </w:tcBorders>
                  <w:shd w:val="clear" w:color="auto" w:fill="auto"/>
                  <w:tcMar>
                    <w:top w:w="0" w:type="dxa"/>
                    <w:left w:w="0" w:type="dxa"/>
                    <w:bottom w:w="0" w:type="dxa"/>
                    <w:right w:w="0" w:type="dxa"/>
                  </w:tcMar>
                  <w:vAlign w:val="center"/>
                </w:tcPr>
                <w:p w14:paraId="6919B459">
                  <w:pPr>
                    <w:pStyle w:val="15"/>
                    <w:bidi w:val="0"/>
                    <w:rPr>
                      <w:rFonts w:hint="eastAsia"/>
                      <w:color w:val="auto"/>
                      <w:lang w:val="en-US" w:eastAsia="zh-CN"/>
                    </w:rPr>
                  </w:pPr>
                  <w:r>
                    <w:rPr>
                      <w:rFonts w:hint="eastAsia"/>
                      <w:color w:val="auto"/>
                    </w:rPr>
                    <w:t>0.004</w:t>
                  </w:r>
                </w:p>
              </w:tc>
            </w:tr>
            <w:tr w14:paraId="4F6C0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6E075B5C">
                  <w:pPr>
                    <w:pStyle w:val="15"/>
                    <w:bidi w:val="0"/>
                    <w:rPr>
                      <w:rFonts w:hint="eastAsia"/>
                      <w:color w:val="auto"/>
                      <w:lang w:val="en-US" w:eastAsia="zh-CN"/>
                    </w:rPr>
                  </w:pPr>
                  <w:r>
                    <w:rPr>
                      <w:rFonts w:hint="eastAsia"/>
                      <w:color w:val="auto"/>
                    </w:rPr>
                    <w:t>氟化物</w:t>
                  </w:r>
                </w:p>
              </w:tc>
              <w:tc>
                <w:tcPr>
                  <w:tcW w:w="3812" w:type="pct"/>
                  <w:tcBorders>
                    <w:tl2br w:val="nil"/>
                    <w:tr2bl w:val="nil"/>
                  </w:tcBorders>
                  <w:shd w:val="clear" w:color="auto" w:fill="auto"/>
                  <w:tcMar>
                    <w:top w:w="0" w:type="dxa"/>
                    <w:left w:w="0" w:type="dxa"/>
                    <w:bottom w:w="0" w:type="dxa"/>
                    <w:right w:w="0" w:type="dxa"/>
                  </w:tcMar>
                  <w:vAlign w:val="center"/>
                </w:tcPr>
                <w:p w14:paraId="5C962AA2">
                  <w:pPr>
                    <w:pStyle w:val="15"/>
                    <w:bidi w:val="0"/>
                    <w:rPr>
                      <w:rFonts w:hint="eastAsia"/>
                      <w:color w:val="auto"/>
                      <w:lang w:val="en-US" w:eastAsia="zh-CN"/>
                    </w:rPr>
                  </w:pPr>
                  <w:r>
                    <w:rPr>
                      <w:rFonts w:hint="eastAsia"/>
                      <w:color w:val="auto"/>
                    </w:rPr>
                    <w:t>HJ 488-2009水质 氟化物的测定 氟试剂分光光度法</w:t>
                  </w:r>
                </w:p>
              </w:tc>
              <w:tc>
                <w:tcPr>
                  <w:tcW w:w="422" w:type="pct"/>
                  <w:tcBorders>
                    <w:tl2br w:val="nil"/>
                    <w:tr2bl w:val="nil"/>
                  </w:tcBorders>
                  <w:shd w:val="clear" w:color="auto" w:fill="auto"/>
                  <w:tcMar>
                    <w:top w:w="0" w:type="dxa"/>
                    <w:left w:w="0" w:type="dxa"/>
                    <w:bottom w:w="0" w:type="dxa"/>
                    <w:right w:w="0" w:type="dxa"/>
                  </w:tcMar>
                  <w:vAlign w:val="center"/>
                </w:tcPr>
                <w:p w14:paraId="76858020">
                  <w:pPr>
                    <w:pStyle w:val="15"/>
                    <w:bidi w:val="0"/>
                    <w:rPr>
                      <w:rFonts w:hint="eastAsia"/>
                      <w:color w:val="auto"/>
                      <w:lang w:val="en-US" w:eastAsia="zh-CN"/>
                    </w:rPr>
                  </w:pPr>
                  <w:r>
                    <w:rPr>
                      <w:rFonts w:hint="eastAsia"/>
                      <w:color w:val="auto"/>
                    </w:rPr>
                    <w:t>0.02</w:t>
                  </w:r>
                </w:p>
              </w:tc>
            </w:tr>
            <w:tr w14:paraId="3AA9D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246AC6EA">
                  <w:pPr>
                    <w:pStyle w:val="15"/>
                    <w:bidi w:val="0"/>
                    <w:rPr>
                      <w:rFonts w:hint="eastAsia"/>
                      <w:color w:val="auto"/>
                      <w:lang w:val="en-US" w:eastAsia="zh-CN"/>
                    </w:rPr>
                  </w:pPr>
                  <w:r>
                    <w:rPr>
                      <w:rFonts w:hint="eastAsia"/>
                      <w:color w:val="auto"/>
                    </w:rPr>
                    <w:t>挥发酚</w:t>
                  </w:r>
                </w:p>
              </w:tc>
              <w:tc>
                <w:tcPr>
                  <w:tcW w:w="3812" w:type="pct"/>
                  <w:tcBorders>
                    <w:tl2br w:val="nil"/>
                    <w:tr2bl w:val="nil"/>
                  </w:tcBorders>
                  <w:shd w:val="clear" w:color="auto" w:fill="auto"/>
                  <w:tcMar>
                    <w:top w:w="0" w:type="dxa"/>
                    <w:left w:w="0" w:type="dxa"/>
                    <w:bottom w:w="0" w:type="dxa"/>
                    <w:right w:w="0" w:type="dxa"/>
                  </w:tcMar>
                  <w:vAlign w:val="center"/>
                </w:tcPr>
                <w:p w14:paraId="44164A55">
                  <w:pPr>
                    <w:pStyle w:val="15"/>
                    <w:bidi w:val="0"/>
                    <w:rPr>
                      <w:rFonts w:hint="eastAsia"/>
                      <w:color w:val="auto"/>
                      <w:lang w:val="en-US" w:eastAsia="zh-CN"/>
                    </w:rPr>
                  </w:pPr>
                  <w:r>
                    <w:rPr>
                      <w:color w:val="auto"/>
                    </w:rPr>
                    <w:t>HJ 503-2009水质 挥发酚的测定 4-氨基安替比林分光光度法</w:t>
                  </w:r>
                </w:p>
              </w:tc>
              <w:tc>
                <w:tcPr>
                  <w:tcW w:w="422" w:type="pct"/>
                  <w:tcBorders>
                    <w:tl2br w:val="nil"/>
                    <w:tr2bl w:val="nil"/>
                  </w:tcBorders>
                  <w:shd w:val="clear" w:color="auto" w:fill="auto"/>
                  <w:tcMar>
                    <w:top w:w="0" w:type="dxa"/>
                    <w:left w:w="0" w:type="dxa"/>
                    <w:bottom w:w="0" w:type="dxa"/>
                    <w:right w:w="0" w:type="dxa"/>
                  </w:tcMar>
                  <w:vAlign w:val="center"/>
                </w:tcPr>
                <w:p w14:paraId="0237E46A">
                  <w:pPr>
                    <w:pStyle w:val="15"/>
                    <w:bidi w:val="0"/>
                    <w:rPr>
                      <w:rFonts w:hint="eastAsia"/>
                      <w:color w:val="auto"/>
                      <w:lang w:val="en-US" w:eastAsia="zh-CN"/>
                    </w:rPr>
                  </w:pPr>
                  <w:r>
                    <w:rPr>
                      <w:rFonts w:hint="eastAsia"/>
                      <w:color w:val="auto"/>
                    </w:rPr>
                    <w:t>0.0003</w:t>
                  </w:r>
                </w:p>
              </w:tc>
            </w:tr>
            <w:tr w14:paraId="6778F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62513799">
                  <w:pPr>
                    <w:pStyle w:val="15"/>
                    <w:bidi w:val="0"/>
                    <w:rPr>
                      <w:rFonts w:hint="eastAsia"/>
                      <w:color w:val="auto"/>
                      <w:lang w:val="en-US" w:eastAsia="zh-CN"/>
                    </w:rPr>
                  </w:pPr>
                  <w:r>
                    <w:rPr>
                      <w:rFonts w:hint="eastAsia"/>
                      <w:color w:val="auto"/>
                    </w:rPr>
                    <w:t>硫化物</w:t>
                  </w:r>
                </w:p>
              </w:tc>
              <w:tc>
                <w:tcPr>
                  <w:tcW w:w="3812" w:type="pct"/>
                  <w:tcBorders>
                    <w:tl2br w:val="nil"/>
                    <w:tr2bl w:val="nil"/>
                  </w:tcBorders>
                  <w:shd w:val="clear" w:color="auto" w:fill="auto"/>
                  <w:tcMar>
                    <w:top w:w="0" w:type="dxa"/>
                    <w:left w:w="0" w:type="dxa"/>
                    <w:bottom w:w="0" w:type="dxa"/>
                    <w:right w:w="0" w:type="dxa"/>
                  </w:tcMar>
                  <w:vAlign w:val="center"/>
                </w:tcPr>
                <w:p w14:paraId="4D7BB19C">
                  <w:pPr>
                    <w:pStyle w:val="15"/>
                    <w:bidi w:val="0"/>
                    <w:rPr>
                      <w:rFonts w:hint="eastAsia"/>
                      <w:color w:val="auto"/>
                      <w:lang w:val="en-US" w:eastAsia="zh-CN"/>
                    </w:rPr>
                  </w:pPr>
                  <w:r>
                    <w:rPr>
                      <w:rFonts w:hint="eastAsia"/>
                      <w:color w:val="auto"/>
                    </w:rPr>
                    <w:t>HJ 1226-2021水质 硫化物的测定 亚甲基蓝分光光度法</w:t>
                  </w:r>
                </w:p>
              </w:tc>
              <w:tc>
                <w:tcPr>
                  <w:tcW w:w="422" w:type="pct"/>
                  <w:tcBorders>
                    <w:tl2br w:val="nil"/>
                    <w:tr2bl w:val="nil"/>
                  </w:tcBorders>
                  <w:shd w:val="clear" w:color="auto" w:fill="auto"/>
                  <w:tcMar>
                    <w:top w:w="0" w:type="dxa"/>
                    <w:left w:w="0" w:type="dxa"/>
                    <w:bottom w:w="0" w:type="dxa"/>
                    <w:right w:w="0" w:type="dxa"/>
                  </w:tcMar>
                  <w:vAlign w:val="center"/>
                </w:tcPr>
                <w:p w14:paraId="35368FF3">
                  <w:pPr>
                    <w:pStyle w:val="15"/>
                    <w:bidi w:val="0"/>
                    <w:rPr>
                      <w:rFonts w:hint="eastAsia"/>
                      <w:color w:val="auto"/>
                      <w:lang w:val="en-US" w:eastAsia="zh-CN"/>
                    </w:rPr>
                  </w:pPr>
                  <w:r>
                    <w:rPr>
                      <w:rFonts w:hint="eastAsia"/>
                      <w:color w:val="auto"/>
                      <w:lang w:val="en-US" w:eastAsia="zh-CN"/>
                    </w:rPr>
                    <w:t>0.003</w:t>
                  </w:r>
                </w:p>
              </w:tc>
            </w:tr>
            <w:tr w14:paraId="45F29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49991D26">
                  <w:pPr>
                    <w:pStyle w:val="15"/>
                    <w:bidi w:val="0"/>
                    <w:rPr>
                      <w:rFonts w:hint="eastAsia"/>
                      <w:color w:val="auto"/>
                      <w:lang w:val="en-US" w:eastAsia="zh-CN"/>
                    </w:rPr>
                  </w:pPr>
                  <w:r>
                    <w:rPr>
                      <w:rFonts w:hint="eastAsia"/>
                      <w:color w:val="auto"/>
                    </w:rPr>
                    <w:t>硫酸盐</w:t>
                  </w:r>
                </w:p>
              </w:tc>
              <w:tc>
                <w:tcPr>
                  <w:tcW w:w="3812" w:type="pct"/>
                  <w:tcBorders>
                    <w:tl2br w:val="nil"/>
                    <w:tr2bl w:val="nil"/>
                  </w:tcBorders>
                  <w:shd w:val="clear" w:color="auto" w:fill="auto"/>
                  <w:tcMar>
                    <w:top w:w="0" w:type="dxa"/>
                    <w:left w:w="0" w:type="dxa"/>
                    <w:bottom w:w="0" w:type="dxa"/>
                    <w:right w:w="0" w:type="dxa"/>
                  </w:tcMar>
                  <w:vAlign w:val="center"/>
                </w:tcPr>
                <w:p w14:paraId="184D2FB5">
                  <w:pPr>
                    <w:pStyle w:val="15"/>
                    <w:bidi w:val="0"/>
                    <w:rPr>
                      <w:rFonts w:hint="eastAsia"/>
                      <w:color w:val="auto"/>
                      <w:lang w:val="en-US" w:eastAsia="zh-CN"/>
                    </w:rPr>
                  </w:pPr>
                  <w:r>
                    <w:rPr>
                      <w:rFonts w:hint="eastAsia"/>
                      <w:color w:val="auto"/>
                      <w:lang w:eastAsia="zh-CN"/>
                    </w:rPr>
                    <w:t>GB/T 11899-1989</w:t>
                  </w:r>
                  <w:r>
                    <w:rPr>
                      <w:rFonts w:hint="eastAsia"/>
                      <w:color w:val="auto"/>
                    </w:rPr>
                    <w:t>水质 硫酸盐的测定 重量法</w:t>
                  </w:r>
                </w:p>
              </w:tc>
              <w:tc>
                <w:tcPr>
                  <w:tcW w:w="422" w:type="pct"/>
                  <w:tcBorders>
                    <w:tl2br w:val="nil"/>
                    <w:tr2bl w:val="nil"/>
                  </w:tcBorders>
                  <w:shd w:val="clear" w:color="auto" w:fill="auto"/>
                  <w:tcMar>
                    <w:top w:w="0" w:type="dxa"/>
                    <w:left w:w="0" w:type="dxa"/>
                    <w:bottom w:w="0" w:type="dxa"/>
                    <w:right w:w="0" w:type="dxa"/>
                  </w:tcMar>
                  <w:vAlign w:val="center"/>
                </w:tcPr>
                <w:p w14:paraId="315C93DB">
                  <w:pPr>
                    <w:pStyle w:val="15"/>
                    <w:bidi w:val="0"/>
                    <w:rPr>
                      <w:rFonts w:hint="eastAsia"/>
                      <w:color w:val="auto"/>
                      <w:lang w:val="en-US" w:eastAsia="zh-CN"/>
                    </w:rPr>
                  </w:pPr>
                  <w:r>
                    <w:rPr>
                      <w:rFonts w:hint="eastAsia"/>
                      <w:color w:val="auto"/>
                    </w:rPr>
                    <w:t>10</w:t>
                  </w:r>
                </w:p>
              </w:tc>
            </w:tr>
            <w:tr w14:paraId="790F6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57AD02AF">
                  <w:pPr>
                    <w:pStyle w:val="15"/>
                    <w:bidi w:val="0"/>
                    <w:rPr>
                      <w:rFonts w:hint="eastAsia"/>
                      <w:color w:val="auto"/>
                      <w:lang w:val="en-US" w:eastAsia="zh-CN"/>
                    </w:rPr>
                  </w:pPr>
                  <w:r>
                    <w:rPr>
                      <w:rFonts w:hint="eastAsia"/>
                      <w:color w:val="auto"/>
                      <w:lang w:val="en-US" w:eastAsia="zh-CN"/>
                    </w:rPr>
                    <w:t>石油类</w:t>
                  </w:r>
                </w:p>
              </w:tc>
              <w:tc>
                <w:tcPr>
                  <w:tcW w:w="3812" w:type="pct"/>
                  <w:tcBorders>
                    <w:tl2br w:val="nil"/>
                    <w:tr2bl w:val="nil"/>
                  </w:tcBorders>
                  <w:shd w:val="clear" w:color="auto" w:fill="auto"/>
                  <w:tcMar>
                    <w:top w:w="0" w:type="dxa"/>
                    <w:left w:w="0" w:type="dxa"/>
                    <w:bottom w:w="0" w:type="dxa"/>
                    <w:right w:w="0" w:type="dxa"/>
                  </w:tcMar>
                  <w:vAlign w:val="center"/>
                </w:tcPr>
                <w:p w14:paraId="2BD55418">
                  <w:pPr>
                    <w:pStyle w:val="15"/>
                    <w:bidi w:val="0"/>
                    <w:rPr>
                      <w:rFonts w:hint="eastAsia"/>
                      <w:color w:val="auto"/>
                      <w:lang w:val="en-US" w:eastAsia="zh-CN"/>
                    </w:rPr>
                  </w:pPr>
                  <w:r>
                    <w:rPr>
                      <w:rFonts w:hint="eastAsia"/>
                      <w:color w:val="auto"/>
                    </w:rPr>
                    <w:t>HJ 637-2018水质 石油类和动植物油类的测定 红外分光光度法</w:t>
                  </w:r>
                </w:p>
              </w:tc>
              <w:tc>
                <w:tcPr>
                  <w:tcW w:w="422" w:type="pct"/>
                  <w:tcBorders>
                    <w:tl2br w:val="nil"/>
                    <w:tr2bl w:val="nil"/>
                  </w:tcBorders>
                  <w:shd w:val="clear" w:color="auto" w:fill="auto"/>
                  <w:tcMar>
                    <w:top w:w="0" w:type="dxa"/>
                    <w:left w:w="0" w:type="dxa"/>
                    <w:bottom w:w="0" w:type="dxa"/>
                    <w:right w:w="0" w:type="dxa"/>
                  </w:tcMar>
                  <w:vAlign w:val="center"/>
                </w:tcPr>
                <w:p w14:paraId="43FD9FF1">
                  <w:pPr>
                    <w:pStyle w:val="15"/>
                    <w:bidi w:val="0"/>
                    <w:rPr>
                      <w:rFonts w:hint="eastAsia"/>
                      <w:color w:val="auto"/>
                      <w:lang w:val="en-US" w:eastAsia="zh-CN"/>
                    </w:rPr>
                  </w:pPr>
                  <w:r>
                    <w:rPr>
                      <w:rFonts w:hint="eastAsia"/>
                      <w:color w:val="auto"/>
                      <w:lang w:val="en-US" w:eastAsia="zh-CN"/>
                    </w:rPr>
                    <w:t>0.05</w:t>
                  </w:r>
                </w:p>
              </w:tc>
            </w:tr>
            <w:tr w14:paraId="3677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238F85C8">
                  <w:pPr>
                    <w:pStyle w:val="15"/>
                    <w:bidi w:val="0"/>
                    <w:rPr>
                      <w:rFonts w:hint="eastAsia"/>
                      <w:color w:val="auto"/>
                      <w:lang w:val="en-US" w:eastAsia="zh-CN"/>
                    </w:rPr>
                  </w:pPr>
                  <w:r>
                    <w:rPr>
                      <w:rFonts w:hint="eastAsia"/>
                      <w:color w:val="auto"/>
                    </w:rPr>
                    <w:t>汞</w:t>
                  </w:r>
                </w:p>
              </w:tc>
              <w:tc>
                <w:tcPr>
                  <w:tcW w:w="3812" w:type="pct"/>
                  <w:vMerge w:val="restart"/>
                  <w:tcBorders>
                    <w:tl2br w:val="nil"/>
                    <w:tr2bl w:val="nil"/>
                  </w:tcBorders>
                  <w:shd w:val="clear" w:color="auto" w:fill="auto"/>
                  <w:tcMar>
                    <w:top w:w="0" w:type="dxa"/>
                    <w:left w:w="0" w:type="dxa"/>
                    <w:bottom w:w="0" w:type="dxa"/>
                    <w:right w:w="0" w:type="dxa"/>
                  </w:tcMar>
                  <w:vAlign w:val="center"/>
                </w:tcPr>
                <w:p w14:paraId="6A2FC402">
                  <w:pPr>
                    <w:pStyle w:val="15"/>
                    <w:bidi w:val="0"/>
                    <w:rPr>
                      <w:rFonts w:hint="eastAsia"/>
                      <w:color w:val="auto"/>
                    </w:rPr>
                  </w:pPr>
                  <w:r>
                    <w:rPr>
                      <w:rFonts w:hint="eastAsia"/>
                      <w:color w:val="auto"/>
                    </w:rPr>
                    <w:t>HJ 694-2014水质 汞、砷、硒、铋和锑的测定 原子荧光法</w:t>
                  </w:r>
                </w:p>
              </w:tc>
              <w:tc>
                <w:tcPr>
                  <w:tcW w:w="422" w:type="pct"/>
                  <w:tcBorders>
                    <w:tl2br w:val="nil"/>
                    <w:tr2bl w:val="nil"/>
                  </w:tcBorders>
                  <w:shd w:val="clear" w:color="auto" w:fill="auto"/>
                  <w:tcMar>
                    <w:top w:w="0" w:type="dxa"/>
                    <w:left w:w="0" w:type="dxa"/>
                    <w:bottom w:w="0" w:type="dxa"/>
                    <w:right w:w="0" w:type="dxa"/>
                  </w:tcMar>
                  <w:vAlign w:val="center"/>
                </w:tcPr>
                <w:p w14:paraId="2E3232D4">
                  <w:pPr>
                    <w:pStyle w:val="15"/>
                    <w:bidi w:val="0"/>
                    <w:rPr>
                      <w:rFonts w:hint="eastAsia"/>
                      <w:color w:val="auto"/>
                      <w:lang w:val="en-US" w:eastAsia="zh-CN"/>
                    </w:rPr>
                  </w:pPr>
                  <w:r>
                    <w:rPr>
                      <w:rFonts w:hint="eastAsia"/>
                      <w:color w:val="auto"/>
                      <w:lang w:val="en-US" w:eastAsia="zh-CN"/>
                    </w:rPr>
                    <w:t>0.00004</w:t>
                  </w:r>
                </w:p>
              </w:tc>
            </w:tr>
            <w:tr w14:paraId="59FC8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5F37D509">
                  <w:pPr>
                    <w:pStyle w:val="15"/>
                    <w:bidi w:val="0"/>
                    <w:rPr>
                      <w:rFonts w:hint="eastAsia"/>
                      <w:color w:val="auto"/>
                      <w:lang w:val="en-US" w:eastAsia="zh-CN"/>
                    </w:rPr>
                  </w:pPr>
                  <w:r>
                    <w:rPr>
                      <w:rFonts w:hint="eastAsia"/>
                      <w:color w:val="auto"/>
                    </w:rPr>
                    <w:t>砷</w:t>
                  </w:r>
                </w:p>
              </w:tc>
              <w:tc>
                <w:tcPr>
                  <w:tcW w:w="3812" w:type="pct"/>
                  <w:vMerge w:val="continue"/>
                  <w:tcBorders>
                    <w:tl2br w:val="nil"/>
                    <w:tr2bl w:val="nil"/>
                  </w:tcBorders>
                  <w:shd w:val="clear" w:color="auto" w:fill="auto"/>
                  <w:tcMar>
                    <w:top w:w="0" w:type="dxa"/>
                    <w:left w:w="0" w:type="dxa"/>
                    <w:bottom w:w="0" w:type="dxa"/>
                    <w:right w:w="0" w:type="dxa"/>
                  </w:tcMar>
                  <w:vAlign w:val="center"/>
                </w:tcPr>
                <w:p w14:paraId="53FB9F32">
                  <w:pPr>
                    <w:pStyle w:val="15"/>
                    <w:bidi w:val="0"/>
                    <w:rPr>
                      <w:rFonts w:hint="eastAsia"/>
                      <w:color w:val="auto"/>
                    </w:rPr>
                  </w:pPr>
                </w:p>
              </w:tc>
              <w:tc>
                <w:tcPr>
                  <w:tcW w:w="422" w:type="pct"/>
                  <w:tcBorders>
                    <w:tl2br w:val="nil"/>
                    <w:tr2bl w:val="nil"/>
                  </w:tcBorders>
                  <w:shd w:val="clear" w:color="auto" w:fill="auto"/>
                  <w:tcMar>
                    <w:top w:w="0" w:type="dxa"/>
                    <w:left w:w="0" w:type="dxa"/>
                    <w:bottom w:w="0" w:type="dxa"/>
                    <w:right w:w="0" w:type="dxa"/>
                  </w:tcMar>
                  <w:vAlign w:val="center"/>
                </w:tcPr>
                <w:p w14:paraId="1C4D277A">
                  <w:pPr>
                    <w:pStyle w:val="15"/>
                    <w:bidi w:val="0"/>
                    <w:rPr>
                      <w:rFonts w:hint="eastAsia"/>
                      <w:color w:val="auto"/>
                      <w:lang w:val="en-US" w:eastAsia="zh-CN"/>
                    </w:rPr>
                  </w:pPr>
                  <w:r>
                    <w:rPr>
                      <w:rFonts w:hint="eastAsia"/>
                      <w:color w:val="auto"/>
                      <w:lang w:val="en-US" w:eastAsia="zh-CN"/>
                    </w:rPr>
                    <w:t>0.0003</w:t>
                  </w:r>
                </w:p>
              </w:tc>
            </w:tr>
            <w:tr w14:paraId="6F86B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6CDE5220">
                  <w:pPr>
                    <w:pStyle w:val="15"/>
                    <w:bidi w:val="0"/>
                    <w:rPr>
                      <w:rFonts w:hint="eastAsia"/>
                      <w:color w:val="auto"/>
                      <w:lang w:val="en-US" w:eastAsia="zh-CN"/>
                    </w:rPr>
                  </w:pPr>
                  <w:r>
                    <w:rPr>
                      <w:rFonts w:hint="eastAsia"/>
                      <w:color w:val="auto"/>
                    </w:rPr>
                    <w:t>铜</w:t>
                  </w:r>
                </w:p>
              </w:tc>
              <w:tc>
                <w:tcPr>
                  <w:tcW w:w="3812" w:type="pct"/>
                  <w:vMerge w:val="restart"/>
                  <w:tcBorders>
                    <w:tl2br w:val="nil"/>
                    <w:tr2bl w:val="nil"/>
                  </w:tcBorders>
                  <w:shd w:val="clear" w:color="auto" w:fill="auto"/>
                  <w:tcMar>
                    <w:top w:w="0" w:type="dxa"/>
                    <w:left w:w="0" w:type="dxa"/>
                    <w:bottom w:w="0" w:type="dxa"/>
                    <w:right w:w="0" w:type="dxa"/>
                  </w:tcMar>
                  <w:vAlign w:val="center"/>
                </w:tcPr>
                <w:p w14:paraId="68CCB84C">
                  <w:pPr>
                    <w:pStyle w:val="15"/>
                    <w:bidi w:val="0"/>
                    <w:rPr>
                      <w:rFonts w:hint="eastAsia"/>
                      <w:color w:val="auto"/>
                    </w:rPr>
                  </w:pPr>
                  <w:r>
                    <w:rPr>
                      <w:rFonts w:hint="eastAsia"/>
                      <w:color w:val="auto"/>
                      <w:lang w:eastAsia="zh-CN"/>
                    </w:rPr>
                    <w:t>GB/T 7475-1987</w:t>
                  </w:r>
                  <w:r>
                    <w:rPr>
                      <w:rFonts w:hint="eastAsia"/>
                      <w:color w:val="auto"/>
                    </w:rPr>
                    <w:t>水质 铜、锌、铅、镉的测定 原子吸收分光光度法</w:t>
                  </w:r>
                </w:p>
              </w:tc>
              <w:tc>
                <w:tcPr>
                  <w:tcW w:w="422" w:type="pct"/>
                  <w:tcBorders>
                    <w:tl2br w:val="nil"/>
                    <w:tr2bl w:val="nil"/>
                  </w:tcBorders>
                  <w:shd w:val="clear" w:color="auto" w:fill="auto"/>
                  <w:tcMar>
                    <w:top w:w="0" w:type="dxa"/>
                    <w:left w:w="0" w:type="dxa"/>
                    <w:bottom w:w="0" w:type="dxa"/>
                    <w:right w:w="0" w:type="dxa"/>
                  </w:tcMar>
                  <w:vAlign w:val="center"/>
                </w:tcPr>
                <w:p w14:paraId="310374AD">
                  <w:pPr>
                    <w:pStyle w:val="15"/>
                    <w:bidi w:val="0"/>
                    <w:rPr>
                      <w:rFonts w:hint="eastAsia"/>
                      <w:color w:val="auto"/>
                      <w:lang w:val="en-US" w:eastAsia="zh-CN"/>
                    </w:rPr>
                  </w:pPr>
                  <w:r>
                    <w:rPr>
                      <w:rFonts w:hint="eastAsia"/>
                      <w:color w:val="auto"/>
                    </w:rPr>
                    <w:t>0.05</w:t>
                  </w:r>
                </w:p>
              </w:tc>
            </w:tr>
            <w:tr w14:paraId="02675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3BEBEAD3">
                  <w:pPr>
                    <w:pStyle w:val="15"/>
                    <w:bidi w:val="0"/>
                    <w:rPr>
                      <w:rFonts w:hint="eastAsia"/>
                      <w:color w:val="auto"/>
                      <w:lang w:val="en-US" w:eastAsia="zh-CN"/>
                    </w:rPr>
                  </w:pPr>
                  <w:r>
                    <w:rPr>
                      <w:rFonts w:hint="eastAsia"/>
                      <w:color w:val="auto"/>
                    </w:rPr>
                    <w:t>锌</w:t>
                  </w:r>
                </w:p>
              </w:tc>
              <w:tc>
                <w:tcPr>
                  <w:tcW w:w="3812" w:type="pct"/>
                  <w:vMerge w:val="continue"/>
                  <w:tcBorders>
                    <w:tl2br w:val="nil"/>
                    <w:tr2bl w:val="nil"/>
                  </w:tcBorders>
                  <w:shd w:val="clear" w:color="auto" w:fill="auto"/>
                  <w:tcMar>
                    <w:top w:w="0" w:type="dxa"/>
                    <w:left w:w="0" w:type="dxa"/>
                    <w:bottom w:w="0" w:type="dxa"/>
                    <w:right w:w="0" w:type="dxa"/>
                  </w:tcMar>
                  <w:vAlign w:val="center"/>
                </w:tcPr>
                <w:p w14:paraId="5E53D4E6">
                  <w:pPr>
                    <w:pStyle w:val="15"/>
                    <w:bidi w:val="0"/>
                    <w:rPr>
                      <w:rFonts w:hint="eastAsia"/>
                      <w:color w:val="auto"/>
                    </w:rPr>
                  </w:pPr>
                </w:p>
              </w:tc>
              <w:tc>
                <w:tcPr>
                  <w:tcW w:w="422" w:type="pct"/>
                  <w:tcBorders>
                    <w:tl2br w:val="nil"/>
                    <w:tr2bl w:val="nil"/>
                  </w:tcBorders>
                  <w:shd w:val="clear" w:color="auto" w:fill="auto"/>
                  <w:tcMar>
                    <w:top w:w="0" w:type="dxa"/>
                    <w:left w:w="0" w:type="dxa"/>
                    <w:bottom w:w="0" w:type="dxa"/>
                    <w:right w:w="0" w:type="dxa"/>
                  </w:tcMar>
                  <w:vAlign w:val="center"/>
                </w:tcPr>
                <w:p w14:paraId="4A3EE11D">
                  <w:pPr>
                    <w:pStyle w:val="15"/>
                    <w:bidi w:val="0"/>
                    <w:rPr>
                      <w:rFonts w:hint="eastAsia"/>
                      <w:color w:val="auto"/>
                      <w:lang w:val="en-US" w:eastAsia="zh-CN"/>
                    </w:rPr>
                  </w:pPr>
                  <w:r>
                    <w:rPr>
                      <w:rFonts w:hint="eastAsia"/>
                      <w:color w:val="auto"/>
                    </w:rPr>
                    <w:t>0.05</w:t>
                  </w:r>
                </w:p>
              </w:tc>
            </w:tr>
            <w:tr w14:paraId="741FC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0B68EA43">
                  <w:pPr>
                    <w:pStyle w:val="15"/>
                    <w:bidi w:val="0"/>
                    <w:rPr>
                      <w:rFonts w:hint="eastAsia"/>
                      <w:color w:val="auto"/>
                      <w:lang w:val="en-US" w:eastAsia="zh-CN"/>
                    </w:rPr>
                  </w:pPr>
                  <w:r>
                    <w:rPr>
                      <w:rFonts w:hint="eastAsia"/>
                      <w:color w:val="auto"/>
                    </w:rPr>
                    <w:t>铅</w:t>
                  </w:r>
                </w:p>
              </w:tc>
              <w:tc>
                <w:tcPr>
                  <w:tcW w:w="3812" w:type="pct"/>
                  <w:tcBorders>
                    <w:tl2br w:val="nil"/>
                    <w:tr2bl w:val="nil"/>
                  </w:tcBorders>
                  <w:shd w:val="clear" w:color="auto" w:fill="auto"/>
                  <w:tcMar>
                    <w:top w:w="0" w:type="dxa"/>
                    <w:left w:w="0" w:type="dxa"/>
                    <w:bottom w:w="0" w:type="dxa"/>
                    <w:right w:w="0" w:type="dxa"/>
                  </w:tcMar>
                  <w:vAlign w:val="center"/>
                </w:tcPr>
                <w:p w14:paraId="00850092">
                  <w:pPr>
                    <w:pStyle w:val="15"/>
                    <w:bidi w:val="0"/>
                    <w:rPr>
                      <w:rFonts w:hint="eastAsia"/>
                      <w:color w:val="auto"/>
                      <w:lang w:val="en-US" w:eastAsia="zh-CN"/>
                    </w:rPr>
                  </w:pPr>
                  <w:r>
                    <w:rPr>
                      <w:rFonts w:hint="eastAsia"/>
                      <w:color w:val="auto"/>
                    </w:rPr>
                    <w:t>GB/T 5750.6-2023生活饮用水标准检验方法 第6部分：金属和类金属指标 14.1 无火焰原子吸收分光光度法</w:t>
                  </w:r>
                </w:p>
              </w:tc>
              <w:tc>
                <w:tcPr>
                  <w:tcW w:w="422" w:type="pct"/>
                  <w:tcBorders>
                    <w:tl2br w:val="nil"/>
                    <w:tr2bl w:val="nil"/>
                  </w:tcBorders>
                  <w:shd w:val="clear" w:color="auto" w:fill="auto"/>
                  <w:tcMar>
                    <w:top w:w="0" w:type="dxa"/>
                    <w:left w:w="0" w:type="dxa"/>
                    <w:bottom w:w="0" w:type="dxa"/>
                    <w:right w:w="0" w:type="dxa"/>
                  </w:tcMar>
                  <w:vAlign w:val="center"/>
                </w:tcPr>
                <w:p w14:paraId="77A5004D">
                  <w:pPr>
                    <w:pStyle w:val="15"/>
                    <w:bidi w:val="0"/>
                    <w:rPr>
                      <w:rFonts w:hint="eastAsia"/>
                      <w:color w:val="auto"/>
                      <w:lang w:val="en-US" w:eastAsia="zh-CN"/>
                    </w:rPr>
                  </w:pPr>
                  <w:r>
                    <w:rPr>
                      <w:rFonts w:hint="eastAsia"/>
                      <w:color w:val="auto"/>
                      <w:lang w:val="en-US" w:eastAsia="zh-CN"/>
                    </w:rPr>
                    <w:t>0.0025</w:t>
                  </w:r>
                </w:p>
              </w:tc>
            </w:tr>
            <w:tr w14:paraId="15ABF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3F5D8FE2">
                  <w:pPr>
                    <w:pStyle w:val="15"/>
                    <w:bidi w:val="0"/>
                    <w:rPr>
                      <w:rFonts w:hint="eastAsia"/>
                      <w:color w:val="auto"/>
                      <w:lang w:val="en-US" w:eastAsia="zh-CN"/>
                    </w:rPr>
                  </w:pPr>
                  <w:r>
                    <w:rPr>
                      <w:rFonts w:hint="eastAsia"/>
                      <w:color w:val="auto"/>
                    </w:rPr>
                    <w:t>镉</w:t>
                  </w:r>
                </w:p>
              </w:tc>
              <w:tc>
                <w:tcPr>
                  <w:tcW w:w="3812" w:type="pct"/>
                  <w:tcBorders>
                    <w:tl2br w:val="nil"/>
                    <w:tr2bl w:val="nil"/>
                  </w:tcBorders>
                  <w:shd w:val="clear" w:color="auto" w:fill="auto"/>
                  <w:tcMar>
                    <w:top w:w="0" w:type="dxa"/>
                    <w:left w:w="0" w:type="dxa"/>
                    <w:bottom w:w="0" w:type="dxa"/>
                    <w:right w:w="0" w:type="dxa"/>
                  </w:tcMar>
                  <w:vAlign w:val="center"/>
                </w:tcPr>
                <w:p w14:paraId="3EAF5D3F">
                  <w:pPr>
                    <w:pStyle w:val="15"/>
                    <w:bidi w:val="0"/>
                    <w:rPr>
                      <w:rFonts w:hint="eastAsia"/>
                      <w:color w:val="auto"/>
                      <w:lang w:val="en-US" w:eastAsia="zh-CN"/>
                    </w:rPr>
                  </w:pPr>
                  <w:r>
                    <w:rPr>
                      <w:rFonts w:hint="eastAsia"/>
                      <w:color w:val="auto"/>
                    </w:rPr>
                    <w:t>GB/T 5750.6-2023生活饮用水标准检验方法 第6部分：金属和类金属指标 12.1 无火焰原子吸收分光光度法</w:t>
                  </w:r>
                </w:p>
              </w:tc>
              <w:tc>
                <w:tcPr>
                  <w:tcW w:w="422" w:type="pct"/>
                  <w:tcBorders>
                    <w:tl2br w:val="nil"/>
                    <w:tr2bl w:val="nil"/>
                  </w:tcBorders>
                  <w:shd w:val="clear" w:color="auto" w:fill="auto"/>
                  <w:tcMar>
                    <w:top w:w="0" w:type="dxa"/>
                    <w:left w:w="0" w:type="dxa"/>
                    <w:bottom w:w="0" w:type="dxa"/>
                    <w:right w:w="0" w:type="dxa"/>
                  </w:tcMar>
                  <w:vAlign w:val="center"/>
                </w:tcPr>
                <w:p w14:paraId="11E29A72">
                  <w:pPr>
                    <w:pStyle w:val="15"/>
                    <w:bidi w:val="0"/>
                    <w:rPr>
                      <w:rFonts w:hint="eastAsia"/>
                      <w:color w:val="auto"/>
                      <w:lang w:val="en-US" w:eastAsia="zh-CN"/>
                    </w:rPr>
                  </w:pPr>
                  <w:r>
                    <w:rPr>
                      <w:rFonts w:hint="eastAsia"/>
                      <w:color w:val="auto"/>
                      <w:lang w:val="en-US" w:eastAsia="zh-CN"/>
                    </w:rPr>
                    <w:t>0.0005</w:t>
                  </w:r>
                </w:p>
              </w:tc>
            </w:tr>
            <w:tr w14:paraId="7436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43A5EFF3">
                  <w:pPr>
                    <w:pStyle w:val="15"/>
                    <w:bidi w:val="0"/>
                    <w:rPr>
                      <w:rFonts w:hint="eastAsia"/>
                      <w:color w:val="auto"/>
                      <w:lang w:val="en-US" w:eastAsia="zh-CN"/>
                    </w:rPr>
                  </w:pPr>
                  <w:r>
                    <w:rPr>
                      <w:rFonts w:hint="eastAsia"/>
                      <w:color w:val="auto"/>
                      <w:lang w:eastAsia="zh-CN"/>
                    </w:rPr>
                    <w:t>铁</w:t>
                  </w:r>
                </w:p>
              </w:tc>
              <w:tc>
                <w:tcPr>
                  <w:tcW w:w="3812" w:type="pct"/>
                  <w:tcBorders>
                    <w:tl2br w:val="nil"/>
                    <w:tr2bl w:val="nil"/>
                  </w:tcBorders>
                  <w:shd w:val="clear" w:color="auto" w:fill="auto"/>
                  <w:tcMar>
                    <w:top w:w="0" w:type="dxa"/>
                    <w:left w:w="0" w:type="dxa"/>
                    <w:bottom w:w="0" w:type="dxa"/>
                    <w:right w:w="0" w:type="dxa"/>
                  </w:tcMar>
                  <w:vAlign w:val="center"/>
                </w:tcPr>
                <w:p w14:paraId="3A1C5368">
                  <w:pPr>
                    <w:pStyle w:val="15"/>
                    <w:bidi w:val="0"/>
                    <w:rPr>
                      <w:rFonts w:hint="eastAsia"/>
                      <w:color w:val="auto"/>
                      <w:lang w:val="en-US" w:eastAsia="zh-CN"/>
                    </w:rPr>
                  </w:pPr>
                  <w:r>
                    <w:rPr>
                      <w:rFonts w:hint="eastAsia"/>
                      <w:color w:val="auto"/>
                      <w:lang w:val="en-US" w:eastAsia="zh-CN"/>
                    </w:rPr>
                    <w:t>GB/T 11911-1989水质 铁、锰的测定 火焰原子吸收分光光度法</w:t>
                  </w:r>
                </w:p>
              </w:tc>
              <w:tc>
                <w:tcPr>
                  <w:tcW w:w="422" w:type="pct"/>
                  <w:tcBorders>
                    <w:tl2br w:val="nil"/>
                    <w:tr2bl w:val="nil"/>
                  </w:tcBorders>
                  <w:shd w:val="clear" w:color="auto" w:fill="auto"/>
                  <w:tcMar>
                    <w:top w:w="0" w:type="dxa"/>
                    <w:left w:w="0" w:type="dxa"/>
                    <w:bottom w:w="0" w:type="dxa"/>
                    <w:right w:w="0" w:type="dxa"/>
                  </w:tcMar>
                  <w:vAlign w:val="center"/>
                </w:tcPr>
                <w:p w14:paraId="63FDD290">
                  <w:pPr>
                    <w:pStyle w:val="15"/>
                    <w:bidi w:val="0"/>
                    <w:rPr>
                      <w:rFonts w:hint="eastAsia"/>
                      <w:color w:val="auto"/>
                      <w:lang w:val="en-US" w:eastAsia="zh-CN"/>
                    </w:rPr>
                  </w:pPr>
                  <w:r>
                    <w:rPr>
                      <w:rFonts w:hint="eastAsia"/>
                      <w:color w:val="auto"/>
                    </w:rPr>
                    <w:t>0.03</w:t>
                  </w:r>
                </w:p>
              </w:tc>
            </w:tr>
            <w:tr w14:paraId="328ED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3DFC1965">
                  <w:pPr>
                    <w:pStyle w:val="15"/>
                    <w:bidi w:val="0"/>
                    <w:rPr>
                      <w:rFonts w:hint="eastAsia"/>
                      <w:color w:val="auto"/>
                      <w:lang w:val="en-US" w:eastAsia="zh-CN"/>
                    </w:rPr>
                  </w:pPr>
                  <w:r>
                    <w:rPr>
                      <w:rFonts w:hint="eastAsia"/>
                      <w:color w:val="auto"/>
                      <w:lang w:val="en-US" w:eastAsia="zh-CN"/>
                    </w:rPr>
                    <w:t>钾</w:t>
                  </w:r>
                </w:p>
              </w:tc>
              <w:tc>
                <w:tcPr>
                  <w:tcW w:w="3812" w:type="pct"/>
                  <w:vMerge w:val="restart"/>
                  <w:tcBorders>
                    <w:tl2br w:val="nil"/>
                    <w:tr2bl w:val="nil"/>
                  </w:tcBorders>
                  <w:shd w:val="clear" w:color="auto" w:fill="auto"/>
                  <w:tcMar>
                    <w:top w:w="0" w:type="dxa"/>
                    <w:left w:w="0" w:type="dxa"/>
                    <w:bottom w:w="0" w:type="dxa"/>
                    <w:right w:w="0" w:type="dxa"/>
                  </w:tcMar>
                  <w:vAlign w:val="center"/>
                </w:tcPr>
                <w:p w14:paraId="203E99F0">
                  <w:pPr>
                    <w:pStyle w:val="15"/>
                    <w:bidi w:val="0"/>
                    <w:rPr>
                      <w:rFonts w:hint="eastAsia"/>
                      <w:color w:val="auto"/>
                    </w:rPr>
                  </w:pPr>
                  <w:r>
                    <w:rPr>
                      <w:rFonts w:hint="eastAsia"/>
                      <w:color w:val="auto"/>
                      <w:lang w:eastAsia="zh-CN"/>
                    </w:rPr>
                    <w:t>GB/T 11904-1989</w:t>
                  </w:r>
                  <w:r>
                    <w:rPr>
                      <w:rFonts w:hint="eastAsia"/>
                      <w:color w:val="auto"/>
                    </w:rPr>
                    <w:t>水质 钾和钠的测定 火焰原子吸收分光光度法</w:t>
                  </w:r>
                </w:p>
              </w:tc>
              <w:tc>
                <w:tcPr>
                  <w:tcW w:w="422" w:type="pct"/>
                  <w:tcBorders>
                    <w:tl2br w:val="nil"/>
                    <w:tr2bl w:val="nil"/>
                  </w:tcBorders>
                  <w:shd w:val="clear" w:color="auto" w:fill="auto"/>
                  <w:tcMar>
                    <w:top w:w="0" w:type="dxa"/>
                    <w:left w:w="0" w:type="dxa"/>
                    <w:bottom w:w="0" w:type="dxa"/>
                    <w:right w:w="0" w:type="dxa"/>
                  </w:tcMar>
                  <w:vAlign w:val="center"/>
                </w:tcPr>
                <w:p w14:paraId="1AB56549">
                  <w:pPr>
                    <w:pStyle w:val="15"/>
                    <w:bidi w:val="0"/>
                    <w:rPr>
                      <w:rFonts w:hint="eastAsia"/>
                      <w:color w:val="auto"/>
                      <w:lang w:val="en-US" w:eastAsia="zh-CN"/>
                    </w:rPr>
                  </w:pPr>
                  <w:r>
                    <w:rPr>
                      <w:rFonts w:hint="eastAsia"/>
                      <w:color w:val="auto"/>
                      <w:lang w:val="en-US" w:eastAsia="zh-CN"/>
                    </w:rPr>
                    <w:t>0.05</w:t>
                  </w:r>
                </w:p>
              </w:tc>
            </w:tr>
            <w:tr w14:paraId="4D5C4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pct"/>
                  <w:tcBorders>
                    <w:tl2br w:val="nil"/>
                    <w:tr2bl w:val="nil"/>
                  </w:tcBorders>
                  <w:shd w:val="clear" w:color="auto" w:fill="auto"/>
                  <w:tcMar>
                    <w:top w:w="0" w:type="dxa"/>
                    <w:left w:w="0" w:type="dxa"/>
                    <w:bottom w:w="0" w:type="dxa"/>
                    <w:right w:w="0" w:type="dxa"/>
                  </w:tcMar>
                  <w:vAlign w:val="center"/>
                </w:tcPr>
                <w:p w14:paraId="274DF936">
                  <w:pPr>
                    <w:pStyle w:val="15"/>
                    <w:bidi w:val="0"/>
                    <w:rPr>
                      <w:rFonts w:hint="eastAsia"/>
                      <w:color w:val="auto"/>
                      <w:lang w:val="en-US" w:eastAsia="zh-CN"/>
                    </w:rPr>
                  </w:pPr>
                  <w:r>
                    <w:rPr>
                      <w:rFonts w:hint="eastAsia"/>
                      <w:color w:val="auto"/>
                      <w:lang w:val="en-US" w:eastAsia="zh-CN"/>
                    </w:rPr>
                    <w:t>钠</w:t>
                  </w:r>
                </w:p>
              </w:tc>
              <w:tc>
                <w:tcPr>
                  <w:tcW w:w="3812" w:type="pct"/>
                  <w:vMerge w:val="continue"/>
                  <w:tcBorders>
                    <w:tl2br w:val="nil"/>
                    <w:tr2bl w:val="nil"/>
                  </w:tcBorders>
                  <w:shd w:val="clear" w:color="auto" w:fill="auto"/>
                  <w:tcMar>
                    <w:top w:w="0" w:type="dxa"/>
                    <w:left w:w="0" w:type="dxa"/>
                    <w:bottom w:w="0" w:type="dxa"/>
                    <w:right w:w="0" w:type="dxa"/>
                  </w:tcMar>
                  <w:vAlign w:val="center"/>
                </w:tcPr>
                <w:p w14:paraId="4F2D7741">
                  <w:pPr>
                    <w:pStyle w:val="15"/>
                    <w:bidi w:val="0"/>
                    <w:rPr>
                      <w:rFonts w:hint="eastAsia"/>
                      <w:color w:val="auto"/>
                    </w:rPr>
                  </w:pPr>
                </w:p>
              </w:tc>
              <w:tc>
                <w:tcPr>
                  <w:tcW w:w="422" w:type="pct"/>
                  <w:tcBorders>
                    <w:tl2br w:val="nil"/>
                    <w:tr2bl w:val="nil"/>
                  </w:tcBorders>
                  <w:shd w:val="clear" w:color="auto" w:fill="auto"/>
                  <w:tcMar>
                    <w:top w:w="0" w:type="dxa"/>
                    <w:left w:w="0" w:type="dxa"/>
                    <w:bottom w:w="0" w:type="dxa"/>
                    <w:right w:w="0" w:type="dxa"/>
                  </w:tcMar>
                  <w:vAlign w:val="center"/>
                </w:tcPr>
                <w:p w14:paraId="5373DB9C">
                  <w:pPr>
                    <w:pStyle w:val="15"/>
                    <w:bidi w:val="0"/>
                    <w:rPr>
                      <w:rFonts w:hint="eastAsia"/>
                      <w:color w:val="auto"/>
                      <w:lang w:val="en-US" w:eastAsia="zh-CN"/>
                    </w:rPr>
                  </w:pPr>
                  <w:r>
                    <w:rPr>
                      <w:rFonts w:hint="eastAsia"/>
                      <w:color w:val="auto"/>
                      <w:lang w:val="en-US" w:eastAsia="zh-CN"/>
                    </w:rPr>
                    <w:t>0.01</w:t>
                  </w:r>
                </w:p>
              </w:tc>
            </w:tr>
          </w:tbl>
          <w:p w14:paraId="607716F7">
            <w:pPr>
              <w:rPr>
                <w:rFonts w:hint="default"/>
                <w:color w:val="auto"/>
                <w:lang w:val="en-US" w:eastAsia="zh-CN"/>
              </w:rPr>
            </w:pPr>
            <w:r>
              <w:rPr>
                <w:rFonts w:hint="eastAsia"/>
                <w:color w:val="auto"/>
                <w:lang w:val="en-US" w:eastAsia="zh-CN"/>
              </w:rPr>
              <w:t>（4）评价方法</w:t>
            </w:r>
          </w:p>
          <w:p w14:paraId="7DB2F5F7">
            <w:pPr>
              <w:outlineLvl w:val="9"/>
              <w:rPr>
                <w:rFonts w:hint="eastAsia"/>
                <w:color w:val="auto"/>
                <w:highlight w:val="none"/>
                <w:lang w:eastAsia="zh-CN"/>
              </w:rPr>
            </w:pPr>
            <w:r>
              <w:rPr>
                <w:rFonts w:hint="eastAsia"/>
                <w:color w:val="auto"/>
                <w:highlight w:val="none"/>
              </w:rPr>
              <w:t>地下水水质现状评价采用标准指数法。标准指数&gt;1，表明该水质因子已超标，标准指数越大，超标越严重。标准指数计算公式分为以下两种情况</w:t>
            </w:r>
            <w:r>
              <w:rPr>
                <w:rFonts w:hint="eastAsia"/>
                <w:color w:val="auto"/>
                <w:highlight w:val="none"/>
                <w:lang w:eastAsia="zh-CN"/>
              </w:rPr>
              <w:t>：</w:t>
            </w:r>
          </w:p>
          <w:p w14:paraId="703596E3">
            <w:pPr>
              <w:outlineLvl w:val="9"/>
              <w:rPr>
                <w:rFonts w:hint="eastAsia"/>
                <w:color w:val="auto"/>
                <w:highlight w:val="none"/>
                <w:lang w:val="en-US" w:eastAsia="zh-CN"/>
              </w:rPr>
            </w:pPr>
            <w:r>
              <w:rPr>
                <w:rFonts w:hint="eastAsia"/>
                <w:color w:val="auto"/>
                <w:highlight w:val="none"/>
              </w:rPr>
              <w:t>对于评价标准为定值的水质因子，其标准指数计算方法</w:t>
            </w:r>
            <w:r>
              <w:rPr>
                <w:rFonts w:hint="eastAsia"/>
                <w:color w:val="auto"/>
                <w:highlight w:val="none"/>
                <w:lang w:val="en-US" w:eastAsia="zh-CN"/>
              </w:rPr>
              <w:t>如下：</w:t>
            </w:r>
          </w:p>
          <w:p w14:paraId="07A91176">
            <w:pPr>
              <w:bidi w:val="0"/>
              <w:rPr>
                <w:rFonts w:hint="default"/>
                <w:color w:val="auto"/>
                <w:lang w:val="en-US" w:eastAsia="zh-CN"/>
              </w:rPr>
            </w:pPr>
            <m:oMathPara>
              <m:oMath>
                <m:sSub>
                  <m:sSubPr>
                    <m:ctrlPr>
                      <w:rPr>
                        <w:rFonts w:ascii="Cambria Math" w:hAnsi="Cambria Math"/>
                        <w:color w:val="auto"/>
                        <w:lang w:val="en-US"/>
                      </w:rPr>
                    </m:ctrlPr>
                  </m:sSubPr>
                  <m:e>
                    <m:r>
                      <m:rPr>
                        <m:sty m:val="p"/>
                      </m:rPr>
                      <w:rPr>
                        <w:rFonts w:hint="default" w:ascii="Times New Roman" w:hAnsi="Times New Roman"/>
                        <w:color w:val="auto"/>
                        <w:lang w:val="en-US" w:eastAsia="zh-CN"/>
                      </w:rPr>
                      <m:t>P</m:t>
                    </m:r>
                    <m:ctrlPr>
                      <w:rPr>
                        <w:rFonts w:ascii="Cambria Math" w:hAnsi="Cambria Math"/>
                        <w:color w:val="auto"/>
                        <w:lang w:val="en-US"/>
                      </w:rPr>
                    </m:ctrlPr>
                  </m:e>
                  <m:sub>
                    <m:r>
                      <m:rPr>
                        <m:sty m:val="p"/>
                      </m:rPr>
                      <w:rPr>
                        <w:rFonts w:hint="default" w:ascii="Times New Roman" w:hAnsi="Times New Roman"/>
                        <w:color w:val="auto"/>
                        <w:lang w:val="en-US" w:eastAsia="zh-CN"/>
                      </w:rPr>
                      <m:t>i</m:t>
                    </m:r>
                    <m:ctrlPr>
                      <w:rPr>
                        <w:rFonts w:ascii="Cambria Math" w:hAnsi="Cambria Math"/>
                        <w:color w:val="auto"/>
                        <w:lang w:val="en-US"/>
                      </w:rPr>
                    </m:ctrlPr>
                  </m:sub>
                </m:sSub>
                <m:r>
                  <m:rPr>
                    <m:sty m:val="p"/>
                  </m:rPr>
                  <w:rPr>
                    <w:rFonts w:hint="eastAsia" w:ascii="Times New Roman" w:hAnsi="Times New Roman"/>
                    <w:color w:val="auto"/>
                    <w:lang w:val="en-US" w:eastAsia="zh-CN"/>
                  </w:rPr>
                  <m:t>=</m:t>
                </m:r>
                <m:f>
                  <m:fPr>
                    <m:ctrlPr>
                      <w:rPr>
                        <w:rFonts w:hint="eastAsia" w:ascii="Cambria Math" w:hAnsi="Cambria Math"/>
                        <w:color w:val="auto"/>
                        <w:lang w:val="en-US" w:eastAsia="zh-CN"/>
                      </w:rPr>
                    </m:ctrlPr>
                  </m:fPr>
                  <m:num>
                    <m:sSub>
                      <m:sSubPr>
                        <m:ctrlPr>
                          <w:rPr>
                            <w:rFonts w:hint="eastAsia" w:ascii="Cambria Math" w:hAnsi="Cambria Math"/>
                            <w:color w:val="auto"/>
                            <w:lang w:val="en-US" w:eastAsia="zh-CN"/>
                          </w:rPr>
                        </m:ctrlPr>
                      </m:sSubPr>
                      <m:e>
                        <m:r>
                          <m:rPr>
                            <m:sty m:val="p"/>
                          </m:rPr>
                          <w:rPr>
                            <w:rFonts w:hint="default" w:ascii="Times New Roman" w:hAnsi="Times New Roman"/>
                            <w:color w:val="auto"/>
                            <w:lang w:val="en-US" w:eastAsia="zh-CN"/>
                          </w:rPr>
                          <m:t>C</m:t>
                        </m:r>
                        <m:ctrlPr>
                          <w:rPr>
                            <w:rFonts w:hint="eastAsia" w:ascii="Cambria Math" w:hAnsi="Cambria Math"/>
                            <w:color w:val="auto"/>
                            <w:lang w:val="en-US" w:eastAsia="zh-CN"/>
                          </w:rPr>
                        </m:ctrlPr>
                      </m:e>
                      <m:sub>
                        <m:r>
                          <m:rPr>
                            <m:sty m:val="p"/>
                          </m:rPr>
                          <w:rPr>
                            <w:rFonts w:hint="default" w:ascii="Times New Roman" w:hAnsi="Times New Roman"/>
                            <w:color w:val="auto"/>
                            <w:lang w:val="en-US" w:eastAsia="zh-CN"/>
                          </w:rPr>
                          <m:t>i</m:t>
                        </m:r>
                        <m:ctrlPr>
                          <w:rPr>
                            <w:rFonts w:hint="eastAsia" w:ascii="Cambria Math" w:hAnsi="Cambria Math"/>
                            <w:color w:val="auto"/>
                            <w:lang w:val="en-US" w:eastAsia="zh-CN"/>
                          </w:rPr>
                        </m:ctrlPr>
                      </m:sub>
                    </m:sSub>
                    <m:ctrlPr>
                      <w:rPr>
                        <w:rFonts w:hint="eastAsia" w:ascii="Cambria Math" w:hAnsi="Cambria Math"/>
                        <w:color w:val="auto"/>
                        <w:lang w:val="en-US" w:eastAsia="zh-CN"/>
                      </w:rPr>
                    </m:ctrlPr>
                  </m:num>
                  <m:den>
                    <m:sSub>
                      <m:sSubPr>
                        <m:ctrlPr>
                          <w:rPr>
                            <w:rFonts w:hint="eastAsia" w:ascii="Cambria Math" w:hAnsi="Cambria Math"/>
                            <w:color w:val="auto"/>
                            <w:lang w:val="en-US" w:eastAsia="zh-CN"/>
                          </w:rPr>
                        </m:ctrlPr>
                      </m:sSubPr>
                      <m:e>
                        <m:r>
                          <m:rPr>
                            <m:sty m:val="p"/>
                          </m:rPr>
                          <w:rPr>
                            <w:rFonts w:hint="default" w:ascii="Times New Roman" w:hAnsi="Times New Roman"/>
                            <w:color w:val="auto"/>
                            <w:lang w:val="en-US" w:eastAsia="zh-CN"/>
                          </w:rPr>
                          <m:t>C</m:t>
                        </m:r>
                        <m:ctrlPr>
                          <w:rPr>
                            <w:rFonts w:hint="eastAsia" w:ascii="Cambria Math" w:hAnsi="Cambria Math"/>
                            <w:color w:val="auto"/>
                            <w:lang w:val="en-US" w:eastAsia="zh-CN"/>
                          </w:rPr>
                        </m:ctrlPr>
                      </m:e>
                      <m:sub>
                        <m:r>
                          <m:rPr>
                            <m:sty m:val="p"/>
                          </m:rPr>
                          <w:rPr>
                            <w:rFonts w:hint="default" w:ascii="Times New Roman" w:hAnsi="Times New Roman"/>
                            <w:color w:val="auto"/>
                            <w:lang w:val="en-US" w:eastAsia="zh-CN"/>
                          </w:rPr>
                          <m:t>si</m:t>
                        </m:r>
                        <m:ctrlPr>
                          <w:rPr>
                            <w:rFonts w:hint="eastAsia" w:ascii="Cambria Math" w:hAnsi="Cambria Math"/>
                            <w:color w:val="auto"/>
                            <w:lang w:val="en-US" w:eastAsia="zh-CN"/>
                          </w:rPr>
                        </m:ctrlPr>
                      </m:sub>
                    </m:sSub>
                    <m:ctrlPr>
                      <w:rPr>
                        <w:rFonts w:hint="eastAsia" w:ascii="Cambria Math" w:hAnsi="Cambria Math"/>
                        <w:color w:val="auto"/>
                        <w:lang w:val="en-US" w:eastAsia="zh-CN"/>
                      </w:rPr>
                    </m:ctrlPr>
                  </m:den>
                </m:f>
                <m:r>
                  <m:rPr>
                    <m:sty m:val="p"/>
                  </m:rPr>
                  <w:rPr>
                    <w:rFonts w:hint="default" w:ascii="Times New Roman" w:hAnsi="Times New Roman"/>
                    <w:color w:val="auto"/>
                    <w:lang w:val="en-US" w:eastAsia="zh-CN"/>
                  </w:rPr>
                  <m:t xml:space="preserve"> </m:t>
                </m:r>
              </m:oMath>
            </m:oMathPara>
          </w:p>
          <w:p w14:paraId="1A8A9F3A">
            <w:pPr>
              <w:bidi w:val="0"/>
              <w:outlineLvl w:val="9"/>
              <w:rPr>
                <w:rFonts w:hint="default"/>
                <w:color w:val="auto"/>
                <w:highlight w:val="none"/>
                <w:lang w:val="en-US" w:eastAsia="zh-CN"/>
              </w:rPr>
            </w:pPr>
            <w:r>
              <w:rPr>
                <w:rFonts w:hint="default"/>
                <w:color w:val="auto"/>
                <w:highlight w:val="none"/>
                <w:lang w:val="en-US" w:eastAsia="zh-CN"/>
              </w:rPr>
              <w:t>式中</w:t>
            </w:r>
            <w:r>
              <w:rPr>
                <w:rFonts w:hint="eastAsia"/>
                <w:color w:val="auto"/>
                <w:highlight w:val="none"/>
                <w:lang w:val="en-US" w:eastAsia="zh-CN"/>
              </w:rPr>
              <w:t>：</w:t>
            </w: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P</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i</m:t>
                  </m:r>
                  <m:ctrlPr>
                    <w:rPr>
                      <w:rFonts w:ascii="Cambria Math" w:hAnsi="Cambria Math"/>
                      <w:i/>
                      <w:color w:val="auto"/>
                      <w:highlight w:val="none"/>
                      <w:lang w:val="en-US"/>
                    </w:rPr>
                  </m:ctrlPr>
                </m:sub>
              </m:sSub>
            </m:oMath>
            <w:r>
              <w:rPr>
                <w:color w:val="auto"/>
                <w:highlight w:val="none"/>
              </w:rPr>
              <w:t>——</w:t>
            </w:r>
            <w:r>
              <w:rPr>
                <w:rFonts w:hint="default"/>
                <w:color w:val="auto"/>
                <w:highlight w:val="none"/>
                <w:lang w:val="en-US" w:eastAsia="zh-CN"/>
              </w:rPr>
              <w:t>第i个水质因子的标准指数</w:t>
            </w:r>
            <w:r>
              <w:rPr>
                <w:rFonts w:hint="eastAsia"/>
                <w:color w:val="auto"/>
                <w:highlight w:val="none"/>
                <w:lang w:val="en-US" w:eastAsia="zh-CN"/>
              </w:rPr>
              <w:t>，</w:t>
            </w:r>
            <w:r>
              <w:rPr>
                <w:rFonts w:hint="default"/>
                <w:color w:val="auto"/>
                <w:highlight w:val="none"/>
                <w:lang w:val="en-US" w:eastAsia="zh-CN"/>
              </w:rPr>
              <w:t>无量纲</w:t>
            </w:r>
            <w:r>
              <w:rPr>
                <w:rFonts w:hint="eastAsia"/>
                <w:color w:val="auto"/>
                <w:highlight w:val="none"/>
                <w:lang w:val="en-US" w:eastAsia="zh-CN"/>
              </w:rPr>
              <w:t>；</w:t>
            </w:r>
          </w:p>
          <w:p w14:paraId="28D59C96">
            <w:pPr>
              <w:bidi w:val="0"/>
              <w:outlineLvl w:val="9"/>
              <w:rPr>
                <w:rFonts w:hint="default"/>
                <w:color w:val="auto"/>
                <w:highlight w:val="none"/>
                <w:lang w:val="en-US" w:eastAsia="zh-CN"/>
              </w:rPr>
            </w:pPr>
            <m:oMath>
              <m:sSub>
                <m:sSubPr>
                  <m:ctrlPr>
                    <w:rPr>
                      <w:rFonts w:hint="eastAsia" w:ascii="Cambria Math" w:hAnsi="Cambria Math"/>
                      <w:i/>
                      <w:color w:val="auto"/>
                      <w:highlight w:val="none"/>
                      <w:lang w:val="en-US" w:eastAsia="zh-CN"/>
                    </w:rPr>
                  </m:ctrlPr>
                </m:sSubPr>
                <m:e>
                  <m:r>
                    <m:rPr/>
                    <w:rPr>
                      <w:rFonts w:hint="default" w:ascii="Cambria Math" w:hAnsi="Cambria Math"/>
                      <w:color w:val="auto"/>
                      <w:highlight w:val="none"/>
                      <w:lang w:val="en-US" w:eastAsia="zh-CN"/>
                    </w:rPr>
                    <m:t>C</m:t>
                  </m:r>
                  <m:ctrlPr>
                    <w:rPr>
                      <w:rFonts w:hint="eastAsia" w:ascii="Cambria Math" w:hAnsi="Cambria Math"/>
                      <w:i/>
                      <w:color w:val="auto"/>
                      <w:highlight w:val="none"/>
                      <w:lang w:val="en-US" w:eastAsia="zh-CN"/>
                    </w:rPr>
                  </m:ctrlPr>
                </m:e>
                <m:sub>
                  <m:r>
                    <m:rPr/>
                    <w:rPr>
                      <w:rFonts w:hint="default" w:ascii="Cambria Math" w:hAnsi="Cambria Math"/>
                      <w:color w:val="auto"/>
                      <w:highlight w:val="none"/>
                      <w:lang w:val="en-US" w:eastAsia="zh-CN"/>
                    </w:rPr>
                    <m:t>i</m:t>
                  </m:r>
                  <m:ctrlPr>
                    <w:rPr>
                      <w:rFonts w:hint="eastAsia" w:ascii="Cambria Math" w:hAnsi="Cambria Math"/>
                      <w:i/>
                      <w:color w:val="auto"/>
                      <w:highlight w:val="none"/>
                      <w:lang w:val="en-US" w:eastAsia="zh-CN"/>
                    </w:rPr>
                  </m:ctrlPr>
                </m:sub>
              </m:sSub>
            </m:oMath>
            <w:r>
              <w:rPr>
                <w:color w:val="auto"/>
                <w:highlight w:val="none"/>
              </w:rPr>
              <w:t>——</w:t>
            </w:r>
            <w:r>
              <w:rPr>
                <w:rFonts w:hint="default"/>
                <w:color w:val="auto"/>
                <w:highlight w:val="none"/>
                <w:lang w:val="en-US" w:eastAsia="zh-CN"/>
              </w:rPr>
              <w:t>第i个水质因子的监测浓度值，</w:t>
            </w:r>
            <w:r>
              <w:rPr>
                <w:rFonts w:cs="Times New Roman"/>
                <w:color w:val="auto"/>
                <w:highlight w:val="none"/>
              </w:rPr>
              <w:t>mg/</w:t>
            </w:r>
            <w:r>
              <w:rPr>
                <w:rFonts w:hint="eastAsia" w:cs="Times New Roman"/>
                <w:color w:val="auto"/>
                <w:highlight w:val="none"/>
                <w:lang w:val="en-US" w:eastAsia="zh-CN"/>
              </w:rPr>
              <w:t>L</w:t>
            </w:r>
            <w:r>
              <w:rPr>
                <w:rFonts w:hint="eastAsia"/>
                <w:color w:val="auto"/>
                <w:highlight w:val="none"/>
                <w:lang w:val="en-US" w:eastAsia="zh-CN"/>
              </w:rPr>
              <w:t>；</w:t>
            </w:r>
          </w:p>
          <w:p w14:paraId="259A6FF9">
            <w:pPr>
              <w:bidi w:val="0"/>
              <w:outlineLvl w:val="9"/>
              <w:rPr>
                <w:rFonts w:hint="default"/>
                <w:color w:val="auto"/>
                <w:highlight w:val="none"/>
                <w:lang w:val="en-US" w:eastAsia="zh-CN"/>
              </w:rPr>
            </w:pPr>
            <m:oMath>
              <m:sSub>
                <m:sSubPr>
                  <m:ctrlPr>
                    <w:rPr>
                      <w:rFonts w:hint="eastAsia" w:ascii="Cambria Math" w:hAnsi="Cambria Math"/>
                      <w:i/>
                      <w:color w:val="auto"/>
                      <w:highlight w:val="none"/>
                      <w:lang w:val="en-US" w:eastAsia="zh-CN"/>
                    </w:rPr>
                  </m:ctrlPr>
                </m:sSubPr>
                <m:e>
                  <m:r>
                    <m:rPr/>
                    <w:rPr>
                      <w:rFonts w:hint="default" w:ascii="Cambria Math" w:hAnsi="Cambria Math"/>
                      <w:color w:val="auto"/>
                      <w:highlight w:val="none"/>
                      <w:lang w:val="en-US" w:eastAsia="zh-CN"/>
                    </w:rPr>
                    <m:t>C</m:t>
                  </m:r>
                  <m:ctrlPr>
                    <w:rPr>
                      <w:rFonts w:hint="eastAsia" w:ascii="Cambria Math" w:hAnsi="Cambria Math"/>
                      <w:i/>
                      <w:color w:val="auto"/>
                      <w:highlight w:val="none"/>
                      <w:lang w:val="en-US" w:eastAsia="zh-CN"/>
                    </w:rPr>
                  </m:ctrlPr>
                </m:e>
                <m:sub>
                  <m:r>
                    <m:rPr/>
                    <w:rPr>
                      <w:rFonts w:hint="default" w:ascii="Cambria Math" w:hAnsi="Cambria Math"/>
                      <w:color w:val="auto"/>
                      <w:highlight w:val="none"/>
                      <w:lang w:val="en-US" w:eastAsia="zh-CN"/>
                    </w:rPr>
                    <m:t>si</m:t>
                  </m:r>
                  <m:ctrlPr>
                    <w:rPr>
                      <w:rFonts w:hint="eastAsia" w:ascii="Cambria Math" w:hAnsi="Cambria Math"/>
                      <w:i/>
                      <w:color w:val="auto"/>
                      <w:highlight w:val="none"/>
                      <w:lang w:val="en-US" w:eastAsia="zh-CN"/>
                    </w:rPr>
                  </m:ctrlPr>
                </m:sub>
              </m:sSub>
            </m:oMath>
            <w:r>
              <w:rPr>
                <w:color w:val="auto"/>
                <w:highlight w:val="none"/>
              </w:rPr>
              <w:t>——</w:t>
            </w:r>
            <w:r>
              <w:rPr>
                <w:rFonts w:hint="default"/>
                <w:color w:val="auto"/>
                <w:highlight w:val="none"/>
                <w:lang w:val="en-US" w:eastAsia="zh-CN"/>
              </w:rPr>
              <w:t>第i个水质因子的标准浓度值，</w:t>
            </w:r>
            <w:r>
              <w:rPr>
                <w:rFonts w:cs="Times New Roman"/>
                <w:color w:val="auto"/>
                <w:highlight w:val="none"/>
              </w:rPr>
              <w:t>mg/</w:t>
            </w:r>
            <w:r>
              <w:rPr>
                <w:rFonts w:hint="eastAsia" w:cs="Times New Roman"/>
                <w:color w:val="auto"/>
                <w:highlight w:val="none"/>
                <w:lang w:val="en-US" w:eastAsia="zh-CN"/>
              </w:rPr>
              <w:t>L。</w:t>
            </w:r>
          </w:p>
          <w:p w14:paraId="4C979C4E">
            <w:pPr>
              <w:bidi w:val="0"/>
              <w:outlineLvl w:val="9"/>
              <w:rPr>
                <w:rFonts w:hint="eastAsia"/>
                <w:color w:val="auto"/>
                <w:highlight w:val="none"/>
                <w:lang w:val="en-US" w:eastAsia="zh-CN"/>
              </w:rPr>
            </w:pPr>
            <w:r>
              <w:rPr>
                <w:rFonts w:hint="eastAsia"/>
                <w:color w:val="auto"/>
                <w:highlight w:val="none"/>
                <w:lang w:val="en-US" w:eastAsia="zh-CN"/>
              </w:rPr>
              <w:t>对于评价标准为区间值的水质因子（如pH值），其标准指数计算方法如下：</w:t>
            </w:r>
          </w:p>
          <w:p w14:paraId="594EE7EE">
            <w:pPr>
              <w:bidi w:val="0"/>
              <w:outlineLvl w:val="9"/>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p</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pH</m:t>
                    </m:r>
                    <m:ctrlPr>
                      <w:rPr>
                        <w:rFonts w:ascii="Cambria Math" w:hAnsi="Cambria Math"/>
                        <w:i/>
                        <w:color w:val="auto"/>
                        <w:highlight w:val="none"/>
                        <w:lang w:val="en-US"/>
                      </w:rPr>
                    </m:ctrlPr>
                  </m:sub>
                </m:sSub>
                <m:r>
                  <m:rPr/>
                  <w:rPr>
                    <w:rFonts w:hint="default" w:ascii="Cambria Math" w:hAnsi="Cambria Math"/>
                    <w:color w:val="auto"/>
                    <w:highlight w:val="none"/>
                    <w:lang w:val="en-US" w:eastAsia="zh-CN"/>
                  </w:rPr>
                  <m:t>=</m:t>
                </m:r>
                <m:f>
                  <m:fPr>
                    <m:ctrlPr>
                      <w:rPr>
                        <w:rFonts w:hint="default" w:ascii="Cambria Math" w:hAnsi="Cambria Math"/>
                        <w:i/>
                        <w:color w:val="auto"/>
                        <w:highlight w:val="none"/>
                        <w:lang w:val="en-US" w:eastAsia="zh-CN"/>
                      </w:rPr>
                    </m:ctrlPr>
                  </m:fPr>
                  <m:num>
                    <m:r>
                      <m:rPr/>
                      <w:rPr>
                        <w:rFonts w:hint="default" w:ascii="Cambria Math" w:hAnsi="Cambria Math"/>
                        <w:color w:val="auto"/>
                        <w:highlight w:val="none"/>
                        <w:lang w:val="en-US" w:eastAsia="zh-CN"/>
                      </w:rPr>
                      <m:t>7.0−pH</m:t>
                    </m:r>
                    <m:ctrlPr>
                      <w:rPr>
                        <w:rFonts w:hint="default" w:ascii="Cambria Math" w:hAnsi="Cambria Math"/>
                        <w:i/>
                        <w:color w:val="auto"/>
                        <w:highlight w:val="none"/>
                        <w:lang w:val="en-US" w:eastAsia="zh-CN"/>
                      </w:rPr>
                    </m:ctrlPr>
                  </m:num>
                  <m:den>
                    <m:r>
                      <m:rPr/>
                      <w:rPr>
                        <w:rFonts w:hint="default" w:ascii="Cambria Math" w:hAnsi="Cambria Math"/>
                        <w:color w:val="auto"/>
                        <w:highlight w:val="none"/>
                        <w:lang w:val="en-US" w:eastAsia="zh-CN"/>
                      </w:rPr>
                      <m:t>7.0−</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PH</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sd</m:t>
                        </m:r>
                        <m:ctrlPr>
                          <w:rPr>
                            <w:rFonts w:hint="default" w:ascii="Cambria Math" w:hAnsi="Cambria Math"/>
                            <w:i/>
                            <w:color w:val="auto"/>
                            <w:highlight w:val="none"/>
                            <w:lang w:val="en-US" w:eastAsia="zh-CN"/>
                          </w:rPr>
                        </m:ctrlPr>
                      </m:sub>
                    </m:sSub>
                    <m:ctrlPr>
                      <w:rPr>
                        <w:rFonts w:hint="default" w:ascii="Cambria Math" w:hAnsi="Cambria Math"/>
                        <w:i/>
                        <w:color w:val="auto"/>
                        <w:highlight w:val="none"/>
                        <w:lang w:val="en-US" w:eastAsia="zh-CN"/>
                      </w:rPr>
                    </m:ctrlPr>
                  </m:den>
                </m:f>
                <m:r>
                  <m:rPr/>
                  <w:rPr>
                    <w:rFonts w:hint="default" w:ascii="Cambria Math" w:hAnsi="Cambria Math"/>
                    <w:color w:val="auto"/>
                    <w:highlight w:val="none"/>
                    <w:lang w:val="en-US" w:eastAsia="zh-CN"/>
                  </w:rPr>
                  <m:t xml:space="preserve">       pH</m:t>
                </m:r>
                <m:r>
                  <m:rPr/>
                  <w:rPr>
                    <w:rFonts w:hint="eastAsia" w:ascii="Cambria Math" w:hAnsi="Cambria Math"/>
                    <w:color w:val="auto"/>
                    <w:highlight w:val="none"/>
                    <w:lang w:val="en-US" w:eastAsia="zh-CN"/>
                  </w:rPr>
                  <m:t>≤</m:t>
                </m:r>
                <m:r>
                  <m:rPr/>
                  <w:rPr>
                    <w:rFonts w:hint="default" w:ascii="Cambria Math" w:hAnsi="Cambria Math"/>
                    <w:color w:val="auto"/>
                    <w:highlight w:val="none"/>
                    <w:lang w:val="en-US" w:eastAsia="zh-CN"/>
                  </w:rPr>
                  <m:t>7</m:t>
                </m:r>
                <m:r>
                  <m:rPr>
                    <m:sty m:val="p"/>
                  </m:rPr>
                  <w:rPr>
                    <w:rFonts w:hint="eastAsia" w:ascii="Cambria Math" w:hAnsi="Cambria Math"/>
                    <w:color w:val="auto"/>
                    <w:highlight w:val="none"/>
                    <w:lang w:val="en-US" w:eastAsia="zh-CN"/>
                  </w:rPr>
                  <m:t>时</m:t>
                </m:r>
              </m:oMath>
            </m:oMathPara>
          </w:p>
          <w:p w14:paraId="5A731EFC">
            <w:pPr>
              <w:bidi w:val="0"/>
              <w:outlineLvl w:val="9"/>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p</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pH</m:t>
                    </m:r>
                    <m:ctrlPr>
                      <w:rPr>
                        <w:rFonts w:ascii="Cambria Math" w:hAnsi="Cambria Math"/>
                        <w:i/>
                        <w:color w:val="auto"/>
                        <w:highlight w:val="none"/>
                        <w:lang w:val="en-US"/>
                      </w:rPr>
                    </m:ctrlPr>
                  </m:sub>
                </m:sSub>
                <m:r>
                  <m:rPr/>
                  <w:rPr>
                    <w:rFonts w:hint="default" w:ascii="Cambria Math" w:hAnsi="Cambria Math"/>
                    <w:color w:val="auto"/>
                    <w:highlight w:val="none"/>
                    <w:lang w:val="en-US" w:eastAsia="zh-CN"/>
                  </w:rPr>
                  <m:t>=</m:t>
                </m:r>
                <m:f>
                  <m:fPr>
                    <m:ctrlPr>
                      <w:rPr>
                        <w:rFonts w:hint="default" w:ascii="Cambria Math" w:hAnsi="Cambria Math"/>
                        <w:i/>
                        <w:color w:val="auto"/>
                        <w:highlight w:val="none"/>
                        <w:lang w:val="en-US" w:eastAsia="zh-CN"/>
                      </w:rPr>
                    </m:ctrlPr>
                  </m:fPr>
                  <m:num>
                    <m:r>
                      <m:rPr/>
                      <w:rPr>
                        <w:rFonts w:hint="default" w:ascii="Cambria Math" w:hAnsi="Cambria Math"/>
                        <w:color w:val="auto"/>
                        <w:highlight w:val="none"/>
                        <w:lang w:val="en-US" w:eastAsia="zh-CN"/>
                      </w:rPr>
                      <m:t>pH−7.0</m:t>
                    </m:r>
                    <m:ctrlPr>
                      <w:rPr>
                        <w:rFonts w:hint="default" w:ascii="Cambria Math" w:hAnsi="Cambria Math"/>
                        <w:i/>
                        <w:color w:val="auto"/>
                        <w:highlight w:val="none"/>
                        <w:lang w:val="en-US" w:eastAsia="zh-CN"/>
                      </w:rPr>
                    </m:ctrlPr>
                  </m:num>
                  <m:den>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PH</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su</m:t>
                        </m:r>
                        <m:ctrlPr>
                          <w:rPr>
                            <w:rFonts w:hint="default" w:ascii="Cambria Math" w:hAnsi="Cambria Math"/>
                            <w:i/>
                            <w:color w:val="auto"/>
                            <w:highlight w:val="none"/>
                            <w:lang w:val="en-US" w:eastAsia="zh-CN"/>
                          </w:rPr>
                        </m:ctrlPr>
                      </m:sub>
                    </m:sSub>
                    <m:r>
                      <m:rPr/>
                      <w:rPr>
                        <w:rFonts w:hint="default" w:ascii="Cambria Math" w:hAnsi="Cambria Math"/>
                        <w:color w:val="auto"/>
                        <w:highlight w:val="none"/>
                        <w:lang w:val="en-US" w:eastAsia="zh-CN"/>
                      </w:rPr>
                      <m:t>−7.0</m:t>
                    </m:r>
                    <m:ctrlPr>
                      <w:rPr>
                        <w:rFonts w:hint="default" w:ascii="Cambria Math" w:hAnsi="Cambria Math"/>
                        <w:i/>
                        <w:color w:val="auto"/>
                        <w:highlight w:val="none"/>
                        <w:lang w:val="en-US" w:eastAsia="zh-CN"/>
                      </w:rPr>
                    </m:ctrlPr>
                  </m:den>
                </m:f>
                <m:r>
                  <m:rPr/>
                  <w:rPr>
                    <w:rFonts w:hint="default" w:ascii="Cambria Math" w:hAnsi="Cambria Math"/>
                    <w:color w:val="auto"/>
                    <w:highlight w:val="none"/>
                    <w:lang w:val="en-US" w:eastAsia="zh-CN"/>
                  </w:rPr>
                  <m:t xml:space="preserve">       pH</m:t>
                </m:r>
                <m:r>
                  <m:rPr/>
                  <w:rPr>
                    <w:rFonts w:hint="eastAsia" w:ascii="Cambria Math" w:hAnsi="Cambria Math"/>
                    <w:color w:val="auto"/>
                    <w:highlight w:val="none"/>
                    <w:lang w:val="en-US" w:eastAsia="zh-CN"/>
                  </w:rPr>
                  <m:t>＞</m:t>
                </m:r>
                <m:r>
                  <m:rPr/>
                  <w:rPr>
                    <w:rFonts w:hint="default" w:ascii="Cambria Math" w:hAnsi="Cambria Math"/>
                    <w:color w:val="auto"/>
                    <w:highlight w:val="none"/>
                    <w:lang w:val="en-US" w:eastAsia="zh-CN"/>
                  </w:rPr>
                  <m:t>7</m:t>
                </m:r>
                <m:r>
                  <m:rPr>
                    <m:sty m:val="p"/>
                  </m:rPr>
                  <w:rPr>
                    <w:rFonts w:hint="eastAsia" w:ascii="Cambria Math" w:hAnsi="Cambria Math"/>
                    <w:color w:val="auto"/>
                    <w:highlight w:val="none"/>
                    <w:lang w:val="en-US" w:eastAsia="zh-CN"/>
                  </w:rPr>
                  <m:t>时</m:t>
                </m:r>
              </m:oMath>
            </m:oMathPara>
          </w:p>
          <w:p w14:paraId="5CFC221C">
            <w:pPr>
              <w:bidi w:val="0"/>
              <w:outlineLvl w:val="9"/>
              <w:rPr>
                <w:rFonts w:hint="default"/>
                <w:color w:val="auto"/>
                <w:highlight w:val="none"/>
                <w:lang w:val="en-US" w:eastAsia="zh-CN"/>
              </w:rPr>
            </w:pPr>
            <w:r>
              <w:rPr>
                <w:rFonts w:hint="default"/>
                <w:color w:val="auto"/>
                <w:highlight w:val="none"/>
                <w:lang w:val="en-US" w:eastAsia="zh-CN"/>
              </w:rPr>
              <w:t>式中</w:t>
            </w:r>
            <w:r>
              <w:rPr>
                <w:rFonts w:hint="eastAsia"/>
                <w:color w:val="auto"/>
                <w:highlight w:val="none"/>
                <w:lang w:val="en-US" w:eastAsia="zh-CN"/>
              </w:rPr>
              <w:t>：</w:t>
            </w: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p</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pH</m:t>
                  </m:r>
                  <m:ctrlPr>
                    <w:rPr>
                      <w:rFonts w:ascii="Cambria Math" w:hAnsi="Cambria Math"/>
                      <w:i/>
                      <w:color w:val="auto"/>
                      <w:highlight w:val="none"/>
                      <w:lang w:val="en-US"/>
                    </w:rPr>
                  </m:ctrlPr>
                </m:sub>
              </m:sSub>
            </m:oMath>
            <w:r>
              <w:rPr>
                <w:color w:val="auto"/>
                <w:highlight w:val="none"/>
              </w:rPr>
              <w:t>——</w:t>
            </w:r>
            <w:r>
              <w:rPr>
                <w:rFonts w:hint="default"/>
                <w:color w:val="auto"/>
                <w:highlight w:val="none"/>
                <w:lang w:val="en-US" w:eastAsia="zh-CN"/>
              </w:rPr>
              <w:t>的标准指数，无量纲</w:t>
            </w:r>
            <w:r>
              <w:rPr>
                <w:rFonts w:hint="eastAsia"/>
                <w:color w:val="auto"/>
                <w:highlight w:val="none"/>
                <w:lang w:val="en-US" w:eastAsia="zh-CN"/>
              </w:rPr>
              <w:t>；</w:t>
            </w:r>
          </w:p>
          <w:p w14:paraId="33173F0D">
            <w:pPr>
              <w:bidi w:val="0"/>
              <w:outlineLvl w:val="9"/>
              <w:rPr>
                <w:rFonts w:hint="default"/>
                <w:color w:val="auto"/>
                <w:highlight w:val="none"/>
                <w:lang w:val="en-US" w:eastAsia="zh-CN"/>
              </w:rPr>
            </w:pPr>
            <m:oMath>
              <m:r>
                <m:rPr/>
                <w:rPr>
                  <w:rFonts w:hint="default" w:ascii="Cambria Math" w:hAnsi="Cambria Math"/>
                  <w:color w:val="auto"/>
                  <w:highlight w:val="none"/>
                  <w:lang w:val="en-US" w:eastAsia="zh-CN"/>
                </w:rPr>
                <m:t>pH</m:t>
              </m:r>
            </m:oMath>
            <w:r>
              <w:rPr>
                <w:color w:val="auto"/>
                <w:highlight w:val="none"/>
              </w:rPr>
              <w:t>——</w:t>
            </w:r>
            <w:r>
              <w:rPr>
                <w:rFonts w:hint="default"/>
                <w:color w:val="auto"/>
                <w:highlight w:val="none"/>
                <w:lang w:val="en-US" w:eastAsia="zh-CN"/>
              </w:rPr>
              <w:t>pH监测值</w:t>
            </w:r>
            <w:r>
              <w:rPr>
                <w:rFonts w:hint="eastAsia"/>
                <w:color w:val="auto"/>
                <w:highlight w:val="none"/>
                <w:lang w:val="en-US" w:eastAsia="zh-CN"/>
              </w:rPr>
              <w:t>；</w:t>
            </w:r>
          </w:p>
          <w:p w14:paraId="667A80D7">
            <w:pPr>
              <w:bidi w:val="0"/>
              <w:outlineLvl w:val="9"/>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PH</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su</m:t>
                  </m:r>
                  <m:ctrlPr>
                    <w:rPr>
                      <w:rFonts w:hint="default" w:ascii="Cambria Math" w:hAnsi="Cambria Math"/>
                      <w:i/>
                      <w:color w:val="auto"/>
                      <w:highlight w:val="none"/>
                      <w:lang w:val="en-US" w:eastAsia="zh-CN"/>
                    </w:rPr>
                  </m:ctrlPr>
                </m:sub>
              </m:sSub>
            </m:oMath>
            <w:r>
              <w:rPr>
                <w:color w:val="auto"/>
                <w:highlight w:val="none"/>
              </w:rPr>
              <w:t>——</w:t>
            </w:r>
            <w:r>
              <w:rPr>
                <w:rFonts w:hint="default"/>
                <w:color w:val="auto"/>
                <w:highlight w:val="none"/>
                <w:lang w:val="en-US" w:eastAsia="zh-CN"/>
              </w:rPr>
              <w:t>标准中pH的上限值</w:t>
            </w:r>
            <w:r>
              <w:rPr>
                <w:rFonts w:hint="eastAsia"/>
                <w:color w:val="auto"/>
                <w:highlight w:val="none"/>
                <w:lang w:val="en-US" w:eastAsia="zh-CN"/>
              </w:rPr>
              <w:t>；</w:t>
            </w:r>
          </w:p>
          <w:p w14:paraId="48CF3E90">
            <w:pPr>
              <w:bidi w:val="0"/>
              <w:outlineLvl w:val="9"/>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PH</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sd</m:t>
                  </m:r>
                  <m:ctrlPr>
                    <w:rPr>
                      <w:rFonts w:hint="default" w:ascii="Cambria Math" w:hAnsi="Cambria Math"/>
                      <w:i/>
                      <w:color w:val="auto"/>
                      <w:highlight w:val="none"/>
                      <w:lang w:val="en-US" w:eastAsia="zh-CN"/>
                    </w:rPr>
                  </m:ctrlPr>
                </m:sub>
              </m:sSub>
            </m:oMath>
            <w:r>
              <w:rPr>
                <w:color w:val="auto"/>
                <w:highlight w:val="none"/>
              </w:rPr>
              <w:t>——</w:t>
            </w:r>
            <w:r>
              <w:rPr>
                <w:rFonts w:hint="default"/>
                <w:color w:val="auto"/>
                <w:highlight w:val="none"/>
                <w:lang w:val="en-US" w:eastAsia="zh-CN"/>
              </w:rPr>
              <w:t>标准中pH的下限值。</w:t>
            </w:r>
          </w:p>
          <w:p w14:paraId="4110E222">
            <w:pPr>
              <w:rPr>
                <w:rFonts w:hint="eastAsia"/>
                <w:color w:val="auto"/>
                <w:lang w:val="en-US" w:eastAsia="zh-CN"/>
              </w:rPr>
            </w:pPr>
            <w:r>
              <w:rPr>
                <w:rFonts w:hint="eastAsia"/>
                <w:color w:val="auto"/>
                <w:lang w:val="en-US" w:eastAsia="zh-CN"/>
              </w:rPr>
              <w:t>（5）评价标准</w:t>
            </w:r>
          </w:p>
          <w:p w14:paraId="394D19F1">
            <w:pPr>
              <w:rPr>
                <w:rFonts w:hint="eastAsia" w:eastAsia="宋体"/>
                <w:color w:val="auto"/>
                <w:lang w:val="en-US" w:eastAsia="zh-CN"/>
              </w:rPr>
            </w:pPr>
            <w:r>
              <w:rPr>
                <w:color w:val="auto"/>
                <w:highlight w:val="none"/>
              </w:rPr>
              <w:t>地下水环境质量执行《地下水质量标准》</w:t>
            </w:r>
            <w:r>
              <w:rPr>
                <w:rFonts w:hint="eastAsia"/>
                <w:color w:val="auto"/>
                <w:highlight w:val="none"/>
                <w:lang w:eastAsia="zh-CN"/>
              </w:rPr>
              <w:t>（</w:t>
            </w:r>
            <w:r>
              <w:rPr>
                <w:color w:val="auto"/>
                <w:highlight w:val="none"/>
              </w:rPr>
              <w:t>GB/T14848-2017</w:t>
            </w:r>
            <w:r>
              <w:rPr>
                <w:rFonts w:hint="eastAsia"/>
                <w:color w:val="auto"/>
                <w:highlight w:val="none"/>
                <w:lang w:eastAsia="zh-CN"/>
              </w:rPr>
              <w:t>）</w:t>
            </w:r>
            <w:r>
              <w:rPr>
                <w:color w:val="auto"/>
                <w:highlight w:val="none"/>
              </w:rPr>
              <w:t>中</w:t>
            </w:r>
            <w:r>
              <w:rPr>
                <w:rFonts w:hint="eastAsia"/>
                <w:color w:val="auto"/>
                <w:highlight w:val="none"/>
              </w:rPr>
              <w:t>Ⅲ</w:t>
            </w:r>
            <w:r>
              <w:rPr>
                <w:color w:val="auto"/>
                <w:highlight w:val="none"/>
              </w:rPr>
              <w:t>类标准</w:t>
            </w:r>
            <w:r>
              <w:rPr>
                <w:rFonts w:hint="eastAsia"/>
                <w:color w:val="auto"/>
                <w:highlight w:val="none"/>
                <w:lang w:eastAsia="zh-CN"/>
              </w:rPr>
              <w:t>。</w:t>
            </w:r>
          </w:p>
          <w:p w14:paraId="2325F0DD">
            <w:pPr>
              <w:rPr>
                <w:rFonts w:hint="default"/>
                <w:color w:val="auto"/>
                <w:lang w:val="en-US" w:eastAsia="zh-CN"/>
              </w:rPr>
            </w:pPr>
            <w:r>
              <w:rPr>
                <w:rFonts w:hint="eastAsia"/>
                <w:color w:val="auto"/>
                <w:lang w:val="en-US" w:eastAsia="zh-CN"/>
              </w:rPr>
              <w:t>（5）监测结果与评价</w:t>
            </w:r>
          </w:p>
          <w:p w14:paraId="1D6B453D">
            <w:pPr>
              <w:bidi w:val="0"/>
              <w:rPr>
                <w:rFonts w:cs="Times New Roman"/>
                <w:color w:val="auto"/>
                <w:highlight w:val="none"/>
              </w:rPr>
            </w:pPr>
            <w:r>
              <w:rPr>
                <w:rFonts w:hint="eastAsia" w:cs="Times New Roman"/>
                <w:color w:val="auto"/>
                <w:highlight w:val="none"/>
                <w:lang w:eastAsia="zh-CN"/>
              </w:rPr>
              <w:t>地下水水质监测</w:t>
            </w:r>
            <w:r>
              <w:rPr>
                <w:rFonts w:cs="Times New Roman"/>
                <w:color w:val="auto"/>
                <w:highlight w:val="none"/>
              </w:rPr>
              <w:t>结果及分析见</w:t>
            </w:r>
            <w:r>
              <w:rPr>
                <w:rFonts w:hint="eastAsia" w:cs="Times New Roman"/>
                <w:color w:val="auto"/>
                <w:highlight w:val="none"/>
                <w:lang w:val="en-US" w:eastAsia="zh-CN"/>
              </w:rPr>
              <w:t>下表21</w:t>
            </w:r>
            <w:r>
              <w:rPr>
                <w:rFonts w:cs="Times New Roman"/>
                <w:color w:val="auto"/>
                <w:highlight w:val="none"/>
              </w:rPr>
              <w:t>。</w:t>
            </w:r>
          </w:p>
          <w:p w14:paraId="18886470">
            <w:pPr>
              <w:pStyle w:val="16"/>
              <w:bidi w:val="0"/>
              <w:rPr>
                <w:rFonts w:hint="eastAsia"/>
                <w:color w:val="auto"/>
                <w:highlight w:val="none"/>
              </w:rPr>
            </w:pPr>
            <w:r>
              <w:t xml:space="preserve">表 </w:t>
            </w:r>
            <w:r>
              <w:fldChar w:fldCharType="begin"/>
            </w:r>
            <w:r>
              <w:instrText xml:space="preserve"> SEQ 表 \* ARABIC </w:instrText>
            </w:r>
            <w:r>
              <w:fldChar w:fldCharType="separate"/>
            </w:r>
            <w:r>
              <w:t>21</w:t>
            </w:r>
            <w:r>
              <w:fldChar w:fldCharType="end"/>
            </w:r>
            <w:r>
              <w:rPr>
                <w:rFonts w:hint="eastAsia"/>
                <w:lang w:val="en-US" w:eastAsia="zh-CN"/>
              </w:rPr>
              <w:t xml:space="preserve">  </w:t>
            </w:r>
            <w:r>
              <w:rPr>
                <w:color w:val="auto"/>
              </w:rPr>
              <w:t>地下水</w:t>
            </w:r>
            <w:r>
              <w:rPr>
                <w:rFonts w:hint="eastAsia"/>
                <w:color w:val="auto"/>
                <w:lang w:val="en-US" w:eastAsia="zh-CN"/>
              </w:rPr>
              <w:t>现状监测点</w:t>
            </w:r>
            <w:r>
              <w:rPr>
                <w:color w:val="auto"/>
              </w:rPr>
              <w:t>监测</w:t>
            </w:r>
            <w:r>
              <w:rPr>
                <w:rFonts w:hint="eastAsia"/>
                <w:color w:val="auto"/>
              </w:rPr>
              <w:t>基本因子</w:t>
            </w:r>
            <w:r>
              <w:rPr>
                <w:color w:val="auto"/>
              </w:rPr>
              <w:t>分析结果</w:t>
            </w:r>
            <w:r>
              <w:rPr>
                <w:rFonts w:hint="eastAsia"/>
                <w:color w:val="auto"/>
              </w:rPr>
              <w:t>一览表</w:t>
            </w:r>
          </w:p>
          <w:tbl>
            <w:tblPr>
              <w:tblStyle w:val="11"/>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92"/>
              <w:gridCol w:w="1316"/>
              <w:gridCol w:w="1006"/>
              <w:gridCol w:w="569"/>
              <w:gridCol w:w="583"/>
              <w:gridCol w:w="392"/>
              <w:gridCol w:w="456"/>
              <w:gridCol w:w="583"/>
              <w:gridCol w:w="583"/>
              <w:gridCol w:w="392"/>
              <w:gridCol w:w="456"/>
              <w:gridCol w:w="584"/>
              <w:gridCol w:w="627"/>
            </w:tblGrid>
            <w:tr w14:paraId="073A78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247" w:type="pct"/>
                  <w:vMerge w:val="restart"/>
                  <w:tcBorders>
                    <w:tl2br w:val="nil"/>
                    <w:tr2bl w:val="nil"/>
                  </w:tcBorders>
                  <w:shd w:val="clear" w:color="auto" w:fill="auto"/>
                  <w:tcMar>
                    <w:top w:w="0" w:type="dxa"/>
                    <w:left w:w="0" w:type="dxa"/>
                    <w:bottom w:w="0" w:type="dxa"/>
                    <w:right w:w="0" w:type="dxa"/>
                  </w:tcMar>
                  <w:vAlign w:val="center"/>
                </w:tcPr>
                <w:p w14:paraId="6073F918">
                  <w:pPr>
                    <w:pStyle w:val="15"/>
                    <w:bidi w:val="0"/>
                    <w:rPr>
                      <w:rFonts w:hint="eastAsia"/>
                      <w:color w:val="auto"/>
                      <w:sz w:val="18"/>
                      <w:szCs w:val="18"/>
                    </w:rPr>
                  </w:pPr>
                  <w:r>
                    <w:rPr>
                      <w:rFonts w:hint="eastAsia"/>
                      <w:color w:val="auto"/>
                      <w:sz w:val="18"/>
                      <w:szCs w:val="18"/>
                      <w:lang w:val="en-US" w:eastAsia="zh-CN"/>
                    </w:rPr>
                    <w:t>序号</w:t>
                  </w:r>
                </w:p>
              </w:tc>
              <w:tc>
                <w:tcPr>
                  <w:tcW w:w="828" w:type="pct"/>
                  <w:vMerge w:val="restart"/>
                  <w:tcBorders>
                    <w:tl2br w:val="nil"/>
                    <w:tr2bl w:val="nil"/>
                  </w:tcBorders>
                  <w:shd w:val="clear" w:color="auto" w:fill="auto"/>
                  <w:tcMar>
                    <w:top w:w="0" w:type="dxa"/>
                    <w:left w:w="0" w:type="dxa"/>
                    <w:bottom w:w="0" w:type="dxa"/>
                    <w:right w:w="0" w:type="dxa"/>
                  </w:tcMar>
                  <w:vAlign w:val="center"/>
                </w:tcPr>
                <w:p w14:paraId="1E68EE05">
                  <w:pPr>
                    <w:pStyle w:val="15"/>
                    <w:bidi w:val="0"/>
                    <w:rPr>
                      <w:rFonts w:hint="eastAsia"/>
                      <w:color w:val="auto"/>
                      <w:sz w:val="18"/>
                      <w:szCs w:val="18"/>
                    </w:rPr>
                  </w:pPr>
                  <w:r>
                    <w:rPr>
                      <w:rFonts w:hint="eastAsia"/>
                      <w:color w:val="auto"/>
                      <w:sz w:val="18"/>
                      <w:szCs w:val="18"/>
                      <w:lang w:val="en-US" w:eastAsia="zh-CN"/>
                    </w:rPr>
                    <w:t>检测项目</w:t>
                  </w:r>
                </w:p>
              </w:tc>
              <w:tc>
                <w:tcPr>
                  <w:tcW w:w="633" w:type="pct"/>
                  <w:vMerge w:val="restart"/>
                  <w:tcBorders>
                    <w:tl2br w:val="nil"/>
                    <w:tr2bl w:val="nil"/>
                  </w:tcBorders>
                  <w:shd w:val="clear" w:color="auto" w:fill="auto"/>
                  <w:tcMar>
                    <w:top w:w="0" w:type="dxa"/>
                    <w:left w:w="0" w:type="dxa"/>
                    <w:bottom w:w="0" w:type="dxa"/>
                    <w:right w:w="0" w:type="dxa"/>
                  </w:tcMar>
                  <w:vAlign w:val="center"/>
                </w:tcPr>
                <w:p w14:paraId="3645624C">
                  <w:pPr>
                    <w:pStyle w:val="15"/>
                    <w:bidi w:val="0"/>
                    <w:rPr>
                      <w:rFonts w:hint="eastAsia"/>
                      <w:color w:val="auto"/>
                      <w:sz w:val="18"/>
                      <w:szCs w:val="18"/>
                    </w:rPr>
                  </w:pPr>
                  <w:r>
                    <w:rPr>
                      <w:rFonts w:hint="eastAsia"/>
                      <w:color w:val="auto"/>
                      <w:sz w:val="18"/>
                      <w:szCs w:val="18"/>
                      <w:lang w:val="en-US" w:eastAsia="zh-CN"/>
                    </w:rPr>
                    <w:t>单位</w:t>
                  </w:r>
                </w:p>
              </w:tc>
              <w:tc>
                <w:tcPr>
                  <w:tcW w:w="358" w:type="pct"/>
                  <w:vMerge w:val="restart"/>
                  <w:tcBorders>
                    <w:tl2br w:val="nil"/>
                    <w:tr2bl w:val="nil"/>
                  </w:tcBorders>
                  <w:shd w:val="clear" w:color="auto" w:fill="auto"/>
                  <w:tcMar>
                    <w:top w:w="0" w:type="dxa"/>
                    <w:left w:w="0" w:type="dxa"/>
                    <w:bottom w:w="0" w:type="dxa"/>
                    <w:right w:w="0" w:type="dxa"/>
                  </w:tcMar>
                  <w:vAlign w:val="center"/>
                </w:tcPr>
                <w:p w14:paraId="00CE5958">
                  <w:pPr>
                    <w:pStyle w:val="15"/>
                    <w:bidi w:val="0"/>
                    <w:rPr>
                      <w:rFonts w:hint="eastAsia"/>
                      <w:color w:val="auto"/>
                      <w:sz w:val="18"/>
                      <w:szCs w:val="18"/>
                      <w:lang w:val="en-US" w:eastAsia="zh-CN"/>
                    </w:rPr>
                  </w:pPr>
                  <w:r>
                    <w:rPr>
                      <w:rFonts w:hint="eastAsia"/>
                      <w:color w:val="auto"/>
                      <w:sz w:val="18"/>
                      <w:szCs w:val="18"/>
                      <w:lang w:val="en-US" w:eastAsia="zh-CN"/>
                    </w:rPr>
                    <w:t>Ⅲ类标</w:t>
                  </w:r>
                </w:p>
                <w:p w14:paraId="6292C475">
                  <w:pPr>
                    <w:pStyle w:val="15"/>
                    <w:bidi w:val="0"/>
                    <w:rPr>
                      <w:rFonts w:hint="eastAsia"/>
                      <w:color w:val="auto"/>
                      <w:sz w:val="18"/>
                      <w:szCs w:val="18"/>
                    </w:rPr>
                  </w:pPr>
                  <w:r>
                    <w:rPr>
                      <w:rFonts w:hint="eastAsia"/>
                      <w:color w:val="auto"/>
                      <w:sz w:val="18"/>
                      <w:szCs w:val="18"/>
                      <w:lang w:val="en-US" w:eastAsia="zh-CN"/>
                    </w:rPr>
                    <w:t>准值</w:t>
                  </w:r>
                </w:p>
              </w:tc>
              <w:tc>
                <w:tcPr>
                  <w:tcW w:w="1268" w:type="pct"/>
                  <w:gridSpan w:val="4"/>
                  <w:tcBorders>
                    <w:tl2br w:val="nil"/>
                    <w:tr2bl w:val="nil"/>
                  </w:tcBorders>
                  <w:shd w:val="clear" w:color="auto" w:fill="auto"/>
                  <w:tcMar>
                    <w:top w:w="0" w:type="dxa"/>
                    <w:left w:w="0" w:type="dxa"/>
                    <w:bottom w:w="0" w:type="dxa"/>
                    <w:right w:w="0" w:type="dxa"/>
                  </w:tcMar>
                  <w:vAlign w:val="center"/>
                </w:tcPr>
                <w:p w14:paraId="35A2E821">
                  <w:pPr>
                    <w:pStyle w:val="15"/>
                    <w:bidi w:val="0"/>
                    <w:rPr>
                      <w:rFonts w:hint="eastAsia"/>
                      <w:color w:val="auto"/>
                      <w:sz w:val="18"/>
                      <w:szCs w:val="18"/>
                    </w:rPr>
                  </w:pPr>
                  <w:r>
                    <w:rPr>
                      <w:rFonts w:hint="eastAsia"/>
                      <w:color w:val="auto"/>
                      <w:sz w:val="18"/>
                      <w:szCs w:val="18"/>
                      <w:lang w:val="en-US" w:eastAsia="zh-CN"/>
                    </w:rPr>
                    <w:t>厂区上游地下水监测点1</w:t>
                  </w:r>
                </w:p>
              </w:tc>
              <w:tc>
                <w:tcPr>
                  <w:tcW w:w="1268" w:type="pct"/>
                  <w:gridSpan w:val="4"/>
                  <w:tcBorders>
                    <w:tl2br w:val="nil"/>
                    <w:tr2bl w:val="nil"/>
                  </w:tcBorders>
                  <w:shd w:val="clear" w:color="auto" w:fill="auto"/>
                  <w:tcMar>
                    <w:top w:w="0" w:type="dxa"/>
                    <w:left w:w="0" w:type="dxa"/>
                    <w:bottom w:w="0" w:type="dxa"/>
                    <w:right w:w="0" w:type="dxa"/>
                  </w:tcMar>
                  <w:vAlign w:val="center"/>
                </w:tcPr>
                <w:p w14:paraId="43AC67E5">
                  <w:pPr>
                    <w:pStyle w:val="15"/>
                    <w:bidi w:val="0"/>
                    <w:rPr>
                      <w:rFonts w:hint="eastAsia"/>
                      <w:color w:val="auto"/>
                      <w:sz w:val="18"/>
                      <w:szCs w:val="18"/>
                    </w:rPr>
                  </w:pPr>
                  <w:r>
                    <w:rPr>
                      <w:rFonts w:hint="eastAsia"/>
                      <w:color w:val="auto"/>
                      <w:sz w:val="18"/>
                      <w:szCs w:val="18"/>
                      <w:lang w:val="en-US" w:eastAsia="zh-CN"/>
                    </w:rPr>
                    <w:t>厂区侧向地下水监测点2</w:t>
                  </w:r>
                </w:p>
              </w:tc>
              <w:tc>
                <w:tcPr>
                  <w:tcW w:w="394" w:type="pct"/>
                  <w:vMerge w:val="restart"/>
                  <w:tcBorders>
                    <w:tl2br w:val="nil"/>
                    <w:tr2bl w:val="nil"/>
                  </w:tcBorders>
                  <w:shd w:val="clear" w:color="auto" w:fill="auto"/>
                  <w:tcMar>
                    <w:top w:w="0" w:type="dxa"/>
                    <w:left w:w="0" w:type="dxa"/>
                    <w:bottom w:w="0" w:type="dxa"/>
                    <w:right w:w="0" w:type="dxa"/>
                  </w:tcMar>
                  <w:vAlign w:val="center"/>
                </w:tcPr>
                <w:p w14:paraId="391CDFA5">
                  <w:pPr>
                    <w:pStyle w:val="15"/>
                    <w:bidi w:val="0"/>
                    <w:rPr>
                      <w:rFonts w:hint="eastAsia"/>
                      <w:color w:val="auto"/>
                      <w:sz w:val="18"/>
                      <w:szCs w:val="18"/>
                      <w:lang w:val="en-US" w:eastAsia="zh-CN"/>
                    </w:rPr>
                  </w:pPr>
                  <w:r>
                    <w:rPr>
                      <w:rFonts w:hint="eastAsia"/>
                      <w:color w:val="auto"/>
                      <w:sz w:val="18"/>
                      <w:szCs w:val="18"/>
                      <w:lang w:val="en-US" w:eastAsia="zh-CN"/>
                    </w:rPr>
                    <w:t>检</w:t>
                  </w:r>
                </w:p>
                <w:p w14:paraId="5D2666B0">
                  <w:pPr>
                    <w:pStyle w:val="15"/>
                    <w:bidi w:val="0"/>
                    <w:rPr>
                      <w:rFonts w:hint="eastAsia"/>
                      <w:color w:val="auto"/>
                      <w:sz w:val="18"/>
                      <w:szCs w:val="18"/>
                      <w:lang w:val="en-US" w:eastAsia="zh-CN"/>
                    </w:rPr>
                  </w:pPr>
                  <w:r>
                    <w:rPr>
                      <w:rFonts w:hint="eastAsia"/>
                      <w:color w:val="auto"/>
                      <w:sz w:val="18"/>
                      <w:szCs w:val="18"/>
                      <w:lang w:val="en-US" w:eastAsia="zh-CN"/>
                    </w:rPr>
                    <w:t>出</w:t>
                  </w:r>
                </w:p>
                <w:p w14:paraId="2D72B895">
                  <w:pPr>
                    <w:pStyle w:val="15"/>
                    <w:bidi w:val="0"/>
                    <w:rPr>
                      <w:rFonts w:hint="eastAsia"/>
                      <w:color w:val="auto"/>
                      <w:sz w:val="18"/>
                      <w:szCs w:val="18"/>
                    </w:rPr>
                  </w:pPr>
                  <w:r>
                    <w:rPr>
                      <w:rFonts w:hint="eastAsia"/>
                      <w:color w:val="auto"/>
                      <w:sz w:val="18"/>
                      <w:szCs w:val="18"/>
                      <w:lang w:val="en-US" w:eastAsia="zh-CN"/>
                    </w:rPr>
                    <w:t>限</w:t>
                  </w:r>
                </w:p>
              </w:tc>
            </w:tr>
            <w:tr w14:paraId="58677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247" w:type="pct"/>
                  <w:vMerge w:val="continue"/>
                  <w:tcBorders>
                    <w:tl2br w:val="nil"/>
                    <w:tr2bl w:val="nil"/>
                  </w:tcBorders>
                  <w:shd w:val="clear" w:color="auto" w:fill="auto"/>
                  <w:tcMar>
                    <w:top w:w="0" w:type="dxa"/>
                    <w:left w:w="0" w:type="dxa"/>
                    <w:bottom w:w="0" w:type="dxa"/>
                    <w:right w:w="0" w:type="dxa"/>
                  </w:tcMar>
                  <w:vAlign w:val="center"/>
                </w:tcPr>
                <w:p w14:paraId="2F457FB5">
                  <w:pPr>
                    <w:pStyle w:val="15"/>
                    <w:bidi w:val="0"/>
                    <w:rPr>
                      <w:rFonts w:hint="eastAsia"/>
                      <w:color w:val="auto"/>
                      <w:sz w:val="18"/>
                      <w:szCs w:val="18"/>
                    </w:rPr>
                  </w:pPr>
                </w:p>
              </w:tc>
              <w:tc>
                <w:tcPr>
                  <w:tcW w:w="828" w:type="pct"/>
                  <w:vMerge w:val="continue"/>
                  <w:tcBorders>
                    <w:tl2br w:val="nil"/>
                    <w:tr2bl w:val="nil"/>
                  </w:tcBorders>
                  <w:shd w:val="clear" w:color="auto" w:fill="auto"/>
                  <w:tcMar>
                    <w:top w:w="0" w:type="dxa"/>
                    <w:left w:w="0" w:type="dxa"/>
                    <w:bottom w:w="0" w:type="dxa"/>
                    <w:right w:w="0" w:type="dxa"/>
                  </w:tcMar>
                  <w:vAlign w:val="center"/>
                </w:tcPr>
                <w:p w14:paraId="3D18956E">
                  <w:pPr>
                    <w:pStyle w:val="15"/>
                    <w:bidi w:val="0"/>
                    <w:rPr>
                      <w:rFonts w:hint="eastAsia"/>
                      <w:color w:val="auto"/>
                      <w:sz w:val="18"/>
                      <w:szCs w:val="18"/>
                    </w:rPr>
                  </w:pPr>
                </w:p>
              </w:tc>
              <w:tc>
                <w:tcPr>
                  <w:tcW w:w="633" w:type="pct"/>
                  <w:vMerge w:val="continue"/>
                  <w:tcBorders>
                    <w:tl2br w:val="nil"/>
                    <w:tr2bl w:val="nil"/>
                  </w:tcBorders>
                  <w:shd w:val="clear" w:color="auto" w:fill="auto"/>
                  <w:tcMar>
                    <w:top w:w="0" w:type="dxa"/>
                    <w:left w:w="0" w:type="dxa"/>
                    <w:bottom w:w="0" w:type="dxa"/>
                    <w:right w:w="0" w:type="dxa"/>
                  </w:tcMar>
                  <w:vAlign w:val="center"/>
                </w:tcPr>
                <w:p w14:paraId="198AA802">
                  <w:pPr>
                    <w:pStyle w:val="15"/>
                    <w:bidi w:val="0"/>
                    <w:rPr>
                      <w:rFonts w:hint="eastAsia"/>
                      <w:color w:val="auto"/>
                      <w:sz w:val="18"/>
                      <w:szCs w:val="18"/>
                    </w:rPr>
                  </w:pPr>
                </w:p>
              </w:tc>
              <w:tc>
                <w:tcPr>
                  <w:tcW w:w="358" w:type="pct"/>
                  <w:vMerge w:val="continue"/>
                  <w:tcBorders>
                    <w:tl2br w:val="nil"/>
                    <w:tr2bl w:val="nil"/>
                  </w:tcBorders>
                  <w:shd w:val="clear" w:color="auto" w:fill="auto"/>
                  <w:tcMar>
                    <w:top w:w="0" w:type="dxa"/>
                    <w:left w:w="0" w:type="dxa"/>
                    <w:bottom w:w="0" w:type="dxa"/>
                    <w:right w:w="0" w:type="dxa"/>
                  </w:tcMar>
                  <w:vAlign w:val="center"/>
                </w:tcPr>
                <w:p w14:paraId="1EADBF84">
                  <w:pPr>
                    <w:pStyle w:val="15"/>
                    <w:bidi w:val="0"/>
                    <w:rPr>
                      <w:rFonts w:hint="eastAsia"/>
                      <w:color w:val="auto"/>
                      <w:sz w:val="18"/>
                      <w:szCs w:val="18"/>
                    </w:rPr>
                  </w:pPr>
                </w:p>
              </w:tc>
              <w:tc>
                <w:tcPr>
                  <w:tcW w:w="367" w:type="pct"/>
                  <w:tcBorders>
                    <w:tl2br w:val="nil"/>
                    <w:tr2bl w:val="nil"/>
                  </w:tcBorders>
                  <w:shd w:val="clear" w:color="auto" w:fill="auto"/>
                  <w:tcMar>
                    <w:top w:w="0" w:type="dxa"/>
                    <w:left w:w="0" w:type="dxa"/>
                    <w:bottom w:w="0" w:type="dxa"/>
                    <w:right w:w="0" w:type="dxa"/>
                  </w:tcMar>
                  <w:vAlign w:val="center"/>
                </w:tcPr>
                <w:p w14:paraId="1493FE50">
                  <w:pPr>
                    <w:pStyle w:val="15"/>
                    <w:bidi w:val="0"/>
                    <w:rPr>
                      <w:rFonts w:hint="eastAsia"/>
                      <w:color w:val="auto"/>
                      <w:sz w:val="18"/>
                      <w:szCs w:val="18"/>
                      <w:lang w:val="en-US" w:eastAsia="zh-CN"/>
                    </w:rPr>
                  </w:pPr>
                  <w:r>
                    <w:rPr>
                      <w:rFonts w:hint="eastAsia"/>
                      <w:color w:val="auto"/>
                      <w:sz w:val="18"/>
                      <w:szCs w:val="18"/>
                      <w:lang w:val="en-US" w:eastAsia="zh-CN"/>
                    </w:rPr>
                    <w:t>检测</w:t>
                  </w:r>
                </w:p>
                <w:p w14:paraId="5449B0C7">
                  <w:pPr>
                    <w:pStyle w:val="15"/>
                    <w:bidi w:val="0"/>
                    <w:rPr>
                      <w:rFonts w:hint="eastAsia"/>
                      <w:color w:val="auto"/>
                      <w:sz w:val="18"/>
                      <w:szCs w:val="18"/>
                    </w:rPr>
                  </w:pPr>
                  <w:r>
                    <w:rPr>
                      <w:rFonts w:hint="eastAsia"/>
                      <w:color w:val="auto"/>
                      <w:sz w:val="18"/>
                      <w:szCs w:val="18"/>
                      <w:lang w:val="en-US" w:eastAsia="zh-CN"/>
                    </w:rPr>
                    <w:t>结果</w:t>
                  </w:r>
                </w:p>
              </w:tc>
              <w:tc>
                <w:tcPr>
                  <w:tcW w:w="247" w:type="pct"/>
                  <w:tcBorders>
                    <w:tl2br w:val="nil"/>
                    <w:tr2bl w:val="nil"/>
                  </w:tcBorders>
                  <w:shd w:val="clear" w:color="auto" w:fill="auto"/>
                  <w:tcMar>
                    <w:top w:w="0" w:type="dxa"/>
                    <w:left w:w="0" w:type="dxa"/>
                    <w:bottom w:w="0" w:type="dxa"/>
                    <w:right w:w="0" w:type="dxa"/>
                  </w:tcMar>
                  <w:vAlign w:val="center"/>
                </w:tcPr>
                <w:p w14:paraId="750FFFFF">
                  <w:pPr>
                    <w:pStyle w:val="15"/>
                    <w:bidi w:val="0"/>
                    <w:rPr>
                      <w:rFonts w:hint="eastAsia"/>
                      <w:color w:val="auto"/>
                      <w:sz w:val="18"/>
                      <w:szCs w:val="18"/>
                      <w:lang w:val="en-US" w:eastAsia="zh-CN"/>
                    </w:rPr>
                  </w:pPr>
                  <w:r>
                    <w:rPr>
                      <w:rFonts w:hint="eastAsia"/>
                      <w:color w:val="auto"/>
                      <w:sz w:val="18"/>
                      <w:szCs w:val="18"/>
                      <w:lang w:val="en-US" w:eastAsia="zh-CN"/>
                    </w:rPr>
                    <w:t>标准</w:t>
                  </w:r>
                </w:p>
                <w:p w14:paraId="418DF9DA">
                  <w:pPr>
                    <w:pStyle w:val="15"/>
                    <w:bidi w:val="0"/>
                    <w:rPr>
                      <w:rFonts w:hint="eastAsia"/>
                      <w:color w:val="auto"/>
                      <w:sz w:val="18"/>
                      <w:szCs w:val="18"/>
                    </w:rPr>
                  </w:pPr>
                  <w:r>
                    <w:rPr>
                      <w:rFonts w:hint="eastAsia"/>
                      <w:color w:val="auto"/>
                      <w:sz w:val="18"/>
                      <w:szCs w:val="18"/>
                      <w:lang w:val="en-US" w:eastAsia="zh-CN"/>
                    </w:rPr>
                    <w:t>指数</w:t>
                  </w:r>
                </w:p>
              </w:tc>
              <w:tc>
                <w:tcPr>
                  <w:tcW w:w="287" w:type="pct"/>
                  <w:tcBorders>
                    <w:tl2br w:val="nil"/>
                    <w:tr2bl w:val="nil"/>
                  </w:tcBorders>
                  <w:shd w:val="clear" w:color="auto" w:fill="auto"/>
                  <w:tcMar>
                    <w:top w:w="0" w:type="dxa"/>
                    <w:left w:w="0" w:type="dxa"/>
                    <w:bottom w:w="0" w:type="dxa"/>
                    <w:right w:w="0" w:type="dxa"/>
                  </w:tcMar>
                  <w:vAlign w:val="center"/>
                </w:tcPr>
                <w:p w14:paraId="65F4F0B8">
                  <w:pPr>
                    <w:pStyle w:val="15"/>
                    <w:bidi w:val="0"/>
                    <w:rPr>
                      <w:rFonts w:hint="eastAsia"/>
                      <w:color w:val="auto"/>
                      <w:sz w:val="18"/>
                      <w:szCs w:val="18"/>
                      <w:lang w:val="en-US" w:eastAsia="zh-CN"/>
                    </w:rPr>
                  </w:pPr>
                  <w:r>
                    <w:rPr>
                      <w:rFonts w:hint="eastAsia"/>
                      <w:color w:val="auto"/>
                      <w:sz w:val="18"/>
                      <w:szCs w:val="18"/>
                      <w:lang w:val="en-US" w:eastAsia="zh-CN"/>
                    </w:rPr>
                    <w:t>超标</w:t>
                  </w:r>
                </w:p>
                <w:p w14:paraId="135045CE">
                  <w:pPr>
                    <w:pStyle w:val="15"/>
                    <w:bidi w:val="0"/>
                    <w:rPr>
                      <w:rFonts w:hint="eastAsia"/>
                      <w:color w:val="auto"/>
                      <w:sz w:val="18"/>
                      <w:szCs w:val="18"/>
                    </w:rPr>
                  </w:pPr>
                  <w:r>
                    <w:rPr>
                      <w:rFonts w:hint="eastAsia"/>
                      <w:color w:val="auto"/>
                      <w:sz w:val="18"/>
                      <w:szCs w:val="18"/>
                      <w:lang w:val="en-US" w:eastAsia="zh-CN"/>
                    </w:rPr>
                    <w:t>率</w:t>
                  </w:r>
                </w:p>
              </w:tc>
              <w:tc>
                <w:tcPr>
                  <w:tcW w:w="367" w:type="pct"/>
                  <w:tcBorders>
                    <w:tl2br w:val="nil"/>
                    <w:tr2bl w:val="nil"/>
                  </w:tcBorders>
                  <w:shd w:val="clear" w:color="auto" w:fill="auto"/>
                  <w:tcMar>
                    <w:top w:w="0" w:type="dxa"/>
                    <w:left w:w="0" w:type="dxa"/>
                    <w:bottom w:w="0" w:type="dxa"/>
                    <w:right w:w="0" w:type="dxa"/>
                  </w:tcMar>
                  <w:vAlign w:val="center"/>
                </w:tcPr>
                <w:p w14:paraId="555BF07D">
                  <w:pPr>
                    <w:pStyle w:val="15"/>
                    <w:bidi w:val="0"/>
                    <w:rPr>
                      <w:rFonts w:hint="eastAsia"/>
                      <w:color w:val="auto"/>
                      <w:sz w:val="18"/>
                      <w:szCs w:val="18"/>
                      <w:lang w:val="en-US" w:eastAsia="zh-CN"/>
                    </w:rPr>
                  </w:pPr>
                  <w:r>
                    <w:rPr>
                      <w:rFonts w:hint="eastAsia"/>
                      <w:color w:val="auto"/>
                      <w:sz w:val="18"/>
                      <w:szCs w:val="18"/>
                      <w:lang w:val="en-US" w:eastAsia="zh-CN"/>
                    </w:rPr>
                    <w:t>达标</w:t>
                  </w:r>
                </w:p>
                <w:p w14:paraId="2AA5054B">
                  <w:pPr>
                    <w:pStyle w:val="15"/>
                    <w:bidi w:val="0"/>
                    <w:rPr>
                      <w:rFonts w:hint="eastAsia"/>
                      <w:color w:val="auto"/>
                      <w:sz w:val="18"/>
                      <w:szCs w:val="18"/>
                    </w:rPr>
                  </w:pPr>
                  <w:r>
                    <w:rPr>
                      <w:rFonts w:hint="eastAsia"/>
                      <w:color w:val="auto"/>
                      <w:sz w:val="18"/>
                      <w:szCs w:val="18"/>
                      <w:lang w:val="en-US" w:eastAsia="zh-CN"/>
                    </w:rPr>
                    <w:t>情况</w:t>
                  </w:r>
                </w:p>
              </w:tc>
              <w:tc>
                <w:tcPr>
                  <w:tcW w:w="367" w:type="pct"/>
                  <w:tcBorders>
                    <w:tl2br w:val="nil"/>
                    <w:tr2bl w:val="nil"/>
                  </w:tcBorders>
                  <w:shd w:val="clear" w:color="auto" w:fill="auto"/>
                  <w:tcMar>
                    <w:top w:w="0" w:type="dxa"/>
                    <w:left w:w="0" w:type="dxa"/>
                    <w:bottom w:w="0" w:type="dxa"/>
                    <w:right w:w="0" w:type="dxa"/>
                  </w:tcMar>
                  <w:vAlign w:val="center"/>
                </w:tcPr>
                <w:p w14:paraId="47F74792">
                  <w:pPr>
                    <w:pStyle w:val="15"/>
                    <w:bidi w:val="0"/>
                    <w:rPr>
                      <w:rFonts w:hint="eastAsia"/>
                      <w:color w:val="auto"/>
                      <w:sz w:val="18"/>
                      <w:szCs w:val="18"/>
                      <w:lang w:val="en-US" w:eastAsia="zh-CN"/>
                    </w:rPr>
                  </w:pPr>
                  <w:r>
                    <w:rPr>
                      <w:rFonts w:hint="eastAsia"/>
                      <w:color w:val="auto"/>
                      <w:sz w:val="18"/>
                      <w:szCs w:val="18"/>
                      <w:lang w:val="en-US" w:eastAsia="zh-CN"/>
                    </w:rPr>
                    <w:t>检测</w:t>
                  </w:r>
                </w:p>
                <w:p w14:paraId="4EC4AF91">
                  <w:pPr>
                    <w:pStyle w:val="15"/>
                    <w:bidi w:val="0"/>
                    <w:rPr>
                      <w:rFonts w:hint="eastAsia"/>
                      <w:color w:val="auto"/>
                      <w:sz w:val="18"/>
                      <w:szCs w:val="18"/>
                    </w:rPr>
                  </w:pPr>
                  <w:r>
                    <w:rPr>
                      <w:rFonts w:hint="eastAsia"/>
                      <w:color w:val="auto"/>
                      <w:sz w:val="18"/>
                      <w:szCs w:val="18"/>
                      <w:lang w:val="en-US" w:eastAsia="zh-CN"/>
                    </w:rPr>
                    <w:t>结果</w:t>
                  </w:r>
                </w:p>
              </w:tc>
              <w:tc>
                <w:tcPr>
                  <w:tcW w:w="247" w:type="pct"/>
                  <w:tcBorders>
                    <w:tl2br w:val="nil"/>
                    <w:tr2bl w:val="nil"/>
                  </w:tcBorders>
                  <w:shd w:val="clear" w:color="auto" w:fill="auto"/>
                  <w:tcMar>
                    <w:top w:w="0" w:type="dxa"/>
                    <w:left w:w="0" w:type="dxa"/>
                    <w:bottom w:w="0" w:type="dxa"/>
                    <w:right w:w="0" w:type="dxa"/>
                  </w:tcMar>
                  <w:vAlign w:val="center"/>
                </w:tcPr>
                <w:p w14:paraId="00FCB8FE">
                  <w:pPr>
                    <w:pStyle w:val="15"/>
                    <w:bidi w:val="0"/>
                    <w:rPr>
                      <w:rFonts w:hint="eastAsia"/>
                      <w:color w:val="auto"/>
                      <w:sz w:val="18"/>
                      <w:szCs w:val="18"/>
                      <w:lang w:val="en-US" w:eastAsia="zh-CN"/>
                    </w:rPr>
                  </w:pPr>
                  <w:r>
                    <w:rPr>
                      <w:rFonts w:hint="eastAsia"/>
                      <w:color w:val="auto"/>
                      <w:sz w:val="18"/>
                      <w:szCs w:val="18"/>
                      <w:lang w:val="en-US" w:eastAsia="zh-CN"/>
                    </w:rPr>
                    <w:t>标准</w:t>
                  </w:r>
                </w:p>
                <w:p w14:paraId="58336E87">
                  <w:pPr>
                    <w:pStyle w:val="15"/>
                    <w:bidi w:val="0"/>
                    <w:rPr>
                      <w:rFonts w:hint="eastAsia"/>
                      <w:color w:val="auto"/>
                      <w:sz w:val="18"/>
                      <w:szCs w:val="18"/>
                    </w:rPr>
                  </w:pPr>
                  <w:r>
                    <w:rPr>
                      <w:rFonts w:hint="eastAsia"/>
                      <w:color w:val="auto"/>
                      <w:sz w:val="18"/>
                      <w:szCs w:val="18"/>
                      <w:lang w:val="en-US" w:eastAsia="zh-CN"/>
                    </w:rPr>
                    <w:t>指数</w:t>
                  </w:r>
                </w:p>
              </w:tc>
              <w:tc>
                <w:tcPr>
                  <w:tcW w:w="287" w:type="pct"/>
                  <w:tcBorders>
                    <w:tl2br w:val="nil"/>
                    <w:tr2bl w:val="nil"/>
                  </w:tcBorders>
                  <w:shd w:val="clear" w:color="auto" w:fill="auto"/>
                  <w:tcMar>
                    <w:top w:w="0" w:type="dxa"/>
                    <w:left w:w="0" w:type="dxa"/>
                    <w:bottom w:w="0" w:type="dxa"/>
                    <w:right w:w="0" w:type="dxa"/>
                  </w:tcMar>
                  <w:vAlign w:val="center"/>
                </w:tcPr>
                <w:p w14:paraId="243E5A0A">
                  <w:pPr>
                    <w:pStyle w:val="15"/>
                    <w:bidi w:val="0"/>
                    <w:rPr>
                      <w:rFonts w:hint="eastAsia"/>
                      <w:color w:val="auto"/>
                      <w:sz w:val="18"/>
                      <w:szCs w:val="18"/>
                      <w:lang w:val="en-US" w:eastAsia="zh-CN"/>
                    </w:rPr>
                  </w:pPr>
                  <w:r>
                    <w:rPr>
                      <w:rFonts w:hint="eastAsia"/>
                      <w:color w:val="auto"/>
                      <w:sz w:val="18"/>
                      <w:szCs w:val="18"/>
                      <w:lang w:val="en-US" w:eastAsia="zh-CN"/>
                    </w:rPr>
                    <w:t>超标</w:t>
                  </w:r>
                </w:p>
                <w:p w14:paraId="60FB99C1">
                  <w:pPr>
                    <w:pStyle w:val="15"/>
                    <w:bidi w:val="0"/>
                    <w:rPr>
                      <w:rFonts w:hint="eastAsia"/>
                      <w:color w:val="auto"/>
                      <w:sz w:val="18"/>
                      <w:szCs w:val="18"/>
                    </w:rPr>
                  </w:pPr>
                  <w:r>
                    <w:rPr>
                      <w:rFonts w:hint="eastAsia"/>
                      <w:color w:val="auto"/>
                      <w:sz w:val="18"/>
                      <w:szCs w:val="18"/>
                      <w:lang w:val="en-US" w:eastAsia="zh-CN"/>
                    </w:rPr>
                    <w:t>率</w:t>
                  </w:r>
                </w:p>
              </w:tc>
              <w:tc>
                <w:tcPr>
                  <w:tcW w:w="367" w:type="pct"/>
                  <w:tcBorders>
                    <w:tl2br w:val="nil"/>
                    <w:tr2bl w:val="nil"/>
                  </w:tcBorders>
                  <w:shd w:val="clear" w:color="auto" w:fill="auto"/>
                  <w:tcMar>
                    <w:top w:w="0" w:type="dxa"/>
                    <w:left w:w="0" w:type="dxa"/>
                    <w:bottom w:w="0" w:type="dxa"/>
                    <w:right w:w="0" w:type="dxa"/>
                  </w:tcMar>
                  <w:vAlign w:val="center"/>
                </w:tcPr>
                <w:p w14:paraId="327AC5C5">
                  <w:pPr>
                    <w:pStyle w:val="15"/>
                    <w:bidi w:val="0"/>
                    <w:rPr>
                      <w:rFonts w:hint="eastAsia"/>
                      <w:color w:val="auto"/>
                      <w:sz w:val="18"/>
                      <w:szCs w:val="18"/>
                      <w:lang w:val="en-US" w:eastAsia="zh-CN"/>
                    </w:rPr>
                  </w:pPr>
                  <w:r>
                    <w:rPr>
                      <w:rFonts w:hint="eastAsia"/>
                      <w:color w:val="auto"/>
                      <w:sz w:val="18"/>
                      <w:szCs w:val="18"/>
                      <w:lang w:val="en-US" w:eastAsia="zh-CN"/>
                    </w:rPr>
                    <w:t>达标</w:t>
                  </w:r>
                </w:p>
                <w:p w14:paraId="3640B253">
                  <w:pPr>
                    <w:pStyle w:val="15"/>
                    <w:bidi w:val="0"/>
                    <w:rPr>
                      <w:rFonts w:hint="eastAsia"/>
                      <w:color w:val="auto"/>
                      <w:sz w:val="18"/>
                      <w:szCs w:val="18"/>
                    </w:rPr>
                  </w:pPr>
                  <w:r>
                    <w:rPr>
                      <w:rFonts w:hint="eastAsia"/>
                      <w:color w:val="auto"/>
                      <w:sz w:val="18"/>
                      <w:szCs w:val="18"/>
                      <w:lang w:val="en-US" w:eastAsia="zh-CN"/>
                    </w:rPr>
                    <w:t>情况</w:t>
                  </w:r>
                </w:p>
              </w:tc>
              <w:tc>
                <w:tcPr>
                  <w:tcW w:w="394" w:type="pct"/>
                  <w:vMerge w:val="continue"/>
                  <w:tcBorders>
                    <w:tl2br w:val="nil"/>
                    <w:tr2bl w:val="nil"/>
                  </w:tcBorders>
                  <w:shd w:val="clear" w:color="auto" w:fill="auto"/>
                  <w:tcMar>
                    <w:top w:w="0" w:type="dxa"/>
                    <w:left w:w="0" w:type="dxa"/>
                    <w:bottom w:w="0" w:type="dxa"/>
                    <w:right w:w="0" w:type="dxa"/>
                  </w:tcMar>
                  <w:vAlign w:val="center"/>
                </w:tcPr>
                <w:p w14:paraId="7FCF44E3">
                  <w:pPr>
                    <w:pStyle w:val="15"/>
                    <w:bidi w:val="0"/>
                    <w:rPr>
                      <w:rFonts w:hint="eastAsia"/>
                      <w:color w:val="auto"/>
                      <w:sz w:val="18"/>
                      <w:szCs w:val="18"/>
                    </w:rPr>
                  </w:pPr>
                </w:p>
              </w:tc>
            </w:tr>
            <w:tr w14:paraId="2DCDC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E437354">
                  <w:pPr>
                    <w:pStyle w:val="15"/>
                    <w:bidi w:val="0"/>
                    <w:rPr>
                      <w:rFonts w:hint="eastAsia"/>
                      <w:color w:val="auto"/>
                      <w:sz w:val="18"/>
                      <w:szCs w:val="18"/>
                    </w:rPr>
                  </w:pPr>
                  <w:r>
                    <w:rPr>
                      <w:rFonts w:hint="eastAsia"/>
                      <w:color w:val="auto"/>
                      <w:sz w:val="18"/>
                      <w:szCs w:val="18"/>
                      <w:lang w:val="en-US" w:eastAsia="zh-CN"/>
                    </w:rPr>
                    <w:t>1</w:t>
                  </w:r>
                </w:p>
              </w:tc>
              <w:tc>
                <w:tcPr>
                  <w:tcW w:w="828" w:type="pct"/>
                  <w:tcBorders>
                    <w:tl2br w:val="nil"/>
                    <w:tr2bl w:val="nil"/>
                  </w:tcBorders>
                  <w:shd w:val="clear" w:color="auto" w:fill="auto"/>
                  <w:tcMar>
                    <w:top w:w="0" w:type="dxa"/>
                    <w:left w:w="0" w:type="dxa"/>
                    <w:bottom w:w="0" w:type="dxa"/>
                    <w:right w:w="0" w:type="dxa"/>
                  </w:tcMar>
                  <w:vAlign w:val="center"/>
                </w:tcPr>
                <w:p w14:paraId="3ABB8D6A">
                  <w:pPr>
                    <w:pStyle w:val="15"/>
                    <w:bidi w:val="0"/>
                    <w:rPr>
                      <w:rFonts w:hint="eastAsia"/>
                      <w:color w:val="auto"/>
                      <w:sz w:val="18"/>
                      <w:szCs w:val="18"/>
                    </w:rPr>
                  </w:pPr>
                  <w:r>
                    <w:rPr>
                      <w:rFonts w:hint="eastAsia"/>
                      <w:color w:val="auto"/>
                      <w:sz w:val="18"/>
                      <w:szCs w:val="18"/>
                      <w:lang w:val="en-US" w:eastAsia="zh-CN"/>
                    </w:rPr>
                    <w:t>pH</w:t>
                  </w:r>
                </w:p>
              </w:tc>
              <w:tc>
                <w:tcPr>
                  <w:tcW w:w="633" w:type="pct"/>
                  <w:tcBorders>
                    <w:tl2br w:val="nil"/>
                    <w:tr2bl w:val="nil"/>
                  </w:tcBorders>
                  <w:shd w:val="clear" w:color="auto" w:fill="auto"/>
                  <w:tcMar>
                    <w:top w:w="0" w:type="dxa"/>
                    <w:left w:w="0" w:type="dxa"/>
                    <w:bottom w:w="0" w:type="dxa"/>
                    <w:right w:w="0" w:type="dxa"/>
                  </w:tcMar>
                  <w:vAlign w:val="center"/>
                </w:tcPr>
                <w:p w14:paraId="623A9074">
                  <w:pPr>
                    <w:pStyle w:val="15"/>
                    <w:bidi w:val="0"/>
                    <w:rPr>
                      <w:rFonts w:hint="eastAsia"/>
                      <w:color w:val="auto"/>
                      <w:sz w:val="18"/>
                      <w:szCs w:val="18"/>
                    </w:rPr>
                  </w:pPr>
                  <w:r>
                    <w:rPr>
                      <w:rFonts w:hint="eastAsia"/>
                      <w:color w:val="auto"/>
                      <w:sz w:val="18"/>
                      <w:szCs w:val="18"/>
                      <w:lang w:val="en-US" w:eastAsia="zh-CN"/>
                    </w:rPr>
                    <w:t>无量纲</w:t>
                  </w:r>
                </w:p>
              </w:tc>
              <w:tc>
                <w:tcPr>
                  <w:tcW w:w="358" w:type="pct"/>
                  <w:tcBorders>
                    <w:tl2br w:val="nil"/>
                    <w:tr2bl w:val="nil"/>
                  </w:tcBorders>
                  <w:shd w:val="clear" w:color="auto" w:fill="auto"/>
                  <w:tcMar>
                    <w:top w:w="0" w:type="dxa"/>
                    <w:left w:w="0" w:type="dxa"/>
                    <w:bottom w:w="0" w:type="dxa"/>
                    <w:right w:w="0" w:type="dxa"/>
                  </w:tcMar>
                  <w:vAlign w:val="center"/>
                </w:tcPr>
                <w:p w14:paraId="6131B83D">
                  <w:pPr>
                    <w:pStyle w:val="15"/>
                    <w:bidi w:val="0"/>
                    <w:rPr>
                      <w:rFonts w:hint="eastAsia"/>
                      <w:color w:val="auto"/>
                      <w:sz w:val="18"/>
                      <w:szCs w:val="18"/>
                    </w:rPr>
                  </w:pPr>
                  <w:r>
                    <w:rPr>
                      <w:rFonts w:hint="eastAsia"/>
                      <w:color w:val="auto"/>
                      <w:sz w:val="18"/>
                      <w:szCs w:val="18"/>
                      <w:lang w:val="en-US" w:eastAsia="zh-CN"/>
                    </w:rPr>
                    <w:t>6.5-8.5</w:t>
                  </w:r>
                </w:p>
              </w:tc>
              <w:tc>
                <w:tcPr>
                  <w:tcW w:w="367" w:type="pct"/>
                  <w:tcBorders>
                    <w:tl2br w:val="nil"/>
                    <w:tr2bl w:val="nil"/>
                  </w:tcBorders>
                  <w:shd w:val="clear" w:color="auto" w:fill="auto"/>
                  <w:tcMar>
                    <w:top w:w="0" w:type="dxa"/>
                    <w:left w:w="0" w:type="dxa"/>
                    <w:bottom w:w="0" w:type="dxa"/>
                    <w:right w:w="0" w:type="dxa"/>
                  </w:tcMar>
                  <w:vAlign w:val="center"/>
                </w:tcPr>
                <w:p w14:paraId="6C15FB09">
                  <w:pPr>
                    <w:pStyle w:val="15"/>
                    <w:bidi w:val="0"/>
                    <w:rPr>
                      <w:rFonts w:hint="eastAsia"/>
                      <w:color w:val="auto"/>
                      <w:sz w:val="18"/>
                      <w:szCs w:val="18"/>
                    </w:rPr>
                  </w:pPr>
                  <w:r>
                    <w:rPr>
                      <w:rFonts w:hint="eastAsia"/>
                      <w:color w:val="auto"/>
                      <w:sz w:val="18"/>
                      <w:szCs w:val="18"/>
                      <w:lang w:val="en-US" w:eastAsia="zh-CN"/>
                    </w:rPr>
                    <w:t>7.8</w:t>
                  </w:r>
                </w:p>
              </w:tc>
              <w:tc>
                <w:tcPr>
                  <w:tcW w:w="247" w:type="pct"/>
                  <w:tcBorders>
                    <w:tl2br w:val="nil"/>
                    <w:tr2bl w:val="nil"/>
                  </w:tcBorders>
                  <w:shd w:val="clear" w:color="auto" w:fill="auto"/>
                  <w:tcMar>
                    <w:top w:w="0" w:type="dxa"/>
                    <w:left w:w="0" w:type="dxa"/>
                    <w:bottom w:w="0" w:type="dxa"/>
                    <w:right w:w="0" w:type="dxa"/>
                  </w:tcMar>
                  <w:vAlign w:val="center"/>
                </w:tcPr>
                <w:p w14:paraId="75255C80">
                  <w:pPr>
                    <w:pStyle w:val="15"/>
                    <w:bidi w:val="0"/>
                    <w:rPr>
                      <w:rFonts w:hint="eastAsia"/>
                      <w:color w:val="auto"/>
                      <w:sz w:val="18"/>
                      <w:szCs w:val="18"/>
                    </w:rPr>
                  </w:pPr>
                  <w:r>
                    <w:rPr>
                      <w:rFonts w:hint="eastAsia"/>
                      <w:color w:val="auto"/>
                      <w:sz w:val="18"/>
                      <w:szCs w:val="18"/>
                      <w:lang w:val="en-US" w:eastAsia="zh-CN"/>
                    </w:rPr>
                    <w:t>0.53</w:t>
                  </w:r>
                </w:p>
              </w:tc>
              <w:tc>
                <w:tcPr>
                  <w:tcW w:w="287" w:type="pct"/>
                  <w:tcBorders>
                    <w:tl2br w:val="nil"/>
                    <w:tr2bl w:val="nil"/>
                  </w:tcBorders>
                  <w:shd w:val="clear" w:color="auto" w:fill="auto"/>
                  <w:tcMar>
                    <w:top w:w="0" w:type="dxa"/>
                    <w:left w:w="0" w:type="dxa"/>
                    <w:bottom w:w="0" w:type="dxa"/>
                    <w:right w:w="0" w:type="dxa"/>
                  </w:tcMar>
                  <w:vAlign w:val="center"/>
                </w:tcPr>
                <w:p w14:paraId="0825309F">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C620EC7">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7D3A4A70">
                  <w:pPr>
                    <w:pStyle w:val="15"/>
                    <w:bidi w:val="0"/>
                    <w:rPr>
                      <w:rFonts w:hint="eastAsia"/>
                      <w:color w:val="auto"/>
                      <w:sz w:val="18"/>
                      <w:szCs w:val="18"/>
                    </w:rPr>
                  </w:pPr>
                  <w:r>
                    <w:rPr>
                      <w:rFonts w:hint="eastAsia"/>
                      <w:color w:val="auto"/>
                      <w:sz w:val="18"/>
                      <w:szCs w:val="18"/>
                      <w:lang w:val="en-US" w:eastAsia="zh-CN"/>
                    </w:rPr>
                    <w:t>7.7</w:t>
                  </w:r>
                </w:p>
              </w:tc>
              <w:tc>
                <w:tcPr>
                  <w:tcW w:w="247" w:type="pct"/>
                  <w:tcBorders>
                    <w:tl2br w:val="nil"/>
                    <w:tr2bl w:val="nil"/>
                  </w:tcBorders>
                  <w:shd w:val="clear" w:color="auto" w:fill="auto"/>
                  <w:tcMar>
                    <w:top w:w="0" w:type="dxa"/>
                    <w:left w:w="0" w:type="dxa"/>
                    <w:bottom w:w="0" w:type="dxa"/>
                    <w:right w:w="0" w:type="dxa"/>
                  </w:tcMar>
                  <w:vAlign w:val="center"/>
                </w:tcPr>
                <w:p w14:paraId="01012935">
                  <w:pPr>
                    <w:pStyle w:val="15"/>
                    <w:bidi w:val="0"/>
                    <w:rPr>
                      <w:rFonts w:hint="eastAsia"/>
                      <w:color w:val="auto"/>
                      <w:sz w:val="18"/>
                      <w:szCs w:val="18"/>
                    </w:rPr>
                  </w:pPr>
                  <w:r>
                    <w:rPr>
                      <w:rFonts w:hint="eastAsia"/>
                      <w:color w:val="auto"/>
                      <w:sz w:val="18"/>
                      <w:szCs w:val="18"/>
                      <w:lang w:val="en-US" w:eastAsia="zh-CN"/>
                    </w:rPr>
                    <w:t>0.47</w:t>
                  </w:r>
                </w:p>
              </w:tc>
              <w:tc>
                <w:tcPr>
                  <w:tcW w:w="287" w:type="pct"/>
                  <w:tcBorders>
                    <w:tl2br w:val="nil"/>
                    <w:tr2bl w:val="nil"/>
                  </w:tcBorders>
                  <w:shd w:val="clear" w:color="auto" w:fill="auto"/>
                  <w:tcMar>
                    <w:top w:w="0" w:type="dxa"/>
                    <w:left w:w="0" w:type="dxa"/>
                    <w:bottom w:w="0" w:type="dxa"/>
                    <w:right w:w="0" w:type="dxa"/>
                  </w:tcMar>
                  <w:vAlign w:val="center"/>
                </w:tcPr>
                <w:p w14:paraId="55545D98">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E4C2A50">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4B0000C6">
                  <w:pPr>
                    <w:pStyle w:val="15"/>
                    <w:bidi w:val="0"/>
                    <w:rPr>
                      <w:rFonts w:hint="eastAsia"/>
                      <w:color w:val="auto"/>
                      <w:sz w:val="18"/>
                      <w:szCs w:val="18"/>
                    </w:rPr>
                  </w:pPr>
                  <w:r>
                    <w:rPr>
                      <w:rFonts w:hint="eastAsia"/>
                      <w:color w:val="auto"/>
                      <w:sz w:val="18"/>
                      <w:szCs w:val="18"/>
                      <w:lang w:val="en-US" w:eastAsia="zh-CN"/>
                    </w:rPr>
                    <w:t>-</w:t>
                  </w:r>
                </w:p>
              </w:tc>
            </w:tr>
            <w:tr w14:paraId="42037E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436F13C5">
                  <w:pPr>
                    <w:pStyle w:val="15"/>
                    <w:bidi w:val="0"/>
                    <w:rPr>
                      <w:rFonts w:hint="eastAsia"/>
                      <w:color w:val="auto"/>
                      <w:sz w:val="18"/>
                      <w:szCs w:val="18"/>
                    </w:rPr>
                  </w:pPr>
                  <w:r>
                    <w:rPr>
                      <w:rFonts w:hint="eastAsia"/>
                      <w:color w:val="auto"/>
                      <w:sz w:val="18"/>
                      <w:szCs w:val="18"/>
                      <w:lang w:val="en-US" w:eastAsia="zh-CN"/>
                    </w:rPr>
                    <w:t>2</w:t>
                  </w:r>
                </w:p>
              </w:tc>
              <w:tc>
                <w:tcPr>
                  <w:tcW w:w="828" w:type="pct"/>
                  <w:tcBorders>
                    <w:tl2br w:val="nil"/>
                    <w:tr2bl w:val="nil"/>
                  </w:tcBorders>
                  <w:shd w:val="clear" w:color="auto" w:fill="auto"/>
                  <w:tcMar>
                    <w:top w:w="0" w:type="dxa"/>
                    <w:left w:w="0" w:type="dxa"/>
                    <w:bottom w:w="0" w:type="dxa"/>
                    <w:right w:w="0" w:type="dxa"/>
                  </w:tcMar>
                  <w:vAlign w:val="center"/>
                </w:tcPr>
                <w:p w14:paraId="616E5D1E">
                  <w:pPr>
                    <w:pStyle w:val="15"/>
                    <w:bidi w:val="0"/>
                    <w:rPr>
                      <w:rFonts w:hint="eastAsia"/>
                      <w:color w:val="auto"/>
                      <w:sz w:val="18"/>
                      <w:szCs w:val="18"/>
                    </w:rPr>
                  </w:pPr>
                  <w:r>
                    <w:rPr>
                      <w:rFonts w:hint="eastAsia"/>
                      <w:color w:val="auto"/>
                      <w:sz w:val="18"/>
                      <w:szCs w:val="18"/>
                      <w:lang w:val="en-US" w:eastAsia="zh-CN"/>
                    </w:rPr>
                    <w:t>总硬度</w:t>
                  </w:r>
                </w:p>
              </w:tc>
              <w:tc>
                <w:tcPr>
                  <w:tcW w:w="633" w:type="pct"/>
                  <w:tcBorders>
                    <w:tl2br w:val="nil"/>
                    <w:tr2bl w:val="nil"/>
                  </w:tcBorders>
                  <w:shd w:val="clear" w:color="auto" w:fill="auto"/>
                  <w:tcMar>
                    <w:top w:w="0" w:type="dxa"/>
                    <w:left w:w="0" w:type="dxa"/>
                    <w:bottom w:w="0" w:type="dxa"/>
                    <w:right w:w="0" w:type="dxa"/>
                  </w:tcMar>
                  <w:vAlign w:val="center"/>
                </w:tcPr>
                <w:p w14:paraId="6D5033E9">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0D7CCF58">
                  <w:pPr>
                    <w:pStyle w:val="15"/>
                    <w:bidi w:val="0"/>
                    <w:rPr>
                      <w:rFonts w:hint="eastAsia"/>
                      <w:color w:val="auto"/>
                      <w:sz w:val="18"/>
                      <w:szCs w:val="18"/>
                    </w:rPr>
                  </w:pPr>
                  <w:r>
                    <w:rPr>
                      <w:rFonts w:hint="eastAsia"/>
                      <w:color w:val="auto"/>
                      <w:sz w:val="18"/>
                      <w:szCs w:val="18"/>
                      <w:lang w:val="en-US" w:eastAsia="zh-CN"/>
                    </w:rPr>
                    <w:t>450</w:t>
                  </w:r>
                </w:p>
              </w:tc>
              <w:tc>
                <w:tcPr>
                  <w:tcW w:w="367" w:type="pct"/>
                  <w:tcBorders>
                    <w:tl2br w:val="nil"/>
                    <w:tr2bl w:val="nil"/>
                  </w:tcBorders>
                  <w:shd w:val="clear" w:color="auto" w:fill="auto"/>
                  <w:tcMar>
                    <w:top w:w="0" w:type="dxa"/>
                    <w:left w:w="0" w:type="dxa"/>
                    <w:bottom w:w="0" w:type="dxa"/>
                    <w:right w:w="0" w:type="dxa"/>
                  </w:tcMar>
                  <w:vAlign w:val="center"/>
                </w:tcPr>
                <w:p w14:paraId="7458A77E">
                  <w:pPr>
                    <w:pStyle w:val="15"/>
                    <w:bidi w:val="0"/>
                    <w:rPr>
                      <w:rFonts w:hint="eastAsia"/>
                      <w:color w:val="auto"/>
                      <w:sz w:val="18"/>
                      <w:szCs w:val="18"/>
                    </w:rPr>
                  </w:pPr>
                  <w:r>
                    <w:rPr>
                      <w:rFonts w:hint="eastAsia"/>
                      <w:color w:val="auto"/>
                      <w:sz w:val="18"/>
                      <w:szCs w:val="18"/>
                      <w:lang w:val="en-US" w:eastAsia="zh-CN"/>
                    </w:rPr>
                    <w:t>1460</w:t>
                  </w:r>
                </w:p>
              </w:tc>
              <w:tc>
                <w:tcPr>
                  <w:tcW w:w="247" w:type="pct"/>
                  <w:tcBorders>
                    <w:tl2br w:val="nil"/>
                    <w:tr2bl w:val="nil"/>
                  </w:tcBorders>
                  <w:shd w:val="clear" w:color="auto" w:fill="auto"/>
                  <w:tcMar>
                    <w:top w:w="0" w:type="dxa"/>
                    <w:left w:w="0" w:type="dxa"/>
                    <w:bottom w:w="0" w:type="dxa"/>
                    <w:right w:w="0" w:type="dxa"/>
                  </w:tcMar>
                  <w:vAlign w:val="center"/>
                </w:tcPr>
                <w:p w14:paraId="33FD1AA7">
                  <w:pPr>
                    <w:pStyle w:val="15"/>
                    <w:bidi w:val="0"/>
                    <w:rPr>
                      <w:rFonts w:hint="eastAsia"/>
                      <w:color w:val="auto"/>
                      <w:sz w:val="18"/>
                      <w:szCs w:val="18"/>
                    </w:rPr>
                  </w:pPr>
                  <w:r>
                    <w:rPr>
                      <w:rFonts w:hint="eastAsia"/>
                      <w:color w:val="auto"/>
                      <w:sz w:val="18"/>
                      <w:szCs w:val="18"/>
                      <w:lang w:val="en-US" w:eastAsia="zh-CN"/>
                    </w:rPr>
                    <w:t>3.24</w:t>
                  </w:r>
                </w:p>
              </w:tc>
              <w:tc>
                <w:tcPr>
                  <w:tcW w:w="287" w:type="pct"/>
                  <w:tcBorders>
                    <w:tl2br w:val="nil"/>
                    <w:tr2bl w:val="nil"/>
                  </w:tcBorders>
                  <w:shd w:val="clear" w:color="auto" w:fill="auto"/>
                  <w:tcMar>
                    <w:top w:w="0" w:type="dxa"/>
                    <w:left w:w="0" w:type="dxa"/>
                    <w:bottom w:w="0" w:type="dxa"/>
                    <w:right w:w="0" w:type="dxa"/>
                  </w:tcMar>
                  <w:vAlign w:val="center"/>
                </w:tcPr>
                <w:p w14:paraId="314DDAEA">
                  <w:pPr>
                    <w:pStyle w:val="15"/>
                    <w:bidi w:val="0"/>
                    <w:rPr>
                      <w:rFonts w:hint="eastAsia"/>
                      <w:color w:val="auto"/>
                      <w:sz w:val="18"/>
                      <w:szCs w:val="18"/>
                    </w:rPr>
                  </w:pPr>
                  <w:r>
                    <w:rPr>
                      <w:rFonts w:hint="eastAsia"/>
                      <w:color w:val="auto"/>
                      <w:sz w:val="18"/>
                      <w:szCs w:val="18"/>
                      <w:lang w:val="en-US" w:eastAsia="zh-CN"/>
                    </w:rPr>
                    <w:t>224%</w:t>
                  </w:r>
                </w:p>
              </w:tc>
              <w:tc>
                <w:tcPr>
                  <w:tcW w:w="367" w:type="pct"/>
                  <w:tcBorders>
                    <w:tl2br w:val="nil"/>
                    <w:tr2bl w:val="nil"/>
                  </w:tcBorders>
                  <w:shd w:val="clear" w:color="auto" w:fill="auto"/>
                  <w:tcMar>
                    <w:top w:w="0" w:type="dxa"/>
                    <w:left w:w="0" w:type="dxa"/>
                    <w:bottom w:w="0" w:type="dxa"/>
                    <w:right w:w="0" w:type="dxa"/>
                  </w:tcMar>
                  <w:vAlign w:val="center"/>
                </w:tcPr>
                <w:p w14:paraId="07A7D37C">
                  <w:pPr>
                    <w:pStyle w:val="15"/>
                    <w:bidi w:val="0"/>
                    <w:rPr>
                      <w:rFonts w:hint="eastAsia"/>
                      <w:color w:val="auto"/>
                      <w:sz w:val="18"/>
                      <w:szCs w:val="18"/>
                    </w:rPr>
                  </w:pPr>
                  <w:r>
                    <w:rPr>
                      <w:rFonts w:hint="eastAsia"/>
                      <w:color w:val="auto"/>
                      <w:sz w:val="18"/>
                      <w:szCs w:val="18"/>
                      <w:lang w:val="en-US" w:eastAsia="zh-CN"/>
                    </w:rPr>
                    <w:t>不达标</w:t>
                  </w:r>
                </w:p>
              </w:tc>
              <w:tc>
                <w:tcPr>
                  <w:tcW w:w="367" w:type="pct"/>
                  <w:tcBorders>
                    <w:tl2br w:val="nil"/>
                    <w:tr2bl w:val="nil"/>
                  </w:tcBorders>
                  <w:shd w:val="clear" w:color="auto" w:fill="auto"/>
                  <w:tcMar>
                    <w:top w:w="0" w:type="dxa"/>
                    <w:left w:w="0" w:type="dxa"/>
                    <w:bottom w:w="0" w:type="dxa"/>
                    <w:right w:w="0" w:type="dxa"/>
                  </w:tcMar>
                  <w:vAlign w:val="center"/>
                </w:tcPr>
                <w:p w14:paraId="174D4527">
                  <w:pPr>
                    <w:pStyle w:val="15"/>
                    <w:bidi w:val="0"/>
                    <w:rPr>
                      <w:rFonts w:hint="eastAsia"/>
                      <w:color w:val="auto"/>
                      <w:sz w:val="18"/>
                      <w:szCs w:val="18"/>
                    </w:rPr>
                  </w:pPr>
                  <w:r>
                    <w:rPr>
                      <w:rFonts w:hint="eastAsia"/>
                      <w:color w:val="auto"/>
                      <w:sz w:val="18"/>
                      <w:szCs w:val="18"/>
                      <w:lang w:val="en-US" w:eastAsia="zh-CN"/>
                    </w:rPr>
                    <w:t>1730</w:t>
                  </w:r>
                </w:p>
              </w:tc>
              <w:tc>
                <w:tcPr>
                  <w:tcW w:w="247" w:type="pct"/>
                  <w:tcBorders>
                    <w:tl2br w:val="nil"/>
                    <w:tr2bl w:val="nil"/>
                  </w:tcBorders>
                  <w:shd w:val="clear" w:color="auto" w:fill="auto"/>
                  <w:tcMar>
                    <w:top w:w="0" w:type="dxa"/>
                    <w:left w:w="0" w:type="dxa"/>
                    <w:bottom w:w="0" w:type="dxa"/>
                    <w:right w:w="0" w:type="dxa"/>
                  </w:tcMar>
                  <w:vAlign w:val="center"/>
                </w:tcPr>
                <w:p w14:paraId="75D7B504">
                  <w:pPr>
                    <w:pStyle w:val="15"/>
                    <w:bidi w:val="0"/>
                    <w:rPr>
                      <w:rFonts w:hint="eastAsia"/>
                      <w:color w:val="auto"/>
                      <w:sz w:val="18"/>
                      <w:szCs w:val="18"/>
                    </w:rPr>
                  </w:pPr>
                  <w:r>
                    <w:rPr>
                      <w:rFonts w:hint="eastAsia"/>
                      <w:color w:val="auto"/>
                      <w:sz w:val="18"/>
                      <w:szCs w:val="18"/>
                      <w:lang w:val="en-US" w:eastAsia="zh-CN"/>
                    </w:rPr>
                    <w:t>3.84</w:t>
                  </w:r>
                </w:p>
              </w:tc>
              <w:tc>
                <w:tcPr>
                  <w:tcW w:w="287" w:type="pct"/>
                  <w:tcBorders>
                    <w:tl2br w:val="nil"/>
                    <w:tr2bl w:val="nil"/>
                  </w:tcBorders>
                  <w:shd w:val="clear" w:color="auto" w:fill="auto"/>
                  <w:tcMar>
                    <w:top w:w="0" w:type="dxa"/>
                    <w:left w:w="0" w:type="dxa"/>
                    <w:bottom w:w="0" w:type="dxa"/>
                    <w:right w:w="0" w:type="dxa"/>
                  </w:tcMar>
                  <w:vAlign w:val="center"/>
                </w:tcPr>
                <w:p w14:paraId="1A486462">
                  <w:pPr>
                    <w:pStyle w:val="15"/>
                    <w:bidi w:val="0"/>
                    <w:rPr>
                      <w:rFonts w:hint="eastAsia"/>
                      <w:color w:val="auto"/>
                      <w:sz w:val="18"/>
                      <w:szCs w:val="18"/>
                    </w:rPr>
                  </w:pPr>
                  <w:r>
                    <w:rPr>
                      <w:rFonts w:hint="eastAsia"/>
                      <w:color w:val="auto"/>
                      <w:sz w:val="18"/>
                      <w:szCs w:val="18"/>
                      <w:lang w:val="en-US" w:eastAsia="zh-CN"/>
                    </w:rPr>
                    <w:t>284%</w:t>
                  </w:r>
                </w:p>
              </w:tc>
              <w:tc>
                <w:tcPr>
                  <w:tcW w:w="367" w:type="pct"/>
                  <w:tcBorders>
                    <w:tl2br w:val="nil"/>
                    <w:tr2bl w:val="nil"/>
                  </w:tcBorders>
                  <w:shd w:val="clear" w:color="auto" w:fill="auto"/>
                  <w:tcMar>
                    <w:top w:w="0" w:type="dxa"/>
                    <w:left w:w="0" w:type="dxa"/>
                    <w:bottom w:w="0" w:type="dxa"/>
                    <w:right w:w="0" w:type="dxa"/>
                  </w:tcMar>
                  <w:vAlign w:val="center"/>
                </w:tcPr>
                <w:p w14:paraId="3EEB4D71">
                  <w:pPr>
                    <w:pStyle w:val="15"/>
                    <w:bidi w:val="0"/>
                    <w:rPr>
                      <w:rFonts w:hint="eastAsia"/>
                      <w:color w:val="auto"/>
                      <w:sz w:val="18"/>
                      <w:szCs w:val="18"/>
                    </w:rPr>
                  </w:pPr>
                  <w:r>
                    <w:rPr>
                      <w:rFonts w:hint="eastAsia"/>
                      <w:color w:val="auto"/>
                      <w:sz w:val="18"/>
                      <w:szCs w:val="18"/>
                      <w:lang w:val="en-US" w:eastAsia="zh-CN"/>
                    </w:rPr>
                    <w:t>不达标</w:t>
                  </w:r>
                </w:p>
              </w:tc>
              <w:tc>
                <w:tcPr>
                  <w:tcW w:w="394" w:type="pct"/>
                  <w:tcBorders>
                    <w:tl2br w:val="nil"/>
                    <w:tr2bl w:val="nil"/>
                  </w:tcBorders>
                  <w:shd w:val="clear" w:color="auto" w:fill="auto"/>
                  <w:tcMar>
                    <w:top w:w="0" w:type="dxa"/>
                    <w:left w:w="0" w:type="dxa"/>
                    <w:bottom w:w="0" w:type="dxa"/>
                    <w:right w:w="0" w:type="dxa"/>
                  </w:tcMar>
                  <w:vAlign w:val="center"/>
                </w:tcPr>
                <w:p w14:paraId="7CC764C0">
                  <w:pPr>
                    <w:pStyle w:val="15"/>
                    <w:bidi w:val="0"/>
                    <w:rPr>
                      <w:rFonts w:hint="eastAsia"/>
                      <w:color w:val="auto"/>
                      <w:sz w:val="18"/>
                      <w:szCs w:val="18"/>
                    </w:rPr>
                  </w:pPr>
                  <w:r>
                    <w:rPr>
                      <w:rFonts w:hint="eastAsia"/>
                      <w:color w:val="auto"/>
                      <w:sz w:val="18"/>
                      <w:szCs w:val="18"/>
                      <w:lang w:val="en-US" w:eastAsia="zh-CN"/>
                    </w:rPr>
                    <w:t>5</w:t>
                  </w:r>
                </w:p>
              </w:tc>
            </w:tr>
            <w:tr w14:paraId="785FCC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3379521C">
                  <w:pPr>
                    <w:pStyle w:val="15"/>
                    <w:bidi w:val="0"/>
                    <w:rPr>
                      <w:rFonts w:hint="eastAsia"/>
                      <w:color w:val="auto"/>
                      <w:sz w:val="18"/>
                      <w:szCs w:val="18"/>
                    </w:rPr>
                  </w:pPr>
                  <w:r>
                    <w:rPr>
                      <w:rFonts w:hint="eastAsia"/>
                      <w:color w:val="auto"/>
                      <w:sz w:val="18"/>
                      <w:szCs w:val="18"/>
                      <w:lang w:val="en-US" w:eastAsia="zh-CN"/>
                    </w:rPr>
                    <w:t>3</w:t>
                  </w:r>
                </w:p>
              </w:tc>
              <w:tc>
                <w:tcPr>
                  <w:tcW w:w="828" w:type="pct"/>
                  <w:tcBorders>
                    <w:tl2br w:val="nil"/>
                    <w:tr2bl w:val="nil"/>
                  </w:tcBorders>
                  <w:shd w:val="clear" w:color="auto" w:fill="auto"/>
                  <w:tcMar>
                    <w:top w:w="0" w:type="dxa"/>
                    <w:left w:w="0" w:type="dxa"/>
                    <w:bottom w:w="0" w:type="dxa"/>
                    <w:right w:w="0" w:type="dxa"/>
                  </w:tcMar>
                  <w:vAlign w:val="center"/>
                </w:tcPr>
                <w:p w14:paraId="4D56589C">
                  <w:pPr>
                    <w:pStyle w:val="15"/>
                    <w:bidi w:val="0"/>
                    <w:rPr>
                      <w:rFonts w:hint="eastAsia"/>
                      <w:color w:val="auto"/>
                      <w:sz w:val="18"/>
                      <w:szCs w:val="18"/>
                    </w:rPr>
                  </w:pPr>
                  <w:r>
                    <w:rPr>
                      <w:rFonts w:hint="eastAsia"/>
                      <w:color w:val="auto"/>
                      <w:sz w:val="18"/>
                      <w:szCs w:val="18"/>
                      <w:lang w:val="en-US" w:eastAsia="zh-CN"/>
                    </w:rPr>
                    <w:t>钙</w:t>
                  </w:r>
                </w:p>
              </w:tc>
              <w:tc>
                <w:tcPr>
                  <w:tcW w:w="633" w:type="pct"/>
                  <w:tcBorders>
                    <w:tl2br w:val="nil"/>
                    <w:tr2bl w:val="nil"/>
                  </w:tcBorders>
                  <w:shd w:val="clear" w:color="auto" w:fill="auto"/>
                  <w:tcMar>
                    <w:top w:w="0" w:type="dxa"/>
                    <w:left w:w="0" w:type="dxa"/>
                    <w:bottom w:w="0" w:type="dxa"/>
                    <w:right w:w="0" w:type="dxa"/>
                  </w:tcMar>
                  <w:vAlign w:val="center"/>
                </w:tcPr>
                <w:p w14:paraId="2EA52943">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0ED683C2">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04B19552">
                  <w:pPr>
                    <w:pStyle w:val="15"/>
                    <w:bidi w:val="0"/>
                    <w:rPr>
                      <w:rFonts w:hint="eastAsia"/>
                      <w:color w:val="auto"/>
                      <w:sz w:val="18"/>
                      <w:szCs w:val="18"/>
                    </w:rPr>
                  </w:pPr>
                  <w:r>
                    <w:rPr>
                      <w:rFonts w:hint="eastAsia"/>
                      <w:color w:val="auto"/>
                      <w:sz w:val="18"/>
                      <w:szCs w:val="18"/>
                      <w:lang w:val="en-US" w:eastAsia="zh-CN"/>
                    </w:rPr>
                    <w:t>308</w:t>
                  </w:r>
                </w:p>
              </w:tc>
              <w:tc>
                <w:tcPr>
                  <w:tcW w:w="247" w:type="pct"/>
                  <w:tcBorders>
                    <w:tl2br w:val="nil"/>
                    <w:tr2bl w:val="nil"/>
                  </w:tcBorders>
                  <w:shd w:val="clear" w:color="auto" w:fill="auto"/>
                  <w:tcMar>
                    <w:top w:w="0" w:type="dxa"/>
                    <w:left w:w="0" w:type="dxa"/>
                    <w:bottom w:w="0" w:type="dxa"/>
                    <w:right w:w="0" w:type="dxa"/>
                  </w:tcMar>
                  <w:vAlign w:val="center"/>
                </w:tcPr>
                <w:p w14:paraId="083468A9">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0268D60E">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66BB8E4A">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7B8493F4">
                  <w:pPr>
                    <w:pStyle w:val="15"/>
                    <w:bidi w:val="0"/>
                    <w:rPr>
                      <w:rFonts w:hint="eastAsia"/>
                      <w:color w:val="auto"/>
                      <w:sz w:val="18"/>
                      <w:szCs w:val="18"/>
                    </w:rPr>
                  </w:pPr>
                  <w:r>
                    <w:rPr>
                      <w:rFonts w:hint="eastAsia"/>
                      <w:color w:val="auto"/>
                      <w:sz w:val="18"/>
                      <w:szCs w:val="18"/>
                      <w:lang w:val="en-US" w:eastAsia="zh-CN"/>
                    </w:rPr>
                    <w:t>305</w:t>
                  </w:r>
                </w:p>
              </w:tc>
              <w:tc>
                <w:tcPr>
                  <w:tcW w:w="247" w:type="pct"/>
                  <w:tcBorders>
                    <w:tl2br w:val="nil"/>
                    <w:tr2bl w:val="nil"/>
                  </w:tcBorders>
                  <w:shd w:val="clear" w:color="auto" w:fill="auto"/>
                  <w:tcMar>
                    <w:top w:w="0" w:type="dxa"/>
                    <w:left w:w="0" w:type="dxa"/>
                    <w:bottom w:w="0" w:type="dxa"/>
                    <w:right w:w="0" w:type="dxa"/>
                  </w:tcMar>
                  <w:vAlign w:val="center"/>
                </w:tcPr>
                <w:p w14:paraId="776D052A">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7689528">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4988B215">
                  <w:pPr>
                    <w:pStyle w:val="15"/>
                    <w:bidi w:val="0"/>
                    <w:rPr>
                      <w:rFonts w:hint="eastAsia"/>
                      <w:color w:val="auto"/>
                      <w:sz w:val="18"/>
                      <w:szCs w:val="18"/>
                    </w:rPr>
                  </w:pPr>
                  <w:r>
                    <w:rPr>
                      <w:rFonts w:hint="eastAsia"/>
                      <w:color w:val="auto"/>
                      <w:sz w:val="18"/>
                      <w:szCs w:val="18"/>
                      <w:lang w:val="en-US" w:eastAsia="zh-CN"/>
                    </w:rPr>
                    <w:t>/</w:t>
                  </w:r>
                </w:p>
              </w:tc>
              <w:tc>
                <w:tcPr>
                  <w:tcW w:w="394" w:type="pct"/>
                  <w:tcBorders>
                    <w:tl2br w:val="nil"/>
                    <w:tr2bl w:val="nil"/>
                  </w:tcBorders>
                  <w:shd w:val="clear" w:color="auto" w:fill="auto"/>
                  <w:tcMar>
                    <w:top w:w="0" w:type="dxa"/>
                    <w:left w:w="0" w:type="dxa"/>
                    <w:bottom w:w="0" w:type="dxa"/>
                    <w:right w:w="0" w:type="dxa"/>
                  </w:tcMar>
                  <w:vAlign w:val="center"/>
                </w:tcPr>
                <w:p w14:paraId="6BB3AEB6">
                  <w:pPr>
                    <w:pStyle w:val="15"/>
                    <w:bidi w:val="0"/>
                    <w:rPr>
                      <w:rFonts w:hint="eastAsia"/>
                      <w:color w:val="auto"/>
                      <w:sz w:val="18"/>
                      <w:szCs w:val="18"/>
                    </w:rPr>
                  </w:pPr>
                  <w:r>
                    <w:rPr>
                      <w:rFonts w:hint="eastAsia"/>
                      <w:color w:val="auto"/>
                      <w:sz w:val="18"/>
                      <w:szCs w:val="18"/>
                      <w:lang w:val="en-US" w:eastAsia="zh-CN"/>
                    </w:rPr>
                    <w:t>2</w:t>
                  </w:r>
                </w:p>
              </w:tc>
            </w:tr>
            <w:tr w14:paraId="3756D2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69B58F72">
                  <w:pPr>
                    <w:pStyle w:val="15"/>
                    <w:bidi w:val="0"/>
                    <w:rPr>
                      <w:rFonts w:hint="eastAsia"/>
                      <w:color w:val="auto"/>
                      <w:sz w:val="18"/>
                      <w:szCs w:val="18"/>
                    </w:rPr>
                  </w:pPr>
                  <w:r>
                    <w:rPr>
                      <w:rFonts w:hint="eastAsia"/>
                      <w:color w:val="auto"/>
                      <w:sz w:val="18"/>
                      <w:szCs w:val="18"/>
                      <w:lang w:val="en-US" w:eastAsia="zh-CN"/>
                    </w:rPr>
                    <w:t>4</w:t>
                  </w:r>
                </w:p>
              </w:tc>
              <w:tc>
                <w:tcPr>
                  <w:tcW w:w="828" w:type="pct"/>
                  <w:tcBorders>
                    <w:tl2br w:val="nil"/>
                    <w:tr2bl w:val="nil"/>
                  </w:tcBorders>
                  <w:shd w:val="clear" w:color="auto" w:fill="auto"/>
                  <w:tcMar>
                    <w:top w:w="0" w:type="dxa"/>
                    <w:left w:w="0" w:type="dxa"/>
                    <w:bottom w:w="0" w:type="dxa"/>
                    <w:right w:w="0" w:type="dxa"/>
                  </w:tcMar>
                  <w:vAlign w:val="center"/>
                </w:tcPr>
                <w:p w14:paraId="157EFB20">
                  <w:pPr>
                    <w:pStyle w:val="15"/>
                    <w:bidi w:val="0"/>
                    <w:rPr>
                      <w:rFonts w:hint="eastAsia"/>
                      <w:color w:val="auto"/>
                      <w:sz w:val="18"/>
                      <w:szCs w:val="18"/>
                    </w:rPr>
                  </w:pPr>
                  <w:r>
                    <w:rPr>
                      <w:rFonts w:hint="eastAsia"/>
                      <w:color w:val="auto"/>
                      <w:sz w:val="18"/>
                      <w:szCs w:val="18"/>
                      <w:lang w:val="en-US" w:eastAsia="zh-CN"/>
                    </w:rPr>
                    <w:t>镁</w:t>
                  </w:r>
                </w:p>
              </w:tc>
              <w:tc>
                <w:tcPr>
                  <w:tcW w:w="633" w:type="pct"/>
                  <w:tcBorders>
                    <w:tl2br w:val="nil"/>
                    <w:tr2bl w:val="nil"/>
                  </w:tcBorders>
                  <w:shd w:val="clear" w:color="auto" w:fill="auto"/>
                  <w:tcMar>
                    <w:top w:w="0" w:type="dxa"/>
                    <w:left w:w="0" w:type="dxa"/>
                    <w:bottom w:w="0" w:type="dxa"/>
                    <w:right w:w="0" w:type="dxa"/>
                  </w:tcMar>
                  <w:vAlign w:val="center"/>
                </w:tcPr>
                <w:p w14:paraId="58A5BE19">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5F3232E3">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4719FE7F">
                  <w:pPr>
                    <w:pStyle w:val="15"/>
                    <w:bidi w:val="0"/>
                    <w:rPr>
                      <w:rFonts w:hint="eastAsia"/>
                      <w:color w:val="auto"/>
                      <w:sz w:val="18"/>
                      <w:szCs w:val="18"/>
                    </w:rPr>
                  </w:pPr>
                  <w:r>
                    <w:rPr>
                      <w:rFonts w:hint="eastAsia"/>
                      <w:color w:val="auto"/>
                      <w:sz w:val="18"/>
                      <w:szCs w:val="18"/>
                      <w:lang w:val="en-US" w:eastAsia="zh-CN"/>
                    </w:rPr>
                    <w:t>168</w:t>
                  </w:r>
                </w:p>
              </w:tc>
              <w:tc>
                <w:tcPr>
                  <w:tcW w:w="247" w:type="pct"/>
                  <w:tcBorders>
                    <w:tl2br w:val="nil"/>
                    <w:tr2bl w:val="nil"/>
                  </w:tcBorders>
                  <w:shd w:val="clear" w:color="auto" w:fill="auto"/>
                  <w:tcMar>
                    <w:top w:w="0" w:type="dxa"/>
                    <w:left w:w="0" w:type="dxa"/>
                    <w:bottom w:w="0" w:type="dxa"/>
                    <w:right w:w="0" w:type="dxa"/>
                  </w:tcMar>
                  <w:vAlign w:val="center"/>
                </w:tcPr>
                <w:p w14:paraId="634C1334">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2D07D57">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148DBD17">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52FE4FB4">
                  <w:pPr>
                    <w:pStyle w:val="15"/>
                    <w:bidi w:val="0"/>
                    <w:rPr>
                      <w:rFonts w:hint="eastAsia"/>
                      <w:color w:val="auto"/>
                      <w:sz w:val="18"/>
                      <w:szCs w:val="18"/>
                    </w:rPr>
                  </w:pPr>
                  <w:r>
                    <w:rPr>
                      <w:rFonts w:hint="eastAsia"/>
                      <w:color w:val="auto"/>
                      <w:sz w:val="18"/>
                      <w:szCs w:val="18"/>
                      <w:lang w:val="en-US" w:eastAsia="zh-CN"/>
                    </w:rPr>
                    <w:t>235</w:t>
                  </w:r>
                </w:p>
              </w:tc>
              <w:tc>
                <w:tcPr>
                  <w:tcW w:w="247" w:type="pct"/>
                  <w:tcBorders>
                    <w:tl2br w:val="nil"/>
                    <w:tr2bl w:val="nil"/>
                  </w:tcBorders>
                  <w:shd w:val="clear" w:color="auto" w:fill="auto"/>
                  <w:tcMar>
                    <w:top w:w="0" w:type="dxa"/>
                    <w:left w:w="0" w:type="dxa"/>
                    <w:bottom w:w="0" w:type="dxa"/>
                    <w:right w:w="0" w:type="dxa"/>
                  </w:tcMar>
                  <w:vAlign w:val="center"/>
                </w:tcPr>
                <w:p w14:paraId="791A2D24">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5759D830">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1A9EC947">
                  <w:pPr>
                    <w:pStyle w:val="15"/>
                    <w:bidi w:val="0"/>
                    <w:rPr>
                      <w:rFonts w:hint="eastAsia"/>
                      <w:color w:val="auto"/>
                      <w:sz w:val="18"/>
                      <w:szCs w:val="18"/>
                    </w:rPr>
                  </w:pPr>
                  <w:r>
                    <w:rPr>
                      <w:rFonts w:hint="eastAsia"/>
                      <w:color w:val="auto"/>
                      <w:sz w:val="18"/>
                      <w:szCs w:val="18"/>
                      <w:lang w:val="en-US" w:eastAsia="zh-CN"/>
                    </w:rPr>
                    <w:t>/</w:t>
                  </w:r>
                </w:p>
              </w:tc>
              <w:tc>
                <w:tcPr>
                  <w:tcW w:w="394" w:type="pct"/>
                  <w:tcBorders>
                    <w:tl2br w:val="nil"/>
                    <w:tr2bl w:val="nil"/>
                  </w:tcBorders>
                  <w:shd w:val="clear" w:color="auto" w:fill="auto"/>
                  <w:tcMar>
                    <w:top w:w="0" w:type="dxa"/>
                    <w:left w:w="0" w:type="dxa"/>
                    <w:bottom w:w="0" w:type="dxa"/>
                    <w:right w:w="0" w:type="dxa"/>
                  </w:tcMar>
                  <w:vAlign w:val="center"/>
                </w:tcPr>
                <w:p w14:paraId="15A971E0">
                  <w:pPr>
                    <w:pStyle w:val="15"/>
                    <w:bidi w:val="0"/>
                    <w:rPr>
                      <w:rFonts w:hint="eastAsia"/>
                      <w:color w:val="auto"/>
                      <w:sz w:val="18"/>
                      <w:szCs w:val="18"/>
                    </w:rPr>
                  </w:pPr>
                  <w:r>
                    <w:rPr>
                      <w:rFonts w:hint="eastAsia"/>
                      <w:color w:val="auto"/>
                      <w:sz w:val="18"/>
                      <w:szCs w:val="18"/>
                      <w:lang w:val="en-US" w:eastAsia="zh-CN"/>
                    </w:rPr>
                    <w:t>-</w:t>
                  </w:r>
                </w:p>
              </w:tc>
            </w:tr>
            <w:tr w14:paraId="37A3E2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0A86E22C">
                  <w:pPr>
                    <w:pStyle w:val="15"/>
                    <w:bidi w:val="0"/>
                    <w:rPr>
                      <w:rFonts w:hint="eastAsia"/>
                      <w:color w:val="auto"/>
                      <w:sz w:val="18"/>
                      <w:szCs w:val="18"/>
                    </w:rPr>
                  </w:pPr>
                  <w:r>
                    <w:rPr>
                      <w:rFonts w:hint="eastAsia"/>
                      <w:color w:val="auto"/>
                      <w:sz w:val="18"/>
                      <w:szCs w:val="18"/>
                      <w:lang w:val="en-US" w:eastAsia="zh-CN"/>
                    </w:rPr>
                    <w:t>5</w:t>
                  </w:r>
                </w:p>
              </w:tc>
              <w:tc>
                <w:tcPr>
                  <w:tcW w:w="828" w:type="pct"/>
                  <w:tcBorders>
                    <w:tl2br w:val="nil"/>
                    <w:tr2bl w:val="nil"/>
                  </w:tcBorders>
                  <w:shd w:val="clear" w:color="auto" w:fill="auto"/>
                  <w:tcMar>
                    <w:top w:w="0" w:type="dxa"/>
                    <w:left w:w="0" w:type="dxa"/>
                    <w:bottom w:w="0" w:type="dxa"/>
                    <w:right w:w="0" w:type="dxa"/>
                  </w:tcMar>
                  <w:vAlign w:val="center"/>
                </w:tcPr>
                <w:p w14:paraId="648A7760">
                  <w:pPr>
                    <w:pStyle w:val="15"/>
                    <w:bidi w:val="0"/>
                    <w:rPr>
                      <w:rFonts w:hint="eastAsia"/>
                      <w:color w:val="auto"/>
                      <w:sz w:val="18"/>
                      <w:szCs w:val="18"/>
                    </w:rPr>
                  </w:pPr>
                  <w:r>
                    <w:rPr>
                      <w:rFonts w:hint="eastAsia"/>
                      <w:color w:val="auto"/>
                      <w:sz w:val="18"/>
                      <w:szCs w:val="18"/>
                      <w:lang w:val="en-US" w:eastAsia="zh-CN"/>
                    </w:rPr>
                    <w:t>溶解性总固体</w:t>
                  </w:r>
                </w:p>
              </w:tc>
              <w:tc>
                <w:tcPr>
                  <w:tcW w:w="633" w:type="pct"/>
                  <w:tcBorders>
                    <w:tl2br w:val="nil"/>
                    <w:tr2bl w:val="nil"/>
                  </w:tcBorders>
                  <w:shd w:val="clear" w:color="auto" w:fill="auto"/>
                  <w:tcMar>
                    <w:top w:w="0" w:type="dxa"/>
                    <w:left w:w="0" w:type="dxa"/>
                    <w:bottom w:w="0" w:type="dxa"/>
                    <w:right w:w="0" w:type="dxa"/>
                  </w:tcMar>
                  <w:vAlign w:val="center"/>
                </w:tcPr>
                <w:p w14:paraId="1A581DEF">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6B2676F4">
                  <w:pPr>
                    <w:pStyle w:val="15"/>
                    <w:bidi w:val="0"/>
                    <w:rPr>
                      <w:rFonts w:hint="eastAsia"/>
                      <w:color w:val="auto"/>
                      <w:sz w:val="18"/>
                      <w:szCs w:val="18"/>
                    </w:rPr>
                  </w:pPr>
                  <w:r>
                    <w:rPr>
                      <w:rFonts w:hint="eastAsia"/>
                      <w:color w:val="auto"/>
                      <w:sz w:val="18"/>
                      <w:szCs w:val="18"/>
                      <w:lang w:val="en-US" w:eastAsia="zh-CN"/>
                    </w:rPr>
                    <w:t>1000</w:t>
                  </w:r>
                </w:p>
              </w:tc>
              <w:tc>
                <w:tcPr>
                  <w:tcW w:w="367" w:type="pct"/>
                  <w:tcBorders>
                    <w:tl2br w:val="nil"/>
                    <w:tr2bl w:val="nil"/>
                  </w:tcBorders>
                  <w:shd w:val="clear" w:color="auto" w:fill="auto"/>
                  <w:tcMar>
                    <w:top w:w="0" w:type="dxa"/>
                    <w:left w:w="0" w:type="dxa"/>
                    <w:bottom w:w="0" w:type="dxa"/>
                    <w:right w:w="0" w:type="dxa"/>
                  </w:tcMar>
                  <w:vAlign w:val="center"/>
                </w:tcPr>
                <w:p w14:paraId="5CEEDA6C">
                  <w:pPr>
                    <w:pStyle w:val="15"/>
                    <w:bidi w:val="0"/>
                    <w:rPr>
                      <w:rFonts w:hint="eastAsia"/>
                      <w:color w:val="auto"/>
                      <w:sz w:val="18"/>
                      <w:szCs w:val="18"/>
                    </w:rPr>
                  </w:pPr>
                  <w:r>
                    <w:rPr>
                      <w:rFonts w:hint="eastAsia"/>
                      <w:color w:val="auto"/>
                      <w:sz w:val="18"/>
                      <w:szCs w:val="18"/>
                      <w:lang w:val="en-US" w:eastAsia="zh-CN"/>
                    </w:rPr>
                    <w:t>2880</w:t>
                  </w:r>
                </w:p>
              </w:tc>
              <w:tc>
                <w:tcPr>
                  <w:tcW w:w="247" w:type="pct"/>
                  <w:tcBorders>
                    <w:tl2br w:val="nil"/>
                    <w:tr2bl w:val="nil"/>
                  </w:tcBorders>
                  <w:shd w:val="clear" w:color="auto" w:fill="auto"/>
                  <w:tcMar>
                    <w:top w:w="0" w:type="dxa"/>
                    <w:left w:w="0" w:type="dxa"/>
                    <w:bottom w:w="0" w:type="dxa"/>
                    <w:right w:w="0" w:type="dxa"/>
                  </w:tcMar>
                  <w:vAlign w:val="center"/>
                </w:tcPr>
                <w:p w14:paraId="472BC837">
                  <w:pPr>
                    <w:pStyle w:val="15"/>
                    <w:bidi w:val="0"/>
                    <w:rPr>
                      <w:rFonts w:hint="eastAsia"/>
                      <w:color w:val="auto"/>
                      <w:sz w:val="18"/>
                      <w:szCs w:val="18"/>
                    </w:rPr>
                  </w:pPr>
                  <w:r>
                    <w:rPr>
                      <w:rFonts w:hint="eastAsia"/>
                      <w:color w:val="auto"/>
                      <w:sz w:val="18"/>
                      <w:szCs w:val="18"/>
                      <w:lang w:val="en-US" w:eastAsia="zh-CN"/>
                    </w:rPr>
                    <w:t>2.88</w:t>
                  </w:r>
                </w:p>
              </w:tc>
              <w:tc>
                <w:tcPr>
                  <w:tcW w:w="287" w:type="pct"/>
                  <w:tcBorders>
                    <w:tl2br w:val="nil"/>
                    <w:tr2bl w:val="nil"/>
                  </w:tcBorders>
                  <w:shd w:val="clear" w:color="auto" w:fill="auto"/>
                  <w:tcMar>
                    <w:top w:w="0" w:type="dxa"/>
                    <w:left w:w="0" w:type="dxa"/>
                    <w:bottom w:w="0" w:type="dxa"/>
                    <w:right w:w="0" w:type="dxa"/>
                  </w:tcMar>
                  <w:vAlign w:val="center"/>
                </w:tcPr>
                <w:p w14:paraId="7B6ABF81">
                  <w:pPr>
                    <w:pStyle w:val="15"/>
                    <w:bidi w:val="0"/>
                    <w:rPr>
                      <w:rFonts w:hint="eastAsia"/>
                      <w:color w:val="auto"/>
                      <w:sz w:val="18"/>
                      <w:szCs w:val="18"/>
                    </w:rPr>
                  </w:pPr>
                  <w:r>
                    <w:rPr>
                      <w:rFonts w:hint="eastAsia"/>
                      <w:color w:val="auto"/>
                      <w:sz w:val="18"/>
                      <w:szCs w:val="18"/>
                      <w:lang w:val="en-US" w:eastAsia="zh-CN"/>
                    </w:rPr>
                    <w:t>188%</w:t>
                  </w:r>
                </w:p>
              </w:tc>
              <w:tc>
                <w:tcPr>
                  <w:tcW w:w="367" w:type="pct"/>
                  <w:tcBorders>
                    <w:tl2br w:val="nil"/>
                    <w:tr2bl w:val="nil"/>
                  </w:tcBorders>
                  <w:shd w:val="clear" w:color="auto" w:fill="auto"/>
                  <w:tcMar>
                    <w:top w:w="0" w:type="dxa"/>
                    <w:left w:w="0" w:type="dxa"/>
                    <w:bottom w:w="0" w:type="dxa"/>
                    <w:right w:w="0" w:type="dxa"/>
                  </w:tcMar>
                  <w:vAlign w:val="center"/>
                </w:tcPr>
                <w:p w14:paraId="5ACA94DC">
                  <w:pPr>
                    <w:pStyle w:val="15"/>
                    <w:bidi w:val="0"/>
                    <w:rPr>
                      <w:rFonts w:hint="eastAsia"/>
                      <w:color w:val="auto"/>
                      <w:sz w:val="18"/>
                      <w:szCs w:val="18"/>
                    </w:rPr>
                  </w:pPr>
                  <w:r>
                    <w:rPr>
                      <w:rFonts w:hint="eastAsia"/>
                      <w:color w:val="auto"/>
                      <w:sz w:val="18"/>
                      <w:szCs w:val="18"/>
                      <w:lang w:val="en-US" w:eastAsia="zh-CN"/>
                    </w:rPr>
                    <w:t>不达标</w:t>
                  </w:r>
                </w:p>
              </w:tc>
              <w:tc>
                <w:tcPr>
                  <w:tcW w:w="367" w:type="pct"/>
                  <w:tcBorders>
                    <w:tl2br w:val="nil"/>
                    <w:tr2bl w:val="nil"/>
                  </w:tcBorders>
                  <w:shd w:val="clear" w:color="auto" w:fill="auto"/>
                  <w:tcMar>
                    <w:top w:w="0" w:type="dxa"/>
                    <w:left w:w="0" w:type="dxa"/>
                    <w:bottom w:w="0" w:type="dxa"/>
                    <w:right w:w="0" w:type="dxa"/>
                  </w:tcMar>
                  <w:vAlign w:val="center"/>
                </w:tcPr>
                <w:p w14:paraId="6524F28C">
                  <w:pPr>
                    <w:pStyle w:val="15"/>
                    <w:bidi w:val="0"/>
                    <w:rPr>
                      <w:rFonts w:hint="eastAsia"/>
                      <w:color w:val="auto"/>
                      <w:sz w:val="18"/>
                      <w:szCs w:val="18"/>
                    </w:rPr>
                  </w:pPr>
                  <w:r>
                    <w:rPr>
                      <w:rFonts w:hint="eastAsia"/>
                      <w:color w:val="auto"/>
                      <w:sz w:val="18"/>
                      <w:szCs w:val="18"/>
                      <w:lang w:val="en-US" w:eastAsia="zh-CN"/>
                    </w:rPr>
                    <w:t>2660</w:t>
                  </w:r>
                </w:p>
              </w:tc>
              <w:tc>
                <w:tcPr>
                  <w:tcW w:w="247" w:type="pct"/>
                  <w:tcBorders>
                    <w:tl2br w:val="nil"/>
                    <w:tr2bl w:val="nil"/>
                  </w:tcBorders>
                  <w:shd w:val="clear" w:color="auto" w:fill="auto"/>
                  <w:tcMar>
                    <w:top w:w="0" w:type="dxa"/>
                    <w:left w:w="0" w:type="dxa"/>
                    <w:bottom w:w="0" w:type="dxa"/>
                    <w:right w:w="0" w:type="dxa"/>
                  </w:tcMar>
                  <w:vAlign w:val="center"/>
                </w:tcPr>
                <w:p w14:paraId="56DE4661">
                  <w:pPr>
                    <w:pStyle w:val="15"/>
                    <w:bidi w:val="0"/>
                    <w:rPr>
                      <w:rFonts w:hint="eastAsia"/>
                      <w:color w:val="auto"/>
                      <w:sz w:val="18"/>
                      <w:szCs w:val="18"/>
                    </w:rPr>
                  </w:pPr>
                  <w:r>
                    <w:rPr>
                      <w:rFonts w:hint="eastAsia"/>
                      <w:color w:val="auto"/>
                      <w:sz w:val="18"/>
                      <w:szCs w:val="18"/>
                      <w:lang w:val="en-US" w:eastAsia="zh-CN"/>
                    </w:rPr>
                    <w:t>2.66</w:t>
                  </w:r>
                </w:p>
              </w:tc>
              <w:tc>
                <w:tcPr>
                  <w:tcW w:w="287" w:type="pct"/>
                  <w:tcBorders>
                    <w:tl2br w:val="nil"/>
                    <w:tr2bl w:val="nil"/>
                  </w:tcBorders>
                  <w:shd w:val="clear" w:color="auto" w:fill="auto"/>
                  <w:tcMar>
                    <w:top w:w="0" w:type="dxa"/>
                    <w:left w:w="0" w:type="dxa"/>
                    <w:bottom w:w="0" w:type="dxa"/>
                    <w:right w:w="0" w:type="dxa"/>
                  </w:tcMar>
                  <w:vAlign w:val="center"/>
                </w:tcPr>
                <w:p w14:paraId="4155E717">
                  <w:pPr>
                    <w:pStyle w:val="15"/>
                    <w:bidi w:val="0"/>
                    <w:rPr>
                      <w:rFonts w:hint="eastAsia"/>
                      <w:color w:val="auto"/>
                      <w:sz w:val="18"/>
                      <w:szCs w:val="18"/>
                    </w:rPr>
                  </w:pPr>
                  <w:r>
                    <w:rPr>
                      <w:rFonts w:hint="eastAsia"/>
                      <w:color w:val="auto"/>
                      <w:sz w:val="18"/>
                      <w:szCs w:val="18"/>
                      <w:lang w:val="en-US" w:eastAsia="zh-CN"/>
                    </w:rPr>
                    <w:t>166%</w:t>
                  </w:r>
                </w:p>
              </w:tc>
              <w:tc>
                <w:tcPr>
                  <w:tcW w:w="367" w:type="pct"/>
                  <w:tcBorders>
                    <w:tl2br w:val="nil"/>
                    <w:tr2bl w:val="nil"/>
                  </w:tcBorders>
                  <w:shd w:val="clear" w:color="auto" w:fill="auto"/>
                  <w:tcMar>
                    <w:top w:w="0" w:type="dxa"/>
                    <w:left w:w="0" w:type="dxa"/>
                    <w:bottom w:w="0" w:type="dxa"/>
                    <w:right w:w="0" w:type="dxa"/>
                  </w:tcMar>
                  <w:vAlign w:val="center"/>
                </w:tcPr>
                <w:p w14:paraId="19510900">
                  <w:pPr>
                    <w:pStyle w:val="15"/>
                    <w:bidi w:val="0"/>
                    <w:rPr>
                      <w:rFonts w:hint="eastAsia"/>
                      <w:color w:val="auto"/>
                      <w:sz w:val="18"/>
                      <w:szCs w:val="18"/>
                    </w:rPr>
                  </w:pPr>
                  <w:r>
                    <w:rPr>
                      <w:rFonts w:hint="eastAsia"/>
                      <w:color w:val="auto"/>
                      <w:sz w:val="18"/>
                      <w:szCs w:val="18"/>
                      <w:lang w:val="en-US" w:eastAsia="zh-CN"/>
                    </w:rPr>
                    <w:t>不达标</w:t>
                  </w:r>
                </w:p>
              </w:tc>
              <w:tc>
                <w:tcPr>
                  <w:tcW w:w="394" w:type="pct"/>
                  <w:tcBorders>
                    <w:tl2br w:val="nil"/>
                    <w:tr2bl w:val="nil"/>
                  </w:tcBorders>
                  <w:shd w:val="clear" w:color="auto" w:fill="auto"/>
                  <w:tcMar>
                    <w:top w:w="0" w:type="dxa"/>
                    <w:left w:w="0" w:type="dxa"/>
                    <w:bottom w:w="0" w:type="dxa"/>
                    <w:right w:w="0" w:type="dxa"/>
                  </w:tcMar>
                  <w:vAlign w:val="center"/>
                </w:tcPr>
                <w:p w14:paraId="2610A27F">
                  <w:pPr>
                    <w:pStyle w:val="15"/>
                    <w:bidi w:val="0"/>
                    <w:rPr>
                      <w:rFonts w:hint="eastAsia"/>
                      <w:color w:val="auto"/>
                      <w:sz w:val="18"/>
                      <w:szCs w:val="18"/>
                    </w:rPr>
                  </w:pPr>
                  <w:r>
                    <w:rPr>
                      <w:rFonts w:hint="eastAsia"/>
                      <w:color w:val="auto"/>
                      <w:sz w:val="18"/>
                      <w:szCs w:val="18"/>
                      <w:lang w:val="en-US" w:eastAsia="zh-CN"/>
                    </w:rPr>
                    <w:t>-</w:t>
                  </w:r>
                </w:p>
              </w:tc>
            </w:tr>
            <w:tr w14:paraId="6CEDA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AA81D6C">
                  <w:pPr>
                    <w:pStyle w:val="15"/>
                    <w:bidi w:val="0"/>
                    <w:rPr>
                      <w:rFonts w:hint="eastAsia"/>
                      <w:color w:val="auto"/>
                      <w:sz w:val="18"/>
                      <w:szCs w:val="18"/>
                    </w:rPr>
                  </w:pPr>
                  <w:r>
                    <w:rPr>
                      <w:rFonts w:hint="eastAsia"/>
                      <w:color w:val="auto"/>
                      <w:sz w:val="18"/>
                      <w:szCs w:val="18"/>
                      <w:lang w:val="en-US" w:eastAsia="zh-CN"/>
                    </w:rPr>
                    <w:t>6</w:t>
                  </w:r>
                </w:p>
              </w:tc>
              <w:tc>
                <w:tcPr>
                  <w:tcW w:w="828" w:type="pct"/>
                  <w:tcBorders>
                    <w:tl2br w:val="nil"/>
                    <w:tr2bl w:val="nil"/>
                  </w:tcBorders>
                  <w:shd w:val="clear" w:color="auto" w:fill="auto"/>
                  <w:tcMar>
                    <w:top w:w="0" w:type="dxa"/>
                    <w:left w:w="0" w:type="dxa"/>
                    <w:bottom w:w="0" w:type="dxa"/>
                    <w:right w:w="0" w:type="dxa"/>
                  </w:tcMar>
                  <w:vAlign w:val="center"/>
                </w:tcPr>
                <w:p w14:paraId="432741CB">
                  <w:pPr>
                    <w:pStyle w:val="15"/>
                    <w:bidi w:val="0"/>
                    <w:rPr>
                      <w:rFonts w:hint="eastAsia"/>
                      <w:color w:val="auto"/>
                      <w:sz w:val="18"/>
                      <w:szCs w:val="18"/>
                    </w:rPr>
                  </w:pPr>
                  <w:r>
                    <w:rPr>
                      <w:rFonts w:hint="eastAsia"/>
                      <w:color w:val="auto"/>
                      <w:sz w:val="18"/>
                      <w:szCs w:val="18"/>
                      <w:lang w:val="en-US" w:eastAsia="zh-CN"/>
                    </w:rPr>
                    <w:t>耗氧量</w:t>
                  </w:r>
                </w:p>
              </w:tc>
              <w:tc>
                <w:tcPr>
                  <w:tcW w:w="633" w:type="pct"/>
                  <w:tcBorders>
                    <w:tl2br w:val="nil"/>
                    <w:tr2bl w:val="nil"/>
                  </w:tcBorders>
                  <w:shd w:val="clear" w:color="auto" w:fill="auto"/>
                  <w:tcMar>
                    <w:top w:w="0" w:type="dxa"/>
                    <w:left w:w="0" w:type="dxa"/>
                    <w:bottom w:w="0" w:type="dxa"/>
                    <w:right w:w="0" w:type="dxa"/>
                  </w:tcMar>
                  <w:vAlign w:val="center"/>
                </w:tcPr>
                <w:p w14:paraId="756706FF">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20B0ADA4">
                  <w:pPr>
                    <w:pStyle w:val="15"/>
                    <w:bidi w:val="0"/>
                    <w:rPr>
                      <w:rFonts w:hint="eastAsia"/>
                      <w:color w:val="auto"/>
                      <w:sz w:val="18"/>
                      <w:szCs w:val="18"/>
                    </w:rPr>
                  </w:pPr>
                  <w:r>
                    <w:rPr>
                      <w:rFonts w:hint="eastAsia"/>
                      <w:color w:val="auto"/>
                      <w:sz w:val="18"/>
                      <w:szCs w:val="18"/>
                      <w:lang w:val="en-US" w:eastAsia="zh-CN"/>
                    </w:rPr>
                    <w:t>3</w:t>
                  </w:r>
                </w:p>
              </w:tc>
              <w:tc>
                <w:tcPr>
                  <w:tcW w:w="367" w:type="pct"/>
                  <w:tcBorders>
                    <w:tl2br w:val="nil"/>
                    <w:tr2bl w:val="nil"/>
                  </w:tcBorders>
                  <w:shd w:val="clear" w:color="auto" w:fill="auto"/>
                  <w:tcMar>
                    <w:top w:w="0" w:type="dxa"/>
                    <w:left w:w="0" w:type="dxa"/>
                    <w:bottom w:w="0" w:type="dxa"/>
                    <w:right w:w="0" w:type="dxa"/>
                  </w:tcMar>
                  <w:vAlign w:val="center"/>
                </w:tcPr>
                <w:p w14:paraId="2DE2D9EA">
                  <w:pPr>
                    <w:pStyle w:val="15"/>
                    <w:bidi w:val="0"/>
                    <w:rPr>
                      <w:rFonts w:hint="eastAsia"/>
                      <w:color w:val="auto"/>
                      <w:sz w:val="18"/>
                      <w:szCs w:val="18"/>
                    </w:rPr>
                  </w:pPr>
                  <w:r>
                    <w:rPr>
                      <w:rFonts w:hint="eastAsia"/>
                      <w:color w:val="auto"/>
                      <w:sz w:val="18"/>
                      <w:szCs w:val="18"/>
                      <w:lang w:val="en-US" w:eastAsia="zh-CN"/>
                    </w:rPr>
                    <w:t>0.9</w:t>
                  </w:r>
                </w:p>
              </w:tc>
              <w:tc>
                <w:tcPr>
                  <w:tcW w:w="247" w:type="pct"/>
                  <w:tcBorders>
                    <w:tl2br w:val="nil"/>
                    <w:tr2bl w:val="nil"/>
                  </w:tcBorders>
                  <w:shd w:val="clear" w:color="auto" w:fill="auto"/>
                  <w:tcMar>
                    <w:top w:w="0" w:type="dxa"/>
                    <w:left w:w="0" w:type="dxa"/>
                    <w:bottom w:w="0" w:type="dxa"/>
                    <w:right w:w="0" w:type="dxa"/>
                  </w:tcMar>
                  <w:vAlign w:val="center"/>
                </w:tcPr>
                <w:p w14:paraId="34E776EB">
                  <w:pPr>
                    <w:pStyle w:val="15"/>
                    <w:bidi w:val="0"/>
                    <w:rPr>
                      <w:rFonts w:hint="eastAsia"/>
                      <w:color w:val="auto"/>
                      <w:sz w:val="18"/>
                      <w:szCs w:val="18"/>
                    </w:rPr>
                  </w:pPr>
                  <w:r>
                    <w:rPr>
                      <w:rFonts w:hint="eastAsia"/>
                      <w:color w:val="auto"/>
                      <w:sz w:val="18"/>
                      <w:szCs w:val="18"/>
                      <w:lang w:val="en-US" w:eastAsia="zh-CN"/>
                    </w:rPr>
                    <w:t>0.30</w:t>
                  </w:r>
                </w:p>
              </w:tc>
              <w:tc>
                <w:tcPr>
                  <w:tcW w:w="287" w:type="pct"/>
                  <w:tcBorders>
                    <w:tl2br w:val="nil"/>
                    <w:tr2bl w:val="nil"/>
                  </w:tcBorders>
                  <w:shd w:val="clear" w:color="auto" w:fill="auto"/>
                  <w:tcMar>
                    <w:top w:w="0" w:type="dxa"/>
                    <w:left w:w="0" w:type="dxa"/>
                    <w:bottom w:w="0" w:type="dxa"/>
                    <w:right w:w="0" w:type="dxa"/>
                  </w:tcMar>
                  <w:vAlign w:val="center"/>
                </w:tcPr>
                <w:p w14:paraId="45871481">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229F4485">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16770326">
                  <w:pPr>
                    <w:pStyle w:val="15"/>
                    <w:bidi w:val="0"/>
                    <w:rPr>
                      <w:rFonts w:hint="eastAsia"/>
                      <w:color w:val="auto"/>
                      <w:sz w:val="18"/>
                      <w:szCs w:val="18"/>
                    </w:rPr>
                  </w:pPr>
                  <w:r>
                    <w:rPr>
                      <w:rFonts w:hint="eastAsia"/>
                      <w:color w:val="auto"/>
                      <w:sz w:val="18"/>
                      <w:szCs w:val="18"/>
                      <w:lang w:val="en-US" w:eastAsia="zh-CN"/>
                    </w:rPr>
                    <w:t>1</w:t>
                  </w:r>
                </w:p>
              </w:tc>
              <w:tc>
                <w:tcPr>
                  <w:tcW w:w="247" w:type="pct"/>
                  <w:tcBorders>
                    <w:tl2br w:val="nil"/>
                    <w:tr2bl w:val="nil"/>
                  </w:tcBorders>
                  <w:shd w:val="clear" w:color="auto" w:fill="auto"/>
                  <w:tcMar>
                    <w:top w:w="0" w:type="dxa"/>
                    <w:left w:w="0" w:type="dxa"/>
                    <w:bottom w:w="0" w:type="dxa"/>
                    <w:right w:w="0" w:type="dxa"/>
                  </w:tcMar>
                  <w:vAlign w:val="center"/>
                </w:tcPr>
                <w:p w14:paraId="5DED8778">
                  <w:pPr>
                    <w:pStyle w:val="15"/>
                    <w:bidi w:val="0"/>
                    <w:rPr>
                      <w:rFonts w:hint="eastAsia"/>
                      <w:color w:val="auto"/>
                      <w:sz w:val="18"/>
                      <w:szCs w:val="18"/>
                    </w:rPr>
                  </w:pPr>
                  <w:r>
                    <w:rPr>
                      <w:rFonts w:hint="eastAsia"/>
                      <w:color w:val="auto"/>
                      <w:sz w:val="18"/>
                      <w:szCs w:val="18"/>
                      <w:lang w:val="en-US" w:eastAsia="zh-CN"/>
                    </w:rPr>
                    <w:t>0.33</w:t>
                  </w:r>
                </w:p>
              </w:tc>
              <w:tc>
                <w:tcPr>
                  <w:tcW w:w="287" w:type="pct"/>
                  <w:tcBorders>
                    <w:tl2br w:val="nil"/>
                    <w:tr2bl w:val="nil"/>
                  </w:tcBorders>
                  <w:shd w:val="clear" w:color="auto" w:fill="auto"/>
                  <w:tcMar>
                    <w:top w:w="0" w:type="dxa"/>
                    <w:left w:w="0" w:type="dxa"/>
                    <w:bottom w:w="0" w:type="dxa"/>
                    <w:right w:w="0" w:type="dxa"/>
                  </w:tcMar>
                  <w:vAlign w:val="center"/>
                </w:tcPr>
                <w:p w14:paraId="65C3D33E">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611BC18E">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78E16501">
                  <w:pPr>
                    <w:pStyle w:val="15"/>
                    <w:bidi w:val="0"/>
                    <w:rPr>
                      <w:rFonts w:hint="eastAsia"/>
                      <w:color w:val="auto"/>
                      <w:sz w:val="18"/>
                      <w:szCs w:val="18"/>
                    </w:rPr>
                  </w:pPr>
                  <w:r>
                    <w:rPr>
                      <w:rFonts w:hint="eastAsia"/>
                      <w:color w:val="auto"/>
                      <w:sz w:val="18"/>
                      <w:szCs w:val="18"/>
                      <w:lang w:val="en-US" w:eastAsia="zh-CN"/>
                    </w:rPr>
                    <w:t>0.5</w:t>
                  </w:r>
                </w:p>
              </w:tc>
            </w:tr>
            <w:tr w14:paraId="708199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FACD6B9">
                  <w:pPr>
                    <w:pStyle w:val="15"/>
                    <w:bidi w:val="0"/>
                    <w:rPr>
                      <w:rFonts w:hint="eastAsia"/>
                      <w:color w:val="auto"/>
                      <w:sz w:val="18"/>
                      <w:szCs w:val="18"/>
                    </w:rPr>
                  </w:pPr>
                  <w:r>
                    <w:rPr>
                      <w:rFonts w:hint="eastAsia"/>
                      <w:color w:val="auto"/>
                      <w:sz w:val="18"/>
                      <w:szCs w:val="18"/>
                      <w:lang w:val="en-US" w:eastAsia="zh-CN"/>
                    </w:rPr>
                    <w:t>7</w:t>
                  </w:r>
                </w:p>
              </w:tc>
              <w:tc>
                <w:tcPr>
                  <w:tcW w:w="828" w:type="pct"/>
                  <w:tcBorders>
                    <w:tl2br w:val="nil"/>
                    <w:tr2bl w:val="nil"/>
                  </w:tcBorders>
                  <w:shd w:val="clear" w:color="auto" w:fill="auto"/>
                  <w:tcMar>
                    <w:top w:w="0" w:type="dxa"/>
                    <w:left w:w="0" w:type="dxa"/>
                    <w:bottom w:w="0" w:type="dxa"/>
                    <w:right w:w="0" w:type="dxa"/>
                  </w:tcMar>
                  <w:vAlign w:val="center"/>
                </w:tcPr>
                <w:p w14:paraId="6FE695B0">
                  <w:pPr>
                    <w:pStyle w:val="15"/>
                    <w:bidi w:val="0"/>
                    <w:rPr>
                      <w:rFonts w:hint="eastAsia"/>
                      <w:color w:val="auto"/>
                      <w:sz w:val="18"/>
                      <w:szCs w:val="18"/>
                    </w:rPr>
                  </w:pPr>
                  <w:r>
                    <w:rPr>
                      <w:rFonts w:hint="eastAsia"/>
                      <w:color w:val="auto"/>
                      <w:sz w:val="18"/>
                      <w:szCs w:val="18"/>
                      <w:lang w:val="en-US" w:eastAsia="zh-CN"/>
                    </w:rPr>
                    <w:t>氯化物</w:t>
                  </w:r>
                </w:p>
              </w:tc>
              <w:tc>
                <w:tcPr>
                  <w:tcW w:w="633" w:type="pct"/>
                  <w:tcBorders>
                    <w:tl2br w:val="nil"/>
                    <w:tr2bl w:val="nil"/>
                  </w:tcBorders>
                  <w:shd w:val="clear" w:color="auto" w:fill="auto"/>
                  <w:tcMar>
                    <w:top w:w="0" w:type="dxa"/>
                    <w:left w:w="0" w:type="dxa"/>
                    <w:bottom w:w="0" w:type="dxa"/>
                    <w:right w:w="0" w:type="dxa"/>
                  </w:tcMar>
                  <w:vAlign w:val="center"/>
                </w:tcPr>
                <w:p w14:paraId="2788EAE7">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196235D4">
                  <w:pPr>
                    <w:pStyle w:val="15"/>
                    <w:bidi w:val="0"/>
                    <w:rPr>
                      <w:rFonts w:hint="eastAsia"/>
                      <w:color w:val="auto"/>
                      <w:sz w:val="18"/>
                      <w:szCs w:val="18"/>
                    </w:rPr>
                  </w:pPr>
                  <w:r>
                    <w:rPr>
                      <w:rFonts w:hint="eastAsia"/>
                      <w:color w:val="auto"/>
                      <w:sz w:val="18"/>
                      <w:szCs w:val="18"/>
                      <w:lang w:val="en-US" w:eastAsia="zh-CN"/>
                    </w:rPr>
                    <w:t>250</w:t>
                  </w:r>
                </w:p>
              </w:tc>
              <w:tc>
                <w:tcPr>
                  <w:tcW w:w="367" w:type="pct"/>
                  <w:tcBorders>
                    <w:tl2br w:val="nil"/>
                    <w:tr2bl w:val="nil"/>
                  </w:tcBorders>
                  <w:shd w:val="clear" w:color="auto" w:fill="auto"/>
                  <w:tcMar>
                    <w:top w:w="0" w:type="dxa"/>
                    <w:left w:w="0" w:type="dxa"/>
                    <w:bottom w:w="0" w:type="dxa"/>
                    <w:right w:w="0" w:type="dxa"/>
                  </w:tcMar>
                  <w:vAlign w:val="center"/>
                </w:tcPr>
                <w:p w14:paraId="24D00761">
                  <w:pPr>
                    <w:pStyle w:val="15"/>
                    <w:bidi w:val="0"/>
                    <w:rPr>
                      <w:rFonts w:hint="eastAsia"/>
                      <w:color w:val="auto"/>
                      <w:sz w:val="18"/>
                      <w:szCs w:val="18"/>
                    </w:rPr>
                  </w:pPr>
                  <w:r>
                    <w:rPr>
                      <w:rFonts w:hint="eastAsia"/>
                      <w:color w:val="auto"/>
                      <w:sz w:val="18"/>
                      <w:szCs w:val="18"/>
                      <w:lang w:val="en-US" w:eastAsia="zh-CN"/>
                    </w:rPr>
                    <w:t>1150</w:t>
                  </w:r>
                </w:p>
              </w:tc>
              <w:tc>
                <w:tcPr>
                  <w:tcW w:w="247" w:type="pct"/>
                  <w:tcBorders>
                    <w:tl2br w:val="nil"/>
                    <w:tr2bl w:val="nil"/>
                  </w:tcBorders>
                  <w:shd w:val="clear" w:color="auto" w:fill="auto"/>
                  <w:tcMar>
                    <w:top w:w="0" w:type="dxa"/>
                    <w:left w:w="0" w:type="dxa"/>
                    <w:bottom w:w="0" w:type="dxa"/>
                    <w:right w:w="0" w:type="dxa"/>
                  </w:tcMar>
                  <w:vAlign w:val="center"/>
                </w:tcPr>
                <w:p w14:paraId="53436810">
                  <w:pPr>
                    <w:pStyle w:val="15"/>
                    <w:bidi w:val="0"/>
                    <w:rPr>
                      <w:rFonts w:hint="eastAsia"/>
                      <w:color w:val="auto"/>
                      <w:sz w:val="18"/>
                      <w:szCs w:val="18"/>
                    </w:rPr>
                  </w:pPr>
                  <w:r>
                    <w:rPr>
                      <w:rFonts w:hint="eastAsia"/>
                      <w:color w:val="auto"/>
                      <w:sz w:val="18"/>
                      <w:szCs w:val="18"/>
                      <w:lang w:val="en-US" w:eastAsia="zh-CN"/>
                    </w:rPr>
                    <w:t>4.60</w:t>
                  </w:r>
                </w:p>
              </w:tc>
              <w:tc>
                <w:tcPr>
                  <w:tcW w:w="287" w:type="pct"/>
                  <w:tcBorders>
                    <w:tl2br w:val="nil"/>
                    <w:tr2bl w:val="nil"/>
                  </w:tcBorders>
                  <w:shd w:val="clear" w:color="auto" w:fill="auto"/>
                  <w:tcMar>
                    <w:top w:w="0" w:type="dxa"/>
                    <w:left w:w="0" w:type="dxa"/>
                    <w:bottom w:w="0" w:type="dxa"/>
                    <w:right w:w="0" w:type="dxa"/>
                  </w:tcMar>
                  <w:vAlign w:val="center"/>
                </w:tcPr>
                <w:p w14:paraId="30705AB4">
                  <w:pPr>
                    <w:pStyle w:val="15"/>
                    <w:bidi w:val="0"/>
                    <w:rPr>
                      <w:rFonts w:hint="eastAsia"/>
                      <w:color w:val="auto"/>
                      <w:sz w:val="18"/>
                      <w:szCs w:val="18"/>
                    </w:rPr>
                  </w:pPr>
                  <w:r>
                    <w:rPr>
                      <w:rFonts w:hint="eastAsia"/>
                      <w:color w:val="auto"/>
                      <w:sz w:val="18"/>
                      <w:szCs w:val="18"/>
                      <w:lang w:val="en-US" w:eastAsia="zh-CN"/>
                    </w:rPr>
                    <w:t>360%</w:t>
                  </w:r>
                </w:p>
              </w:tc>
              <w:tc>
                <w:tcPr>
                  <w:tcW w:w="367" w:type="pct"/>
                  <w:tcBorders>
                    <w:tl2br w:val="nil"/>
                    <w:tr2bl w:val="nil"/>
                  </w:tcBorders>
                  <w:shd w:val="clear" w:color="auto" w:fill="auto"/>
                  <w:tcMar>
                    <w:top w:w="0" w:type="dxa"/>
                    <w:left w:w="0" w:type="dxa"/>
                    <w:bottom w:w="0" w:type="dxa"/>
                    <w:right w:w="0" w:type="dxa"/>
                  </w:tcMar>
                  <w:vAlign w:val="center"/>
                </w:tcPr>
                <w:p w14:paraId="67956F87">
                  <w:pPr>
                    <w:pStyle w:val="15"/>
                    <w:bidi w:val="0"/>
                    <w:rPr>
                      <w:rFonts w:hint="eastAsia"/>
                      <w:color w:val="auto"/>
                      <w:sz w:val="18"/>
                      <w:szCs w:val="18"/>
                    </w:rPr>
                  </w:pPr>
                  <w:r>
                    <w:rPr>
                      <w:rFonts w:hint="eastAsia"/>
                      <w:color w:val="auto"/>
                      <w:sz w:val="18"/>
                      <w:szCs w:val="18"/>
                      <w:lang w:val="en-US" w:eastAsia="zh-CN"/>
                    </w:rPr>
                    <w:t>不达标</w:t>
                  </w:r>
                </w:p>
              </w:tc>
              <w:tc>
                <w:tcPr>
                  <w:tcW w:w="367" w:type="pct"/>
                  <w:tcBorders>
                    <w:tl2br w:val="nil"/>
                    <w:tr2bl w:val="nil"/>
                  </w:tcBorders>
                  <w:shd w:val="clear" w:color="auto" w:fill="auto"/>
                  <w:tcMar>
                    <w:top w:w="0" w:type="dxa"/>
                    <w:left w:w="0" w:type="dxa"/>
                    <w:bottom w:w="0" w:type="dxa"/>
                    <w:right w:w="0" w:type="dxa"/>
                  </w:tcMar>
                  <w:vAlign w:val="center"/>
                </w:tcPr>
                <w:p w14:paraId="7531879A">
                  <w:pPr>
                    <w:pStyle w:val="15"/>
                    <w:bidi w:val="0"/>
                    <w:rPr>
                      <w:rFonts w:hint="eastAsia"/>
                      <w:color w:val="auto"/>
                      <w:sz w:val="18"/>
                      <w:szCs w:val="18"/>
                    </w:rPr>
                  </w:pPr>
                  <w:r>
                    <w:rPr>
                      <w:rFonts w:hint="eastAsia"/>
                      <w:color w:val="auto"/>
                      <w:sz w:val="18"/>
                      <w:szCs w:val="18"/>
                      <w:lang w:val="en-US" w:eastAsia="zh-CN"/>
                    </w:rPr>
                    <w:t>830</w:t>
                  </w:r>
                </w:p>
              </w:tc>
              <w:tc>
                <w:tcPr>
                  <w:tcW w:w="247" w:type="pct"/>
                  <w:tcBorders>
                    <w:tl2br w:val="nil"/>
                    <w:tr2bl w:val="nil"/>
                  </w:tcBorders>
                  <w:shd w:val="clear" w:color="auto" w:fill="auto"/>
                  <w:tcMar>
                    <w:top w:w="0" w:type="dxa"/>
                    <w:left w:w="0" w:type="dxa"/>
                    <w:bottom w:w="0" w:type="dxa"/>
                    <w:right w:w="0" w:type="dxa"/>
                  </w:tcMar>
                  <w:vAlign w:val="center"/>
                </w:tcPr>
                <w:p w14:paraId="32CDBF37">
                  <w:pPr>
                    <w:pStyle w:val="15"/>
                    <w:bidi w:val="0"/>
                    <w:rPr>
                      <w:rFonts w:hint="eastAsia"/>
                      <w:color w:val="auto"/>
                      <w:sz w:val="18"/>
                      <w:szCs w:val="18"/>
                    </w:rPr>
                  </w:pPr>
                  <w:r>
                    <w:rPr>
                      <w:rFonts w:hint="eastAsia"/>
                      <w:color w:val="auto"/>
                      <w:sz w:val="18"/>
                      <w:szCs w:val="18"/>
                      <w:lang w:val="en-US" w:eastAsia="zh-CN"/>
                    </w:rPr>
                    <w:t>3.32</w:t>
                  </w:r>
                </w:p>
              </w:tc>
              <w:tc>
                <w:tcPr>
                  <w:tcW w:w="287" w:type="pct"/>
                  <w:tcBorders>
                    <w:tl2br w:val="nil"/>
                    <w:tr2bl w:val="nil"/>
                  </w:tcBorders>
                  <w:shd w:val="clear" w:color="auto" w:fill="auto"/>
                  <w:tcMar>
                    <w:top w:w="0" w:type="dxa"/>
                    <w:left w:w="0" w:type="dxa"/>
                    <w:bottom w:w="0" w:type="dxa"/>
                    <w:right w:w="0" w:type="dxa"/>
                  </w:tcMar>
                  <w:vAlign w:val="center"/>
                </w:tcPr>
                <w:p w14:paraId="2A3BDF6A">
                  <w:pPr>
                    <w:pStyle w:val="15"/>
                    <w:bidi w:val="0"/>
                    <w:rPr>
                      <w:rFonts w:hint="eastAsia"/>
                      <w:color w:val="auto"/>
                      <w:sz w:val="18"/>
                      <w:szCs w:val="18"/>
                    </w:rPr>
                  </w:pPr>
                  <w:r>
                    <w:rPr>
                      <w:rFonts w:hint="eastAsia"/>
                      <w:color w:val="auto"/>
                      <w:sz w:val="18"/>
                      <w:szCs w:val="18"/>
                      <w:lang w:val="en-US" w:eastAsia="zh-CN"/>
                    </w:rPr>
                    <w:t>232%</w:t>
                  </w:r>
                </w:p>
              </w:tc>
              <w:tc>
                <w:tcPr>
                  <w:tcW w:w="367" w:type="pct"/>
                  <w:tcBorders>
                    <w:tl2br w:val="nil"/>
                    <w:tr2bl w:val="nil"/>
                  </w:tcBorders>
                  <w:shd w:val="clear" w:color="auto" w:fill="auto"/>
                  <w:tcMar>
                    <w:top w:w="0" w:type="dxa"/>
                    <w:left w:w="0" w:type="dxa"/>
                    <w:bottom w:w="0" w:type="dxa"/>
                    <w:right w:w="0" w:type="dxa"/>
                  </w:tcMar>
                  <w:vAlign w:val="center"/>
                </w:tcPr>
                <w:p w14:paraId="74EB52CE">
                  <w:pPr>
                    <w:pStyle w:val="15"/>
                    <w:bidi w:val="0"/>
                    <w:rPr>
                      <w:rFonts w:hint="eastAsia"/>
                      <w:color w:val="auto"/>
                      <w:sz w:val="18"/>
                      <w:szCs w:val="18"/>
                    </w:rPr>
                  </w:pPr>
                  <w:r>
                    <w:rPr>
                      <w:rFonts w:hint="eastAsia"/>
                      <w:color w:val="auto"/>
                      <w:sz w:val="18"/>
                      <w:szCs w:val="18"/>
                      <w:lang w:val="en-US" w:eastAsia="zh-CN"/>
                    </w:rPr>
                    <w:t>不达标</w:t>
                  </w:r>
                </w:p>
              </w:tc>
              <w:tc>
                <w:tcPr>
                  <w:tcW w:w="394" w:type="pct"/>
                  <w:tcBorders>
                    <w:tl2br w:val="nil"/>
                    <w:tr2bl w:val="nil"/>
                  </w:tcBorders>
                  <w:shd w:val="clear" w:color="auto" w:fill="auto"/>
                  <w:tcMar>
                    <w:top w:w="0" w:type="dxa"/>
                    <w:left w:w="0" w:type="dxa"/>
                    <w:bottom w:w="0" w:type="dxa"/>
                    <w:right w:w="0" w:type="dxa"/>
                  </w:tcMar>
                  <w:vAlign w:val="center"/>
                </w:tcPr>
                <w:p w14:paraId="1AE46AD8">
                  <w:pPr>
                    <w:pStyle w:val="15"/>
                    <w:bidi w:val="0"/>
                    <w:rPr>
                      <w:rFonts w:hint="eastAsia"/>
                      <w:color w:val="auto"/>
                      <w:sz w:val="18"/>
                      <w:szCs w:val="18"/>
                    </w:rPr>
                  </w:pPr>
                  <w:r>
                    <w:rPr>
                      <w:rFonts w:hint="eastAsia"/>
                      <w:color w:val="auto"/>
                      <w:sz w:val="18"/>
                      <w:szCs w:val="18"/>
                      <w:lang w:val="en-US" w:eastAsia="zh-CN"/>
                    </w:rPr>
                    <w:t>10</w:t>
                  </w:r>
                </w:p>
              </w:tc>
            </w:tr>
            <w:tr w14:paraId="29E689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6431F87">
                  <w:pPr>
                    <w:pStyle w:val="15"/>
                    <w:bidi w:val="0"/>
                    <w:rPr>
                      <w:rFonts w:hint="eastAsia"/>
                      <w:color w:val="auto"/>
                      <w:sz w:val="18"/>
                      <w:szCs w:val="18"/>
                    </w:rPr>
                  </w:pPr>
                  <w:r>
                    <w:rPr>
                      <w:rFonts w:hint="eastAsia"/>
                      <w:color w:val="auto"/>
                      <w:sz w:val="18"/>
                      <w:szCs w:val="18"/>
                      <w:lang w:val="en-US" w:eastAsia="zh-CN"/>
                    </w:rPr>
                    <w:t>8</w:t>
                  </w:r>
                </w:p>
              </w:tc>
              <w:tc>
                <w:tcPr>
                  <w:tcW w:w="828" w:type="pct"/>
                  <w:tcBorders>
                    <w:tl2br w:val="nil"/>
                    <w:tr2bl w:val="nil"/>
                  </w:tcBorders>
                  <w:shd w:val="clear" w:color="auto" w:fill="auto"/>
                  <w:tcMar>
                    <w:top w:w="0" w:type="dxa"/>
                    <w:left w:w="0" w:type="dxa"/>
                    <w:bottom w:w="0" w:type="dxa"/>
                    <w:right w:w="0" w:type="dxa"/>
                  </w:tcMar>
                  <w:vAlign w:val="center"/>
                </w:tcPr>
                <w:p w14:paraId="39A25E2B">
                  <w:pPr>
                    <w:pStyle w:val="15"/>
                    <w:bidi w:val="0"/>
                    <w:rPr>
                      <w:rFonts w:hint="eastAsia"/>
                      <w:color w:val="auto"/>
                      <w:sz w:val="18"/>
                      <w:szCs w:val="18"/>
                    </w:rPr>
                  </w:pPr>
                  <w:r>
                    <w:rPr>
                      <w:rFonts w:hint="eastAsia"/>
                      <w:color w:val="auto"/>
                      <w:sz w:val="18"/>
                      <w:szCs w:val="18"/>
                      <w:lang w:val="en-US" w:eastAsia="zh-CN"/>
                    </w:rPr>
                    <w:t>总大肠菌群</w:t>
                  </w:r>
                </w:p>
              </w:tc>
              <w:tc>
                <w:tcPr>
                  <w:tcW w:w="633" w:type="pct"/>
                  <w:tcBorders>
                    <w:tl2br w:val="nil"/>
                    <w:tr2bl w:val="nil"/>
                  </w:tcBorders>
                  <w:shd w:val="clear" w:color="auto" w:fill="auto"/>
                  <w:tcMar>
                    <w:top w:w="0" w:type="dxa"/>
                    <w:left w:w="0" w:type="dxa"/>
                    <w:bottom w:w="0" w:type="dxa"/>
                    <w:right w:w="0" w:type="dxa"/>
                  </w:tcMar>
                  <w:vAlign w:val="center"/>
                </w:tcPr>
                <w:p w14:paraId="489AD515">
                  <w:pPr>
                    <w:pStyle w:val="15"/>
                    <w:bidi w:val="0"/>
                    <w:rPr>
                      <w:rFonts w:hint="eastAsia"/>
                      <w:color w:val="auto"/>
                      <w:sz w:val="18"/>
                      <w:szCs w:val="18"/>
                    </w:rPr>
                  </w:pPr>
                  <w:r>
                    <w:rPr>
                      <w:rFonts w:hint="eastAsia"/>
                      <w:color w:val="auto"/>
                      <w:sz w:val="18"/>
                      <w:szCs w:val="18"/>
                      <w:lang w:val="en-US" w:eastAsia="zh-CN"/>
                    </w:rPr>
                    <w:t>MPN/100mL</w:t>
                  </w:r>
                </w:p>
              </w:tc>
              <w:tc>
                <w:tcPr>
                  <w:tcW w:w="358" w:type="pct"/>
                  <w:tcBorders>
                    <w:tl2br w:val="nil"/>
                    <w:tr2bl w:val="nil"/>
                  </w:tcBorders>
                  <w:shd w:val="clear" w:color="auto" w:fill="auto"/>
                  <w:tcMar>
                    <w:top w:w="0" w:type="dxa"/>
                    <w:left w:w="0" w:type="dxa"/>
                    <w:bottom w:w="0" w:type="dxa"/>
                    <w:right w:w="0" w:type="dxa"/>
                  </w:tcMar>
                  <w:vAlign w:val="center"/>
                </w:tcPr>
                <w:p w14:paraId="68D792DE">
                  <w:pPr>
                    <w:pStyle w:val="15"/>
                    <w:bidi w:val="0"/>
                    <w:rPr>
                      <w:rFonts w:hint="eastAsia"/>
                      <w:color w:val="auto"/>
                      <w:sz w:val="18"/>
                      <w:szCs w:val="18"/>
                    </w:rPr>
                  </w:pPr>
                  <w:r>
                    <w:rPr>
                      <w:rFonts w:hint="eastAsia"/>
                      <w:color w:val="auto"/>
                      <w:sz w:val="18"/>
                      <w:szCs w:val="18"/>
                      <w:lang w:val="en-US" w:eastAsia="zh-CN"/>
                    </w:rPr>
                    <w:t>3</w:t>
                  </w:r>
                </w:p>
              </w:tc>
              <w:tc>
                <w:tcPr>
                  <w:tcW w:w="367" w:type="pct"/>
                  <w:tcBorders>
                    <w:tl2br w:val="nil"/>
                    <w:tr2bl w:val="nil"/>
                  </w:tcBorders>
                  <w:shd w:val="clear" w:color="auto" w:fill="auto"/>
                  <w:tcMar>
                    <w:top w:w="0" w:type="dxa"/>
                    <w:left w:w="0" w:type="dxa"/>
                    <w:bottom w:w="0" w:type="dxa"/>
                    <w:right w:w="0" w:type="dxa"/>
                  </w:tcMar>
                  <w:vAlign w:val="center"/>
                </w:tcPr>
                <w:p w14:paraId="163C01F5">
                  <w:pPr>
                    <w:pStyle w:val="15"/>
                    <w:bidi w:val="0"/>
                    <w:rPr>
                      <w:rFonts w:hint="eastAsia"/>
                      <w:color w:val="auto"/>
                      <w:sz w:val="18"/>
                      <w:szCs w:val="18"/>
                    </w:rPr>
                  </w:pPr>
                  <w:r>
                    <w:rPr>
                      <w:rFonts w:hint="eastAsia"/>
                      <w:color w:val="auto"/>
                      <w:sz w:val="18"/>
                      <w:szCs w:val="18"/>
                      <w:lang w:val="en-US" w:eastAsia="zh-CN"/>
                    </w:rPr>
                    <w:t>未检出</w:t>
                  </w:r>
                </w:p>
              </w:tc>
              <w:tc>
                <w:tcPr>
                  <w:tcW w:w="247" w:type="pct"/>
                  <w:tcBorders>
                    <w:tl2br w:val="nil"/>
                    <w:tr2bl w:val="nil"/>
                  </w:tcBorders>
                  <w:shd w:val="clear" w:color="auto" w:fill="auto"/>
                  <w:tcMar>
                    <w:top w:w="0" w:type="dxa"/>
                    <w:left w:w="0" w:type="dxa"/>
                    <w:bottom w:w="0" w:type="dxa"/>
                    <w:right w:w="0" w:type="dxa"/>
                  </w:tcMar>
                  <w:vAlign w:val="center"/>
                </w:tcPr>
                <w:p w14:paraId="043EE554">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BAF21D5">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32F81D5">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50293994">
                  <w:pPr>
                    <w:pStyle w:val="15"/>
                    <w:bidi w:val="0"/>
                    <w:rPr>
                      <w:rFonts w:hint="eastAsia"/>
                      <w:color w:val="auto"/>
                      <w:sz w:val="18"/>
                      <w:szCs w:val="18"/>
                    </w:rPr>
                  </w:pPr>
                  <w:r>
                    <w:rPr>
                      <w:rFonts w:hint="eastAsia"/>
                      <w:color w:val="auto"/>
                      <w:sz w:val="18"/>
                      <w:szCs w:val="18"/>
                      <w:lang w:val="en-US" w:eastAsia="zh-CN"/>
                    </w:rPr>
                    <w:t>未检出</w:t>
                  </w:r>
                </w:p>
              </w:tc>
              <w:tc>
                <w:tcPr>
                  <w:tcW w:w="247" w:type="pct"/>
                  <w:tcBorders>
                    <w:tl2br w:val="nil"/>
                    <w:tr2bl w:val="nil"/>
                  </w:tcBorders>
                  <w:shd w:val="clear" w:color="auto" w:fill="auto"/>
                  <w:tcMar>
                    <w:top w:w="0" w:type="dxa"/>
                    <w:left w:w="0" w:type="dxa"/>
                    <w:bottom w:w="0" w:type="dxa"/>
                    <w:right w:w="0" w:type="dxa"/>
                  </w:tcMar>
                  <w:vAlign w:val="center"/>
                </w:tcPr>
                <w:p w14:paraId="0C9097A3">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07E0C2BD">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7509958C">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51712C30">
                  <w:pPr>
                    <w:pStyle w:val="15"/>
                    <w:bidi w:val="0"/>
                    <w:rPr>
                      <w:rFonts w:hint="eastAsia"/>
                      <w:color w:val="auto"/>
                      <w:sz w:val="18"/>
                      <w:szCs w:val="18"/>
                    </w:rPr>
                  </w:pPr>
                  <w:r>
                    <w:rPr>
                      <w:rFonts w:hint="eastAsia"/>
                      <w:color w:val="auto"/>
                      <w:sz w:val="18"/>
                      <w:szCs w:val="18"/>
                      <w:lang w:val="en-US" w:eastAsia="zh-CN"/>
                    </w:rPr>
                    <w:t>-</w:t>
                  </w:r>
                </w:p>
              </w:tc>
            </w:tr>
            <w:tr w14:paraId="60680C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0846A717">
                  <w:pPr>
                    <w:pStyle w:val="15"/>
                    <w:bidi w:val="0"/>
                    <w:rPr>
                      <w:rFonts w:hint="eastAsia"/>
                      <w:color w:val="auto"/>
                      <w:sz w:val="18"/>
                      <w:szCs w:val="18"/>
                    </w:rPr>
                  </w:pPr>
                  <w:r>
                    <w:rPr>
                      <w:rFonts w:hint="eastAsia"/>
                      <w:color w:val="auto"/>
                      <w:sz w:val="18"/>
                      <w:szCs w:val="18"/>
                      <w:lang w:val="en-US" w:eastAsia="zh-CN"/>
                    </w:rPr>
                    <w:t>9</w:t>
                  </w:r>
                </w:p>
              </w:tc>
              <w:tc>
                <w:tcPr>
                  <w:tcW w:w="828" w:type="pct"/>
                  <w:tcBorders>
                    <w:tl2br w:val="nil"/>
                    <w:tr2bl w:val="nil"/>
                  </w:tcBorders>
                  <w:shd w:val="clear" w:color="auto" w:fill="auto"/>
                  <w:tcMar>
                    <w:top w:w="0" w:type="dxa"/>
                    <w:left w:w="0" w:type="dxa"/>
                    <w:bottom w:w="0" w:type="dxa"/>
                    <w:right w:w="0" w:type="dxa"/>
                  </w:tcMar>
                  <w:vAlign w:val="center"/>
                </w:tcPr>
                <w:p w14:paraId="4D9EE0FA">
                  <w:pPr>
                    <w:pStyle w:val="15"/>
                    <w:bidi w:val="0"/>
                    <w:rPr>
                      <w:rFonts w:hint="eastAsia"/>
                      <w:color w:val="auto"/>
                      <w:sz w:val="18"/>
                      <w:szCs w:val="18"/>
                    </w:rPr>
                  </w:pPr>
                  <w:r>
                    <w:rPr>
                      <w:rFonts w:hint="eastAsia"/>
                      <w:color w:val="auto"/>
                      <w:sz w:val="18"/>
                      <w:szCs w:val="18"/>
                      <w:lang w:val="en-US" w:eastAsia="zh-CN"/>
                    </w:rPr>
                    <w:t>菌落总数</w:t>
                  </w:r>
                </w:p>
              </w:tc>
              <w:tc>
                <w:tcPr>
                  <w:tcW w:w="633" w:type="pct"/>
                  <w:tcBorders>
                    <w:tl2br w:val="nil"/>
                    <w:tr2bl w:val="nil"/>
                  </w:tcBorders>
                  <w:shd w:val="clear" w:color="auto" w:fill="auto"/>
                  <w:tcMar>
                    <w:top w:w="0" w:type="dxa"/>
                    <w:left w:w="0" w:type="dxa"/>
                    <w:bottom w:w="0" w:type="dxa"/>
                    <w:right w:w="0" w:type="dxa"/>
                  </w:tcMar>
                  <w:vAlign w:val="center"/>
                </w:tcPr>
                <w:p w14:paraId="58D83231">
                  <w:pPr>
                    <w:pStyle w:val="15"/>
                    <w:bidi w:val="0"/>
                    <w:rPr>
                      <w:rFonts w:hint="eastAsia"/>
                      <w:color w:val="auto"/>
                      <w:sz w:val="18"/>
                      <w:szCs w:val="18"/>
                    </w:rPr>
                  </w:pPr>
                  <w:r>
                    <w:rPr>
                      <w:rFonts w:hint="eastAsia"/>
                      <w:color w:val="auto"/>
                      <w:sz w:val="18"/>
                      <w:szCs w:val="18"/>
                      <w:lang w:val="en-US" w:eastAsia="zh-CN"/>
                    </w:rPr>
                    <w:t>CFU/mL</w:t>
                  </w:r>
                </w:p>
              </w:tc>
              <w:tc>
                <w:tcPr>
                  <w:tcW w:w="358" w:type="pct"/>
                  <w:tcBorders>
                    <w:tl2br w:val="nil"/>
                    <w:tr2bl w:val="nil"/>
                  </w:tcBorders>
                  <w:shd w:val="clear" w:color="auto" w:fill="auto"/>
                  <w:tcMar>
                    <w:top w:w="0" w:type="dxa"/>
                    <w:left w:w="0" w:type="dxa"/>
                    <w:bottom w:w="0" w:type="dxa"/>
                    <w:right w:w="0" w:type="dxa"/>
                  </w:tcMar>
                  <w:vAlign w:val="center"/>
                </w:tcPr>
                <w:p w14:paraId="4D8A1A13">
                  <w:pPr>
                    <w:pStyle w:val="15"/>
                    <w:bidi w:val="0"/>
                    <w:rPr>
                      <w:rFonts w:hint="eastAsia"/>
                      <w:color w:val="auto"/>
                      <w:sz w:val="18"/>
                      <w:szCs w:val="18"/>
                    </w:rPr>
                  </w:pPr>
                  <w:r>
                    <w:rPr>
                      <w:rFonts w:hint="eastAsia"/>
                      <w:color w:val="auto"/>
                      <w:sz w:val="18"/>
                      <w:szCs w:val="18"/>
                      <w:lang w:val="en-US" w:eastAsia="zh-CN"/>
                    </w:rPr>
                    <w:t>100</w:t>
                  </w:r>
                </w:p>
              </w:tc>
              <w:tc>
                <w:tcPr>
                  <w:tcW w:w="367" w:type="pct"/>
                  <w:tcBorders>
                    <w:tl2br w:val="nil"/>
                    <w:tr2bl w:val="nil"/>
                  </w:tcBorders>
                  <w:shd w:val="clear" w:color="auto" w:fill="auto"/>
                  <w:tcMar>
                    <w:top w:w="0" w:type="dxa"/>
                    <w:left w:w="0" w:type="dxa"/>
                    <w:bottom w:w="0" w:type="dxa"/>
                    <w:right w:w="0" w:type="dxa"/>
                  </w:tcMar>
                  <w:vAlign w:val="center"/>
                </w:tcPr>
                <w:p w14:paraId="0D790368">
                  <w:pPr>
                    <w:pStyle w:val="15"/>
                    <w:bidi w:val="0"/>
                    <w:rPr>
                      <w:rFonts w:hint="eastAsia"/>
                      <w:color w:val="auto"/>
                      <w:sz w:val="18"/>
                      <w:szCs w:val="18"/>
                    </w:rPr>
                  </w:pPr>
                  <w:r>
                    <w:rPr>
                      <w:rFonts w:hint="eastAsia"/>
                      <w:color w:val="auto"/>
                      <w:sz w:val="18"/>
                      <w:szCs w:val="18"/>
                      <w:lang w:val="en-US" w:eastAsia="zh-CN"/>
                    </w:rPr>
                    <w:t>9</w:t>
                  </w:r>
                </w:p>
              </w:tc>
              <w:tc>
                <w:tcPr>
                  <w:tcW w:w="247" w:type="pct"/>
                  <w:tcBorders>
                    <w:tl2br w:val="nil"/>
                    <w:tr2bl w:val="nil"/>
                  </w:tcBorders>
                  <w:shd w:val="clear" w:color="auto" w:fill="auto"/>
                  <w:tcMar>
                    <w:top w:w="0" w:type="dxa"/>
                    <w:left w:w="0" w:type="dxa"/>
                    <w:bottom w:w="0" w:type="dxa"/>
                    <w:right w:w="0" w:type="dxa"/>
                  </w:tcMar>
                  <w:vAlign w:val="center"/>
                </w:tcPr>
                <w:p w14:paraId="5FC2B87D">
                  <w:pPr>
                    <w:pStyle w:val="15"/>
                    <w:bidi w:val="0"/>
                    <w:rPr>
                      <w:rFonts w:hint="eastAsia"/>
                      <w:color w:val="auto"/>
                      <w:sz w:val="18"/>
                      <w:szCs w:val="18"/>
                    </w:rPr>
                  </w:pPr>
                  <w:r>
                    <w:rPr>
                      <w:rFonts w:hint="eastAsia"/>
                      <w:color w:val="auto"/>
                      <w:sz w:val="18"/>
                      <w:szCs w:val="18"/>
                      <w:lang w:val="en-US" w:eastAsia="zh-CN"/>
                    </w:rPr>
                    <w:t>0.09</w:t>
                  </w:r>
                </w:p>
              </w:tc>
              <w:tc>
                <w:tcPr>
                  <w:tcW w:w="287" w:type="pct"/>
                  <w:tcBorders>
                    <w:tl2br w:val="nil"/>
                    <w:tr2bl w:val="nil"/>
                  </w:tcBorders>
                  <w:shd w:val="clear" w:color="auto" w:fill="auto"/>
                  <w:tcMar>
                    <w:top w:w="0" w:type="dxa"/>
                    <w:left w:w="0" w:type="dxa"/>
                    <w:bottom w:w="0" w:type="dxa"/>
                    <w:right w:w="0" w:type="dxa"/>
                  </w:tcMar>
                  <w:vAlign w:val="center"/>
                </w:tcPr>
                <w:p w14:paraId="3459971F">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C0F90F5">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56780D36">
                  <w:pPr>
                    <w:pStyle w:val="15"/>
                    <w:bidi w:val="0"/>
                    <w:rPr>
                      <w:rFonts w:hint="eastAsia"/>
                      <w:color w:val="auto"/>
                      <w:sz w:val="18"/>
                      <w:szCs w:val="18"/>
                    </w:rPr>
                  </w:pPr>
                  <w:r>
                    <w:rPr>
                      <w:rFonts w:hint="eastAsia"/>
                      <w:color w:val="auto"/>
                      <w:sz w:val="18"/>
                      <w:szCs w:val="18"/>
                      <w:lang w:val="en-US" w:eastAsia="zh-CN"/>
                    </w:rPr>
                    <w:t>7</w:t>
                  </w:r>
                </w:p>
              </w:tc>
              <w:tc>
                <w:tcPr>
                  <w:tcW w:w="247" w:type="pct"/>
                  <w:tcBorders>
                    <w:tl2br w:val="nil"/>
                    <w:tr2bl w:val="nil"/>
                  </w:tcBorders>
                  <w:shd w:val="clear" w:color="auto" w:fill="auto"/>
                  <w:tcMar>
                    <w:top w:w="0" w:type="dxa"/>
                    <w:left w:w="0" w:type="dxa"/>
                    <w:bottom w:w="0" w:type="dxa"/>
                    <w:right w:w="0" w:type="dxa"/>
                  </w:tcMar>
                  <w:vAlign w:val="center"/>
                </w:tcPr>
                <w:p w14:paraId="0DD3D499">
                  <w:pPr>
                    <w:pStyle w:val="15"/>
                    <w:bidi w:val="0"/>
                    <w:rPr>
                      <w:rFonts w:hint="eastAsia"/>
                      <w:color w:val="auto"/>
                      <w:sz w:val="18"/>
                      <w:szCs w:val="18"/>
                    </w:rPr>
                  </w:pPr>
                  <w:r>
                    <w:rPr>
                      <w:rFonts w:hint="eastAsia"/>
                      <w:color w:val="auto"/>
                      <w:sz w:val="18"/>
                      <w:szCs w:val="18"/>
                      <w:lang w:val="en-US" w:eastAsia="zh-CN"/>
                    </w:rPr>
                    <w:t>0.07</w:t>
                  </w:r>
                </w:p>
              </w:tc>
              <w:tc>
                <w:tcPr>
                  <w:tcW w:w="287" w:type="pct"/>
                  <w:tcBorders>
                    <w:tl2br w:val="nil"/>
                    <w:tr2bl w:val="nil"/>
                  </w:tcBorders>
                  <w:shd w:val="clear" w:color="auto" w:fill="auto"/>
                  <w:tcMar>
                    <w:top w:w="0" w:type="dxa"/>
                    <w:left w:w="0" w:type="dxa"/>
                    <w:bottom w:w="0" w:type="dxa"/>
                    <w:right w:w="0" w:type="dxa"/>
                  </w:tcMar>
                  <w:vAlign w:val="center"/>
                </w:tcPr>
                <w:p w14:paraId="79ED4FDC">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689743EB">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5E578321">
                  <w:pPr>
                    <w:pStyle w:val="15"/>
                    <w:bidi w:val="0"/>
                    <w:rPr>
                      <w:rFonts w:hint="eastAsia"/>
                      <w:color w:val="auto"/>
                      <w:sz w:val="18"/>
                      <w:szCs w:val="18"/>
                    </w:rPr>
                  </w:pPr>
                  <w:r>
                    <w:rPr>
                      <w:rFonts w:hint="eastAsia"/>
                      <w:color w:val="auto"/>
                      <w:sz w:val="18"/>
                      <w:szCs w:val="18"/>
                      <w:lang w:val="en-US" w:eastAsia="zh-CN"/>
                    </w:rPr>
                    <w:t>-</w:t>
                  </w:r>
                </w:p>
              </w:tc>
            </w:tr>
            <w:tr w14:paraId="0AAC84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3B5F10CA">
                  <w:pPr>
                    <w:pStyle w:val="15"/>
                    <w:bidi w:val="0"/>
                    <w:rPr>
                      <w:rFonts w:hint="eastAsia"/>
                      <w:color w:val="auto"/>
                      <w:sz w:val="18"/>
                      <w:szCs w:val="18"/>
                    </w:rPr>
                  </w:pPr>
                  <w:r>
                    <w:rPr>
                      <w:rFonts w:hint="eastAsia"/>
                      <w:color w:val="auto"/>
                      <w:sz w:val="18"/>
                      <w:szCs w:val="18"/>
                      <w:lang w:val="en-US" w:eastAsia="zh-CN"/>
                    </w:rPr>
                    <w:t>10</w:t>
                  </w:r>
                </w:p>
              </w:tc>
              <w:tc>
                <w:tcPr>
                  <w:tcW w:w="828" w:type="pct"/>
                  <w:tcBorders>
                    <w:tl2br w:val="nil"/>
                    <w:tr2bl w:val="nil"/>
                  </w:tcBorders>
                  <w:shd w:val="clear" w:color="auto" w:fill="auto"/>
                  <w:tcMar>
                    <w:top w:w="0" w:type="dxa"/>
                    <w:left w:w="0" w:type="dxa"/>
                    <w:bottom w:w="0" w:type="dxa"/>
                    <w:right w:w="0" w:type="dxa"/>
                  </w:tcMar>
                  <w:vAlign w:val="center"/>
                </w:tcPr>
                <w:p w14:paraId="6679187A">
                  <w:pPr>
                    <w:pStyle w:val="15"/>
                    <w:bidi w:val="0"/>
                    <w:rPr>
                      <w:rFonts w:hint="eastAsia"/>
                      <w:color w:val="auto"/>
                      <w:sz w:val="18"/>
                      <w:szCs w:val="18"/>
                    </w:rPr>
                  </w:pPr>
                  <w:r>
                    <w:rPr>
                      <w:rFonts w:hint="eastAsia"/>
                      <w:color w:val="auto"/>
                      <w:sz w:val="18"/>
                      <w:szCs w:val="18"/>
                      <w:lang w:val="en-US" w:eastAsia="zh-CN"/>
                    </w:rPr>
                    <w:t>氨氮</w:t>
                  </w:r>
                </w:p>
              </w:tc>
              <w:tc>
                <w:tcPr>
                  <w:tcW w:w="633" w:type="pct"/>
                  <w:tcBorders>
                    <w:tl2br w:val="nil"/>
                    <w:tr2bl w:val="nil"/>
                  </w:tcBorders>
                  <w:shd w:val="clear" w:color="auto" w:fill="auto"/>
                  <w:tcMar>
                    <w:top w:w="0" w:type="dxa"/>
                    <w:left w:w="0" w:type="dxa"/>
                    <w:bottom w:w="0" w:type="dxa"/>
                    <w:right w:w="0" w:type="dxa"/>
                  </w:tcMar>
                  <w:vAlign w:val="center"/>
                </w:tcPr>
                <w:p w14:paraId="556D6E6A">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45EE11E8">
                  <w:pPr>
                    <w:pStyle w:val="15"/>
                    <w:bidi w:val="0"/>
                    <w:rPr>
                      <w:rFonts w:hint="eastAsia"/>
                      <w:color w:val="auto"/>
                      <w:sz w:val="18"/>
                      <w:szCs w:val="18"/>
                    </w:rPr>
                  </w:pPr>
                  <w:r>
                    <w:rPr>
                      <w:rFonts w:hint="eastAsia"/>
                      <w:color w:val="auto"/>
                      <w:sz w:val="18"/>
                      <w:szCs w:val="18"/>
                      <w:lang w:val="en-US" w:eastAsia="zh-CN"/>
                    </w:rPr>
                    <w:t>0.5</w:t>
                  </w:r>
                </w:p>
              </w:tc>
              <w:tc>
                <w:tcPr>
                  <w:tcW w:w="367" w:type="pct"/>
                  <w:tcBorders>
                    <w:tl2br w:val="nil"/>
                    <w:tr2bl w:val="nil"/>
                  </w:tcBorders>
                  <w:shd w:val="clear" w:color="auto" w:fill="auto"/>
                  <w:tcMar>
                    <w:top w:w="0" w:type="dxa"/>
                    <w:left w:w="0" w:type="dxa"/>
                    <w:bottom w:w="0" w:type="dxa"/>
                    <w:right w:w="0" w:type="dxa"/>
                  </w:tcMar>
                  <w:vAlign w:val="center"/>
                </w:tcPr>
                <w:p w14:paraId="03845114">
                  <w:pPr>
                    <w:pStyle w:val="15"/>
                    <w:bidi w:val="0"/>
                    <w:rPr>
                      <w:rFonts w:hint="eastAsia"/>
                      <w:color w:val="auto"/>
                      <w:sz w:val="18"/>
                      <w:szCs w:val="18"/>
                    </w:rPr>
                  </w:pPr>
                  <w:r>
                    <w:rPr>
                      <w:rFonts w:hint="eastAsia"/>
                      <w:color w:val="auto"/>
                      <w:sz w:val="18"/>
                      <w:szCs w:val="18"/>
                      <w:lang w:val="en-US" w:eastAsia="zh-CN"/>
                    </w:rPr>
                    <w:t>0.3</w:t>
                  </w:r>
                </w:p>
              </w:tc>
              <w:tc>
                <w:tcPr>
                  <w:tcW w:w="247" w:type="pct"/>
                  <w:tcBorders>
                    <w:tl2br w:val="nil"/>
                    <w:tr2bl w:val="nil"/>
                  </w:tcBorders>
                  <w:shd w:val="clear" w:color="auto" w:fill="auto"/>
                  <w:tcMar>
                    <w:top w:w="0" w:type="dxa"/>
                    <w:left w:w="0" w:type="dxa"/>
                    <w:bottom w:w="0" w:type="dxa"/>
                    <w:right w:w="0" w:type="dxa"/>
                  </w:tcMar>
                  <w:vAlign w:val="center"/>
                </w:tcPr>
                <w:p w14:paraId="196DF1A3">
                  <w:pPr>
                    <w:pStyle w:val="15"/>
                    <w:bidi w:val="0"/>
                    <w:rPr>
                      <w:rFonts w:hint="eastAsia"/>
                      <w:color w:val="auto"/>
                      <w:sz w:val="18"/>
                      <w:szCs w:val="18"/>
                    </w:rPr>
                  </w:pPr>
                  <w:r>
                    <w:rPr>
                      <w:rFonts w:hint="eastAsia"/>
                      <w:color w:val="auto"/>
                      <w:sz w:val="18"/>
                      <w:szCs w:val="18"/>
                      <w:lang w:val="en-US" w:eastAsia="zh-CN"/>
                    </w:rPr>
                    <w:t>0.60</w:t>
                  </w:r>
                </w:p>
              </w:tc>
              <w:tc>
                <w:tcPr>
                  <w:tcW w:w="287" w:type="pct"/>
                  <w:tcBorders>
                    <w:tl2br w:val="nil"/>
                    <w:tr2bl w:val="nil"/>
                  </w:tcBorders>
                  <w:shd w:val="clear" w:color="auto" w:fill="auto"/>
                  <w:tcMar>
                    <w:top w:w="0" w:type="dxa"/>
                    <w:left w:w="0" w:type="dxa"/>
                    <w:bottom w:w="0" w:type="dxa"/>
                    <w:right w:w="0" w:type="dxa"/>
                  </w:tcMar>
                  <w:vAlign w:val="center"/>
                </w:tcPr>
                <w:p w14:paraId="0302B8CD">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D62303D">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1100B60D">
                  <w:pPr>
                    <w:pStyle w:val="15"/>
                    <w:bidi w:val="0"/>
                    <w:rPr>
                      <w:rFonts w:hint="eastAsia"/>
                      <w:color w:val="auto"/>
                      <w:sz w:val="18"/>
                      <w:szCs w:val="18"/>
                    </w:rPr>
                  </w:pPr>
                  <w:r>
                    <w:rPr>
                      <w:rFonts w:hint="eastAsia"/>
                      <w:color w:val="auto"/>
                      <w:sz w:val="18"/>
                      <w:szCs w:val="18"/>
                      <w:lang w:val="en-US" w:eastAsia="zh-CN"/>
                    </w:rPr>
                    <w:t>0.315</w:t>
                  </w:r>
                </w:p>
              </w:tc>
              <w:tc>
                <w:tcPr>
                  <w:tcW w:w="247" w:type="pct"/>
                  <w:tcBorders>
                    <w:tl2br w:val="nil"/>
                    <w:tr2bl w:val="nil"/>
                  </w:tcBorders>
                  <w:shd w:val="clear" w:color="auto" w:fill="auto"/>
                  <w:tcMar>
                    <w:top w:w="0" w:type="dxa"/>
                    <w:left w:w="0" w:type="dxa"/>
                    <w:bottom w:w="0" w:type="dxa"/>
                    <w:right w:w="0" w:type="dxa"/>
                  </w:tcMar>
                  <w:vAlign w:val="center"/>
                </w:tcPr>
                <w:p w14:paraId="5D4A6A5D">
                  <w:pPr>
                    <w:pStyle w:val="15"/>
                    <w:bidi w:val="0"/>
                    <w:rPr>
                      <w:rFonts w:hint="eastAsia"/>
                      <w:color w:val="auto"/>
                      <w:sz w:val="18"/>
                      <w:szCs w:val="18"/>
                    </w:rPr>
                  </w:pPr>
                  <w:r>
                    <w:rPr>
                      <w:rFonts w:hint="eastAsia"/>
                      <w:color w:val="auto"/>
                      <w:sz w:val="18"/>
                      <w:szCs w:val="18"/>
                      <w:lang w:val="en-US" w:eastAsia="zh-CN"/>
                    </w:rPr>
                    <w:t>0.63</w:t>
                  </w:r>
                </w:p>
              </w:tc>
              <w:tc>
                <w:tcPr>
                  <w:tcW w:w="287" w:type="pct"/>
                  <w:tcBorders>
                    <w:tl2br w:val="nil"/>
                    <w:tr2bl w:val="nil"/>
                  </w:tcBorders>
                  <w:shd w:val="clear" w:color="auto" w:fill="auto"/>
                  <w:tcMar>
                    <w:top w:w="0" w:type="dxa"/>
                    <w:left w:w="0" w:type="dxa"/>
                    <w:bottom w:w="0" w:type="dxa"/>
                    <w:right w:w="0" w:type="dxa"/>
                  </w:tcMar>
                  <w:vAlign w:val="center"/>
                </w:tcPr>
                <w:p w14:paraId="68BB0865">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0D5F15D">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72282FAB">
                  <w:pPr>
                    <w:pStyle w:val="15"/>
                    <w:bidi w:val="0"/>
                    <w:rPr>
                      <w:rFonts w:hint="eastAsia"/>
                      <w:color w:val="auto"/>
                      <w:sz w:val="18"/>
                      <w:szCs w:val="18"/>
                    </w:rPr>
                  </w:pPr>
                  <w:r>
                    <w:rPr>
                      <w:rFonts w:hint="eastAsia"/>
                      <w:color w:val="auto"/>
                      <w:sz w:val="18"/>
                      <w:szCs w:val="18"/>
                      <w:lang w:val="en-US" w:eastAsia="zh-CN"/>
                    </w:rPr>
                    <w:t>0.025</w:t>
                  </w:r>
                </w:p>
              </w:tc>
            </w:tr>
            <w:tr w14:paraId="7AA46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512BBCB2">
                  <w:pPr>
                    <w:pStyle w:val="15"/>
                    <w:bidi w:val="0"/>
                    <w:rPr>
                      <w:rFonts w:hint="eastAsia"/>
                      <w:color w:val="auto"/>
                      <w:sz w:val="18"/>
                      <w:szCs w:val="18"/>
                    </w:rPr>
                  </w:pPr>
                  <w:r>
                    <w:rPr>
                      <w:rFonts w:hint="eastAsia"/>
                      <w:color w:val="auto"/>
                      <w:sz w:val="18"/>
                      <w:szCs w:val="18"/>
                      <w:lang w:val="en-US" w:eastAsia="zh-CN"/>
                    </w:rPr>
                    <w:t>11</w:t>
                  </w:r>
                </w:p>
              </w:tc>
              <w:tc>
                <w:tcPr>
                  <w:tcW w:w="828" w:type="pct"/>
                  <w:tcBorders>
                    <w:tl2br w:val="nil"/>
                    <w:tr2bl w:val="nil"/>
                  </w:tcBorders>
                  <w:shd w:val="clear" w:color="auto" w:fill="auto"/>
                  <w:tcMar>
                    <w:top w:w="0" w:type="dxa"/>
                    <w:left w:w="0" w:type="dxa"/>
                    <w:bottom w:w="0" w:type="dxa"/>
                    <w:right w:w="0" w:type="dxa"/>
                  </w:tcMar>
                  <w:vAlign w:val="center"/>
                </w:tcPr>
                <w:p w14:paraId="707E6D58">
                  <w:pPr>
                    <w:pStyle w:val="15"/>
                    <w:bidi w:val="0"/>
                    <w:rPr>
                      <w:rFonts w:hint="eastAsia"/>
                      <w:color w:val="auto"/>
                      <w:sz w:val="18"/>
                      <w:szCs w:val="18"/>
                    </w:rPr>
                  </w:pPr>
                  <w:r>
                    <w:rPr>
                      <w:rFonts w:hint="eastAsia"/>
                      <w:color w:val="auto"/>
                      <w:sz w:val="18"/>
                      <w:szCs w:val="18"/>
                      <w:lang w:val="en-US" w:eastAsia="zh-CN"/>
                    </w:rPr>
                    <w:t>硝酸盐氮</w:t>
                  </w:r>
                </w:p>
              </w:tc>
              <w:tc>
                <w:tcPr>
                  <w:tcW w:w="633" w:type="pct"/>
                  <w:tcBorders>
                    <w:tl2br w:val="nil"/>
                    <w:tr2bl w:val="nil"/>
                  </w:tcBorders>
                  <w:shd w:val="clear" w:color="auto" w:fill="auto"/>
                  <w:tcMar>
                    <w:top w:w="0" w:type="dxa"/>
                    <w:left w:w="0" w:type="dxa"/>
                    <w:bottom w:w="0" w:type="dxa"/>
                    <w:right w:w="0" w:type="dxa"/>
                  </w:tcMar>
                  <w:vAlign w:val="center"/>
                </w:tcPr>
                <w:p w14:paraId="16DBAA15">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6D0B89DD">
                  <w:pPr>
                    <w:pStyle w:val="15"/>
                    <w:bidi w:val="0"/>
                    <w:rPr>
                      <w:rFonts w:hint="eastAsia"/>
                      <w:color w:val="auto"/>
                      <w:sz w:val="18"/>
                      <w:szCs w:val="18"/>
                    </w:rPr>
                  </w:pPr>
                  <w:r>
                    <w:rPr>
                      <w:rFonts w:hint="eastAsia"/>
                      <w:color w:val="auto"/>
                      <w:sz w:val="18"/>
                      <w:szCs w:val="18"/>
                      <w:lang w:val="en-US" w:eastAsia="zh-CN"/>
                    </w:rPr>
                    <w:t>20</w:t>
                  </w:r>
                </w:p>
              </w:tc>
              <w:tc>
                <w:tcPr>
                  <w:tcW w:w="367" w:type="pct"/>
                  <w:tcBorders>
                    <w:tl2br w:val="nil"/>
                    <w:tr2bl w:val="nil"/>
                  </w:tcBorders>
                  <w:shd w:val="clear" w:color="auto" w:fill="auto"/>
                  <w:tcMar>
                    <w:top w:w="0" w:type="dxa"/>
                    <w:left w:w="0" w:type="dxa"/>
                    <w:bottom w:w="0" w:type="dxa"/>
                    <w:right w:w="0" w:type="dxa"/>
                  </w:tcMar>
                  <w:vAlign w:val="center"/>
                </w:tcPr>
                <w:p w14:paraId="40EA92C4">
                  <w:pPr>
                    <w:pStyle w:val="15"/>
                    <w:bidi w:val="0"/>
                    <w:rPr>
                      <w:rFonts w:hint="eastAsia"/>
                      <w:color w:val="auto"/>
                      <w:sz w:val="18"/>
                      <w:szCs w:val="18"/>
                    </w:rPr>
                  </w:pPr>
                  <w:r>
                    <w:rPr>
                      <w:rFonts w:hint="eastAsia"/>
                      <w:color w:val="auto"/>
                      <w:sz w:val="18"/>
                      <w:szCs w:val="18"/>
                      <w:lang w:val="en-US" w:eastAsia="zh-CN"/>
                    </w:rPr>
                    <w:t>0.38</w:t>
                  </w:r>
                </w:p>
              </w:tc>
              <w:tc>
                <w:tcPr>
                  <w:tcW w:w="247" w:type="pct"/>
                  <w:tcBorders>
                    <w:tl2br w:val="nil"/>
                    <w:tr2bl w:val="nil"/>
                  </w:tcBorders>
                  <w:shd w:val="clear" w:color="auto" w:fill="auto"/>
                  <w:tcMar>
                    <w:top w:w="0" w:type="dxa"/>
                    <w:left w:w="0" w:type="dxa"/>
                    <w:bottom w:w="0" w:type="dxa"/>
                    <w:right w:w="0" w:type="dxa"/>
                  </w:tcMar>
                  <w:vAlign w:val="center"/>
                </w:tcPr>
                <w:p w14:paraId="647BA4B6">
                  <w:pPr>
                    <w:pStyle w:val="15"/>
                    <w:bidi w:val="0"/>
                    <w:rPr>
                      <w:rFonts w:hint="eastAsia"/>
                      <w:color w:val="auto"/>
                      <w:sz w:val="18"/>
                      <w:szCs w:val="18"/>
                    </w:rPr>
                  </w:pPr>
                  <w:r>
                    <w:rPr>
                      <w:rFonts w:hint="eastAsia"/>
                      <w:color w:val="auto"/>
                      <w:sz w:val="18"/>
                      <w:szCs w:val="18"/>
                      <w:lang w:val="en-US" w:eastAsia="zh-CN"/>
                    </w:rPr>
                    <w:t>0.02</w:t>
                  </w:r>
                </w:p>
              </w:tc>
              <w:tc>
                <w:tcPr>
                  <w:tcW w:w="287" w:type="pct"/>
                  <w:tcBorders>
                    <w:tl2br w:val="nil"/>
                    <w:tr2bl w:val="nil"/>
                  </w:tcBorders>
                  <w:shd w:val="clear" w:color="auto" w:fill="auto"/>
                  <w:tcMar>
                    <w:top w:w="0" w:type="dxa"/>
                    <w:left w:w="0" w:type="dxa"/>
                    <w:bottom w:w="0" w:type="dxa"/>
                    <w:right w:w="0" w:type="dxa"/>
                  </w:tcMar>
                  <w:vAlign w:val="center"/>
                </w:tcPr>
                <w:p w14:paraId="50503492">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72296096">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0D02BFBC">
                  <w:pPr>
                    <w:pStyle w:val="15"/>
                    <w:bidi w:val="0"/>
                    <w:rPr>
                      <w:rFonts w:hint="eastAsia"/>
                      <w:color w:val="auto"/>
                      <w:sz w:val="18"/>
                      <w:szCs w:val="18"/>
                    </w:rPr>
                  </w:pPr>
                  <w:r>
                    <w:rPr>
                      <w:rFonts w:hint="eastAsia"/>
                      <w:color w:val="auto"/>
                      <w:sz w:val="18"/>
                      <w:szCs w:val="18"/>
                      <w:lang w:val="en-US" w:eastAsia="zh-CN"/>
                    </w:rPr>
                    <w:t>0.26</w:t>
                  </w:r>
                </w:p>
              </w:tc>
              <w:tc>
                <w:tcPr>
                  <w:tcW w:w="247" w:type="pct"/>
                  <w:tcBorders>
                    <w:tl2br w:val="nil"/>
                    <w:tr2bl w:val="nil"/>
                  </w:tcBorders>
                  <w:shd w:val="clear" w:color="auto" w:fill="auto"/>
                  <w:tcMar>
                    <w:top w:w="0" w:type="dxa"/>
                    <w:left w:w="0" w:type="dxa"/>
                    <w:bottom w:w="0" w:type="dxa"/>
                    <w:right w:w="0" w:type="dxa"/>
                  </w:tcMar>
                  <w:vAlign w:val="center"/>
                </w:tcPr>
                <w:p w14:paraId="21B883D1">
                  <w:pPr>
                    <w:pStyle w:val="15"/>
                    <w:bidi w:val="0"/>
                    <w:rPr>
                      <w:rFonts w:hint="eastAsia"/>
                      <w:color w:val="auto"/>
                      <w:sz w:val="18"/>
                      <w:szCs w:val="18"/>
                    </w:rPr>
                  </w:pPr>
                  <w:r>
                    <w:rPr>
                      <w:rFonts w:hint="eastAsia"/>
                      <w:color w:val="auto"/>
                      <w:sz w:val="18"/>
                      <w:szCs w:val="18"/>
                      <w:lang w:val="en-US" w:eastAsia="zh-CN"/>
                    </w:rPr>
                    <w:t>0.01</w:t>
                  </w:r>
                </w:p>
              </w:tc>
              <w:tc>
                <w:tcPr>
                  <w:tcW w:w="287" w:type="pct"/>
                  <w:tcBorders>
                    <w:tl2br w:val="nil"/>
                    <w:tr2bl w:val="nil"/>
                  </w:tcBorders>
                  <w:shd w:val="clear" w:color="auto" w:fill="auto"/>
                  <w:tcMar>
                    <w:top w:w="0" w:type="dxa"/>
                    <w:left w:w="0" w:type="dxa"/>
                    <w:bottom w:w="0" w:type="dxa"/>
                    <w:right w:w="0" w:type="dxa"/>
                  </w:tcMar>
                  <w:vAlign w:val="center"/>
                </w:tcPr>
                <w:p w14:paraId="78BE7208">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2C69749D">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459F9E40">
                  <w:pPr>
                    <w:pStyle w:val="15"/>
                    <w:bidi w:val="0"/>
                    <w:rPr>
                      <w:rFonts w:hint="eastAsia"/>
                      <w:color w:val="auto"/>
                      <w:sz w:val="18"/>
                      <w:szCs w:val="18"/>
                    </w:rPr>
                  </w:pPr>
                  <w:r>
                    <w:rPr>
                      <w:rFonts w:hint="eastAsia"/>
                      <w:color w:val="auto"/>
                      <w:sz w:val="18"/>
                      <w:szCs w:val="18"/>
                      <w:lang w:val="en-US" w:eastAsia="zh-CN"/>
                    </w:rPr>
                    <w:t>0.02</w:t>
                  </w:r>
                </w:p>
              </w:tc>
            </w:tr>
            <w:tr w14:paraId="50E755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A0CDCE1">
                  <w:pPr>
                    <w:pStyle w:val="15"/>
                    <w:bidi w:val="0"/>
                    <w:rPr>
                      <w:rFonts w:hint="eastAsia"/>
                      <w:color w:val="auto"/>
                      <w:sz w:val="18"/>
                      <w:szCs w:val="18"/>
                    </w:rPr>
                  </w:pPr>
                  <w:r>
                    <w:rPr>
                      <w:rFonts w:hint="eastAsia"/>
                      <w:color w:val="auto"/>
                      <w:sz w:val="18"/>
                      <w:szCs w:val="18"/>
                      <w:lang w:val="en-US" w:eastAsia="zh-CN"/>
                    </w:rPr>
                    <w:t>12</w:t>
                  </w:r>
                </w:p>
              </w:tc>
              <w:tc>
                <w:tcPr>
                  <w:tcW w:w="828" w:type="pct"/>
                  <w:tcBorders>
                    <w:tl2br w:val="nil"/>
                    <w:tr2bl w:val="nil"/>
                  </w:tcBorders>
                  <w:shd w:val="clear" w:color="auto" w:fill="auto"/>
                  <w:tcMar>
                    <w:top w:w="0" w:type="dxa"/>
                    <w:left w:w="0" w:type="dxa"/>
                    <w:bottom w:w="0" w:type="dxa"/>
                    <w:right w:w="0" w:type="dxa"/>
                  </w:tcMar>
                  <w:vAlign w:val="center"/>
                </w:tcPr>
                <w:p w14:paraId="367779BA">
                  <w:pPr>
                    <w:pStyle w:val="15"/>
                    <w:bidi w:val="0"/>
                    <w:rPr>
                      <w:rFonts w:hint="eastAsia"/>
                      <w:color w:val="auto"/>
                      <w:sz w:val="18"/>
                      <w:szCs w:val="18"/>
                    </w:rPr>
                  </w:pPr>
                  <w:r>
                    <w:rPr>
                      <w:rFonts w:hint="eastAsia"/>
                      <w:color w:val="auto"/>
                      <w:sz w:val="18"/>
                      <w:szCs w:val="18"/>
                      <w:lang w:val="en-US" w:eastAsia="zh-CN"/>
                    </w:rPr>
                    <w:t>亚硝酸盐氮</w:t>
                  </w:r>
                </w:p>
              </w:tc>
              <w:tc>
                <w:tcPr>
                  <w:tcW w:w="633" w:type="pct"/>
                  <w:tcBorders>
                    <w:tl2br w:val="nil"/>
                    <w:tr2bl w:val="nil"/>
                  </w:tcBorders>
                  <w:shd w:val="clear" w:color="auto" w:fill="auto"/>
                  <w:tcMar>
                    <w:top w:w="0" w:type="dxa"/>
                    <w:left w:w="0" w:type="dxa"/>
                    <w:bottom w:w="0" w:type="dxa"/>
                    <w:right w:w="0" w:type="dxa"/>
                  </w:tcMar>
                  <w:vAlign w:val="center"/>
                </w:tcPr>
                <w:p w14:paraId="5899334A">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4ACD50D5">
                  <w:pPr>
                    <w:pStyle w:val="15"/>
                    <w:bidi w:val="0"/>
                    <w:rPr>
                      <w:rFonts w:hint="eastAsia"/>
                      <w:color w:val="auto"/>
                      <w:sz w:val="18"/>
                      <w:szCs w:val="18"/>
                    </w:rPr>
                  </w:pPr>
                  <w:r>
                    <w:rPr>
                      <w:rFonts w:hint="eastAsia"/>
                      <w:color w:val="auto"/>
                      <w:sz w:val="18"/>
                      <w:szCs w:val="18"/>
                      <w:lang w:val="en-US" w:eastAsia="zh-CN"/>
                    </w:rPr>
                    <w:t>1</w:t>
                  </w:r>
                </w:p>
              </w:tc>
              <w:tc>
                <w:tcPr>
                  <w:tcW w:w="367" w:type="pct"/>
                  <w:tcBorders>
                    <w:tl2br w:val="nil"/>
                    <w:tr2bl w:val="nil"/>
                  </w:tcBorders>
                  <w:shd w:val="clear" w:color="auto" w:fill="auto"/>
                  <w:tcMar>
                    <w:top w:w="0" w:type="dxa"/>
                    <w:left w:w="0" w:type="dxa"/>
                    <w:bottom w:w="0" w:type="dxa"/>
                    <w:right w:w="0" w:type="dxa"/>
                  </w:tcMar>
                  <w:vAlign w:val="center"/>
                </w:tcPr>
                <w:p w14:paraId="1A1171B8">
                  <w:pPr>
                    <w:pStyle w:val="15"/>
                    <w:bidi w:val="0"/>
                    <w:rPr>
                      <w:rFonts w:hint="eastAsia"/>
                      <w:color w:val="auto"/>
                      <w:sz w:val="18"/>
                      <w:szCs w:val="18"/>
                    </w:rPr>
                  </w:pPr>
                  <w:r>
                    <w:rPr>
                      <w:rFonts w:hint="eastAsia"/>
                      <w:color w:val="auto"/>
                      <w:sz w:val="18"/>
                      <w:szCs w:val="18"/>
                      <w:lang w:val="en-US" w:eastAsia="zh-CN"/>
                    </w:rPr>
                    <w:t>0.005</w:t>
                  </w:r>
                </w:p>
              </w:tc>
              <w:tc>
                <w:tcPr>
                  <w:tcW w:w="247" w:type="pct"/>
                  <w:tcBorders>
                    <w:tl2br w:val="nil"/>
                    <w:tr2bl w:val="nil"/>
                  </w:tcBorders>
                  <w:shd w:val="clear" w:color="auto" w:fill="auto"/>
                  <w:tcMar>
                    <w:top w:w="0" w:type="dxa"/>
                    <w:left w:w="0" w:type="dxa"/>
                    <w:bottom w:w="0" w:type="dxa"/>
                    <w:right w:w="0" w:type="dxa"/>
                  </w:tcMar>
                  <w:vAlign w:val="center"/>
                </w:tcPr>
                <w:p w14:paraId="04DBF3BD">
                  <w:pPr>
                    <w:pStyle w:val="15"/>
                    <w:bidi w:val="0"/>
                    <w:rPr>
                      <w:rFonts w:hint="eastAsia"/>
                      <w:color w:val="auto"/>
                      <w:sz w:val="18"/>
                      <w:szCs w:val="18"/>
                    </w:rPr>
                  </w:pPr>
                  <w:r>
                    <w:rPr>
                      <w:rFonts w:hint="eastAsia"/>
                      <w:color w:val="auto"/>
                      <w:sz w:val="18"/>
                      <w:szCs w:val="18"/>
                      <w:lang w:val="en-US" w:eastAsia="zh-CN"/>
                    </w:rPr>
                    <w:t>0.01</w:t>
                  </w:r>
                </w:p>
              </w:tc>
              <w:tc>
                <w:tcPr>
                  <w:tcW w:w="287" w:type="pct"/>
                  <w:tcBorders>
                    <w:tl2br w:val="nil"/>
                    <w:tr2bl w:val="nil"/>
                  </w:tcBorders>
                  <w:shd w:val="clear" w:color="auto" w:fill="auto"/>
                  <w:tcMar>
                    <w:top w:w="0" w:type="dxa"/>
                    <w:left w:w="0" w:type="dxa"/>
                    <w:bottom w:w="0" w:type="dxa"/>
                    <w:right w:w="0" w:type="dxa"/>
                  </w:tcMar>
                  <w:vAlign w:val="center"/>
                </w:tcPr>
                <w:p w14:paraId="5D79EF72">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78B37CC2">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000BD314">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0E19EFBF">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7753EECD">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749763B">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1E4DD750">
                  <w:pPr>
                    <w:pStyle w:val="15"/>
                    <w:bidi w:val="0"/>
                    <w:rPr>
                      <w:rFonts w:hint="eastAsia"/>
                      <w:color w:val="auto"/>
                      <w:sz w:val="18"/>
                      <w:szCs w:val="18"/>
                    </w:rPr>
                  </w:pPr>
                  <w:r>
                    <w:rPr>
                      <w:rFonts w:hint="eastAsia"/>
                      <w:color w:val="auto"/>
                      <w:sz w:val="18"/>
                      <w:szCs w:val="18"/>
                      <w:lang w:val="en-US" w:eastAsia="zh-CN"/>
                    </w:rPr>
                    <w:t>0.003</w:t>
                  </w:r>
                </w:p>
              </w:tc>
            </w:tr>
            <w:tr w14:paraId="79A349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4F2BAADE">
                  <w:pPr>
                    <w:pStyle w:val="15"/>
                    <w:bidi w:val="0"/>
                    <w:rPr>
                      <w:rFonts w:hint="eastAsia"/>
                      <w:color w:val="auto"/>
                      <w:sz w:val="18"/>
                      <w:szCs w:val="18"/>
                    </w:rPr>
                  </w:pPr>
                  <w:r>
                    <w:rPr>
                      <w:rFonts w:hint="eastAsia"/>
                      <w:color w:val="auto"/>
                      <w:sz w:val="18"/>
                      <w:szCs w:val="18"/>
                      <w:lang w:val="en-US" w:eastAsia="zh-CN"/>
                    </w:rPr>
                    <w:t>13</w:t>
                  </w:r>
                </w:p>
              </w:tc>
              <w:tc>
                <w:tcPr>
                  <w:tcW w:w="828" w:type="pct"/>
                  <w:tcBorders>
                    <w:tl2br w:val="nil"/>
                    <w:tr2bl w:val="nil"/>
                  </w:tcBorders>
                  <w:shd w:val="clear" w:color="auto" w:fill="auto"/>
                  <w:tcMar>
                    <w:top w:w="0" w:type="dxa"/>
                    <w:left w:w="0" w:type="dxa"/>
                    <w:bottom w:w="0" w:type="dxa"/>
                    <w:right w:w="0" w:type="dxa"/>
                  </w:tcMar>
                  <w:vAlign w:val="center"/>
                </w:tcPr>
                <w:p w14:paraId="753C6B81">
                  <w:pPr>
                    <w:pStyle w:val="15"/>
                    <w:bidi w:val="0"/>
                    <w:rPr>
                      <w:rFonts w:hint="eastAsia"/>
                      <w:color w:val="auto"/>
                      <w:sz w:val="18"/>
                      <w:szCs w:val="18"/>
                    </w:rPr>
                  </w:pPr>
                  <w:r>
                    <w:rPr>
                      <w:rFonts w:hint="eastAsia"/>
                      <w:color w:val="auto"/>
                      <w:sz w:val="18"/>
                      <w:szCs w:val="18"/>
                      <w:lang w:val="en-US" w:eastAsia="zh-CN"/>
                    </w:rPr>
                    <w:t>氰化物</w:t>
                  </w:r>
                </w:p>
              </w:tc>
              <w:tc>
                <w:tcPr>
                  <w:tcW w:w="633" w:type="pct"/>
                  <w:tcBorders>
                    <w:tl2br w:val="nil"/>
                    <w:tr2bl w:val="nil"/>
                  </w:tcBorders>
                  <w:shd w:val="clear" w:color="auto" w:fill="auto"/>
                  <w:tcMar>
                    <w:top w:w="0" w:type="dxa"/>
                    <w:left w:w="0" w:type="dxa"/>
                    <w:bottom w:w="0" w:type="dxa"/>
                    <w:right w:w="0" w:type="dxa"/>
                  </w:tcMar>
                  <w:vAlign w:val="center"/>
                </w:tcPr>
                <w:p w14:paraId="030CE86F">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23913AE0">
                  <w:pPr>
                    <w:pStyle w:val="15"/>
                    <w:bidi w:val="0"/>
                    <w:rPr>
                      <w:rFonts w:hint="eastAsia"/>
                      <w:color w:val="auto"/>
                      <w:sz w:val="18"/>
                      <w:szCs w:val="18"/>
                    </w:rPr>
                  </w:pPr>
                  <w:r>
                    <w:rPr>
                      <w:rFonts w:hint="eastAsia"/>
                      <w:color w:val="auto"/>
                      <w:sz w:val="18"/>
                      <w:szCs w:val="18"/>
                      <w:lang w:val="en-US" w:eastAsia="zh-CN"/>
                    </w:rPr>
                    <w:t>0.05</w:t>
                  </w:r>
                </w:p>
              </w:tc>
              <w:tc>
                <w:tcPr>
                  <w:tcW w:w="367" w:type="pct"/>
                  <w:tcBorders>
                    <w:tl2br w:val="nil"/>
                    <w:tr2bl w:val="nil"/>
                  </w:tcBorders>
                  <w:shd w:val="clear" w:color="auto" w:fill="auto"/>
                  <w:tcMar>
                    <w:top w:w="0" w:type="dxa"/>
                    <w:left w:w="0" w:type="dxa"/>
                    <w:bottom w:w="0" w:type="dxa"/>
                    <w:right w:w="0" w:type="dxa"/>
                  </w:tcMar>
                  <w:vAlign w:val="center"/>
                </w:tcPr>
                <w:p w14:paraId="198EE274">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404A1CB">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6117DDA2">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28F75E1">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0E31D9DF">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7F368B17">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B7A5F4E">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0C7E3BB">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70AE51DF">
                  <w:pPr>
                    <w:pStyle w:val="15"/>
                    <w:bidi w:val="0"/>
                    <w:rPr>
                      <w:rFonts w:hint="eastAsia"/>
                      <w:color w:val="auto"/>
                      <w:sz w:val="18"/>
                      <w:szCs w:val="18"/>
                    </w:rPr>
                  </w:pPr>
                  <w:r>
                    <w:rPr>
                      <w:rFonts w:hint="eastAsia"/>
                      <w:color w:val="auto"/>
                      <w:sz w:val="18"/>
                      <w:szCs w:val="18"/>
                      <w:lang w:val="en-US" w:eastAsia="zh-CN"/>
                    </w:rPr>
                    <w:t>0.002</w:t>
                  </w:r>
                </w:p>
              </w:tc>
            </w:tr>
            <w:tr w14:paraId="2EA005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5A721EB7">
                  <w:pPr>
                    <w:pStyle w:val="15"/>
                    <w:bidi w:val="0"/>
                    <w:rPr>
                      <w:rFonts w:hint="eastAsia"/>
                      <w:color w:val="auto"/>
                      <w:sz w:val="18"/>
                      <w:szCs w:val="18"/>
                    </w:rPr>
                  </w:pPr>
                  <w:r>
                    <w:rPr>
                      <w:rFonts w:hint="eastAsia"/>
                      <w:color w:val="auto"/>
                      <w:sz w:val="18"/>
                      <w:szCs w:val="18"/>
                      <w:lang w:val="en-US" w:eastAsia="zh-CN"/>
                    </w:rPr>
                    <w:t>14</w:t>
                  </w:r>
                </w:p>
              </w:tc>
              <w:tc>
                <w:tcPr>
                  <w:tcW w:w="828" w:type="pct"/>
                  <w:tcBorders>
                    <w:tl2br w:val="nil"/>
                    <w:tr2bl w:val="nil"/>
                  </w:tcBorders>
                  <w:shd w:val="clear" w:color="auto" w:fill="auto"/>
                  <w:tcMar>
                    <w:top w:w="0" w:type="dxa"/>
                    <w:left w:w="0" w:type="dxa"/>
                    <w:bottom w:w="0" w:type="dxa"/>
                    <w:right w:w="0" w:type="dxa"/>
                  </w:tcMar>
                  <w:vAlign w:val="center"/>
                </w:tcPr>
                <w:p w14:paraId="7889C68E">
                  <w:pPr>
                    <w:pStyle w:val="15"/>
                    <w:bidi w:val="0"/>
                    <w:rPr>
                      <w:rFonts w:hint="eastAsia"/>
                      <w:color w:val="auto"/>
                      <w:sz w:val="18"/>
                      <w:szCs w:val="18"/>
                    </w:rPr>
                  </w:pPr>
                  <w:r>
                    <w:rPr>
                      <w:rFonts w:hint="eastAsia"/>
                      <w:color w:val="auto"/>
                      <w:sz w:val="18"/>
                      <w:szCs w:val="18"/>
                      <w:lang w:val="en-US" w:eastAsia="zh-CN"/>
                    </w:rPr>
                    <w:t>六价铬</w:t>
                  </w:r>
                </w:p>
              </w:tc>
              <w:tc>
                <w:tcPr>
                  <w:tcW w:w="633" w:type="pct"/>
                  <w:tcBorders>
                    <w:tl2br w:val="nil"/>
                    <w:tr2bl w:val="nil"/>
                  </w:tcBorders>
                  <w:shd w:val="clear" w:color="auto" w:fill="auto"/>
                  <w:tcMar>
                    <w:top w:w="0" w:type="dxa"/>
                    <w:left w:w="0" w:type="dxa"/>
                    <w:bottom w:w="0" w:type="dxa"/>
                    <w:right w:w="0" w:type="dxa"/>
                  </w:tcMar>
                  <w:vAlign w:val="center"/>
                </w:tcPr>
                <w:p w14:paraId="74887EEF">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6453D351">
                  <w:pPr>
                    <w:pStyle w:val="15"/>
                    <w:bidi w:val="0"/>
                    <w:rPr>
                      <w:rFonts w:hint="eastAsia"/>
                      <w:color w:val="auto"/>
                      <w:sz w:val="18"/>
                      <w:szCs w:val="18"/>
                    </w:rPr>
                  </w:pPr>
                  <w:r>
                    <w:rPr>
                      <w:rFonts w:hint="eastAsia"/>
                      <w:color w:val="auto"/>
                      <w:sz w:val="18"/>
                      <w:szCs w:val="18"/>
                      <w:lang w:val="en-US" w:eastAsia="zh-CN"/>
                    </w:rPr>
                    <w:t>0.05</w:t>
                  </w:r>
                </w:p>
              </w:tc>
              <w:tc>
                <w:tcPr>
                  <w:tcW w:w="367" w:type="pct"/>
                  <w:tcBorders>
                    <w:tl2br w:val="nil"/>
                    <w:tr2bl w:val="nil"/>
                  </w:tcBorders>
                  <w:shd w:val="clear" w:color="auto" w:fill="auto"/>
                  <w:tcMar>
                    <w:top w:w="0" w:type="dxa"/>
                    <w:left w:w="0" w:type="dxa"/>
                    <w:bottom w:w="0" w:type="dxa"/>
                    <w:right w:w="0" w:type="dxa"/>
                  </w:tcMar>
                  <w:vAlign w:val="center"/>
                </w:tcPr>
                <w:p w14:paraId="139C0868">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67E47FB2">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5F0899A0">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30B7CC1">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544FD1F1">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62887F38">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FA79054">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29B748F">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2A4E972D">
                  <w:pPr>
                    <w:pStyle w:val="15"/>
                    <w:bidi w:val="0"/>
                    <w:rPr>
                      <w:rFonts w:hint="eastAsia"/>
                      <w:color w:val="auto"/>
                      <w:sz w:val="18"/>
                      <w:szCs w:val="18"/>
                    </w:rPr>
                  </w:pPr>
                  <w:r>
                    <w:rPr>
                      <w:rFonts w:hint="eastAsia"/>
                      <w:color w:val="auto"/>
                      <w:sz w:val="18"/>
                      <w:szCs w:val="18"/>
                      <w:lang w:val="en-US" w:eastAsia="zh-CN"/>
                    </w:rPr>
                    <w:t>0.004</w:t>
                  </w:r>
                </w:p>
              </w:tc>
            </w:tr>
            <w:tr w14:paraId="4B98FF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215CC7B5">
                  <w:pPr>
                    <w:pStyle w:val="15"/>
                    <w:bidi w:val="0"/>
                    <w:rPr>
                      <w:rFonts w:hint="eastAsia"/>
                      <w:color w:val="auto"/>
                      <w:sz w:val="18"/>
                      <w:szCs w:val="18"/>
                    </w:rPr>
                  </w:pPr>
                  <w:r>
                    <w:rPr>
                      <w:rFonts w:hint="eastAsia"/>
                      <w:color w:val="auto"/>
                      <w:sz w:val="18"/>
                      <w:szCs w:val="18"/>
                      <w:lang w:val="en-US" w:eastAsia="zh-CN"/>
                    </w:rPr>
                    <w:t>15</w:t>
                  </w:r>
                </w:p>
              </w:tc>
              <w:tc>
                <w:tcPr>
                  <w:tcW w:w="828" w:type="pct"/>
                  <w:tcBorders>
                    <w:tl2br w:val="nil"/>
                    <w:tr2bl w:val="nil"/>
                  </w:tcBorders>
                  <w:shd w:val="clear" w:color="auto" w:fill="auto"/>
                  <w:tcMar>
                    <w:top w:w="0" w:type="dxa"/>
                    <w:left w:w="0" w:type="dxa"/>
                    <w:bottom w:w="0" w:type="dxa"/>
                    <w:right w:w="0" w:type="dxa"/>
                  </w:tcMar>
                  <w:vAlign w:val="center"/>
                </w:tcPr>
                <w:p w14:paraId="643B99D0">
                  <w:pPr>
                    <w:pStyle w:val="15"/>
                    <w:bidi w:val="0"/>
                    <w:rPr>
                      <w:rFonts w:hint="eastAsia"/>
                      <w:color w:val="auto"/>
                      <w:sz w:val="18"/>
                      <w:szCs w:val="18"/>
                    </w:rPr>
                  </w:pPr>
                  <w:r>
                    <w:rPr>
                      <w:rFonts w:hint="eastAsia"/>
                      <w:color w:val="auto"/>
                      <w:sz w:val="18"/>
                      <w:szCs w:val="18"/>
                      <w:lang w:val="en-US" w:eastAsia="zh-CN"/>
                    </w:rPr>
                    <w:t>氟化物</w:t>
                  </w:r>
                </w:p>
              </w:tc>
              <w:tc>
                <w:tcPr>
                  <w:tcW w:w="633" w:type="pct"/>
                  <w:tcBorders>
                    <w:tl2br w:val="nil"/>
                    <w:tr2bl w:val="nil"/>
                  </w:tcBorders>
                  <w:shd w:val="clear" w:color="auto" w:fill="auto"/>
                  <w:tcMar>
                    <w:top w:w="0" w:type="dxa"/>
                    <w:left w:w="0" w:type="dxa"/>
                    <w:bottom w:w="0" w:type="dxa"/>
                    <w:right w:w="0" w:type="dxa"/>
                  </w:tcMar>
                  <w:vAlign w:val="center"/>
                </w:tcPr>
                <w:p w14:paraId="07132586">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73314646">
                  <w:pPr>
                    <w:pStyle w:val="15"/>
                    <w:bidi w:val="0"/>
                    <w:rPr>
                      <w:rFonts w:hint="eastAsia"/>
                      <w:color w:val="auto"/>
                      <w:sz w:val="18"/>
                      <w:szCs w:val="18"/>
                    </w:rPr>
                  </w:pPr>
                  <w:r>
                    <w:rPr>
                      <w:rFonts w:hint="eastAsia"/>
                      <w:color w:val="auto"/>
                      <w:sz w:val="18"/>
                      <w:szCs w:val="18"/>
                      <w:lang w:val="en-US" w:eastAsia="zh-CN"/>
                    </w:rPr>
                    <w:t>1</w:t>
                  </w:r>
                </w:p>
              </w:tc>
              <w:tc>
                <w:tcPr>
                  <w:tcW w:w="367" w:type="pct"/>
                  <w:tcBorders>
                    <w:tl2br w:val="nil"/>
                    <w:tr2bl w:val="nil"/>
                  </w:tcBorders>
                  <w:shd w:val="clear" w:color="auto" w:fill="auto"/>
                  <w:tcMar>
                    <w:top w:w="0" w:type="dxa"/>
                    <w:left w:w="0" w:type="dxa"/>
                    <w:bottom w:w="0" w:type="dxa"/>
                    <w:right w:w="0" w:type="dxa"/>
                  </w:tcMar>
                  <w:vAlign w:val="center"/>
                </w:tcPr>
                <w:p w14:paraId="1DA24B25">
                  <w:pPr>
                    <w:pStyle w:val="15"/>
                    <w:bidi w:val="0"/>
                    <w:rPr>
                      <w:rFonts w:hint="eastAsia"/>
                      <w:color w:val="auto"/>
                      <w:sz w:val="18"/>
                      <w:szCs w:val="18"/>
                    </w:rPr>
                  </w:pPr>
                  <w:r>
                    <w:rPr>
                      <w:rFonts w:hint="eastAsia"/>
                      <w:color w:val="auto"/>
                      <w:sz w:val="18"/>
                      <w:szCs w:val="18"/>
                      <w:lang w:val="en-US" w:eastAsia="zh-CN"/>
                    </w:rPr>
                    <w:t>1.55</w:t>
                  </w:r>
                </w:p>
              </w:tc>
              <w:tc>
                <w:tcPr>
                  <w:tcW w:w="247" w:type="pct"/>
                  <w:tcBorders>
                    <w:tl2br w:val="nil"/>
                    <w:tr2bl w:val="nil"/>
                  </w:tcBorders>
                  <w:shd w:val="clear" w:color="auto" w:fill="auto"/>
                  <w:tcMar>
                    <w:top w:w="0" w:type="dxa"/>
                    <w:left w:w="0" w:type="dxa"/>
                    <w:bottom w:w="0" w:type="dxa"/>
                    <w:right w:w="0" w:type="dxa"/>
                  </w:tcMar>
                  <w:vAlign w:val="center"/>
                </w:tcPr>
                <w:p w14:paraId="3CB935E3">
                  <w:pPr>
                    <w:pStyle w:val="15"/>
                    <w:bidi w:val="0"/>
                    <w:rPr>
                      <w:rFonts w:hint="eastAsia"/>
                      <w:color w:val="auto"/>
                      <w:sz w:val="18"/>
                      <w:szCs w:val="18"/>
                    </w:rPr>
                  </w:pPr>
                  <w:r>
                    <w:rPr>
                      <w:rFonts w:hint="eastAsia"/>
                      <w:color w:val="auto"/>
                      <w:sz w:val="18"/>
                      <w:szCs w:val="18"/>
                      <w:lang w:val="en-US" w:eastAsia="zh-CN"/>
                    </w:rPr>
                    <w:t>1.55</w:t>
                  </w:r>
                </w:p>
              </w:tc>
              <w:tc>
                <w:tcPr>
                  <w:tcW w:w="287" w:type="pct"/>
                  <w:tcBorders>
                    <w:tl2br w:val="nil"/>
                    <w:tr2bl w:val="nil"/>
                  </w:tcBorders>
                  <w:shd w:val="clear" w:color="auto" w:fill="auto"/>
                  <w:tcMar>
                    <w:top w:w="0" w:type="dxa"/>
                    <w:left w:w="0" w:type="dxa"/>
                    <w:bottom w:w="0" w:type="dxa"/>
                    <w:right w:w="0" w:type="dxa"/>
                  </w:tcMar>
                  <w:vAlign w:val="center"/>
                </w:tcPr>
                <w:p w14:paraId="4999A8DA">
                  <w:pPr>
                    <w:pStyle w:val="15"/>
                    <w:bidi w:val="0"/>
                    <w:rPr>
                      <w:rFonts w:hint="eastAsia"/>
                      <w:color w:val="auto"/>
                      <w:sz w:val="18"/>
                      <w:szCs w:val="18"/>
                    </w:rPr>
                  </w:pPr>
                  <w:r>
                    <w:rPr>
                      <w:rFonts w:hint="eastAsia"/>
                      <w:color w:val="auto"/>
                      <w:sz w:val="18"/>
                      <w:szCs w:val="18"/>
                      <w:lang w:val="en-US" w:eastAsia="zh-CN"/>
                    </w:rPr>
                    <w:t>55%</w:t>
                  </w:r>
                </w:p>
              </w:tc>
              <w:tc>
                <w:tcPr>
                  <w:tcW w:w="367" w:type="pct"/>
                  <w:tcBorders>
                    <w:tl2br w:val="nil"/>
                    <w:tr2bl w:val="nil"/>
                  </w:tcBorders>
                  <w:shd w:val="clear" w:color="auto" w:fill="auto"/>
                  <w:tcMar>
                    <w:top w:w="0" w:type="dxa"/>
                    <w:left w:w="0" w:type="dxa"/>
                    <w:bottom w:w="0" w:type="dxa"/>
                    <w:right w:w="0" w:type="dxa"/>
                  </w:tcMar>
                  <w:vAlign w:val="center"/>
                </w:tcPr>
                <w:p w14:paraId="3BA2141D">
                  <w:pPr>
                    <w:pStyle w:val="15"/>
                    <w:bidi w:val="0"/>
                    <w:rPr>
                      <w:rFonts w:hint="eastAsia"/>
                      <w:color w:val="auto"/>
                      <w:sz w:val="18"/>
                      <w:szCs w:val="18"/>
                    </w:rPr>
                  </w:pPr>
                  <w:r>
                    <w:rPr>
                      <w:rFonts w:hint="eastAsia"/>
                      <w:color w:val="auto"/>
                      <w:sz w:val="18"/>
                      <w:szCs w:val="18"/>
                      <w:lang w:val="en-US" w:eastAsia="zh-CN"/>
                    </w:rPr>
                    <w:t>不达标</w:t>
                  </w:r>
                </w:p>
              </w:tc>
              <w:tc>
                <w:tcPr>
                  <w:tcW w:w="367" w:type="pct"/>
                  <w:tcBorders>
                    <w:tl2br w:val="nil"/>
                    <w:tr2bl w:val="nil"/>
                  </w:tcBorders>
                  <w:shd w:val="clear" w:color="auto" w:fill="auto"/>
                  <w:tcMar>
                    <w:top w:w="0" w:type="dxa"/>
                    <w:left w:w="0" w:type="dxa"/>
                    <w:bottom w:w="0" w:type="dxa"/>
                    <w:right w:w="0" w:type="dxa"/>
                  </w:tcMar>
                  <w:vAlign w:val="center"/>
                </w:tcPr>
                <w:p w14:paraId="2FAD6E9F">
                  <w:pPr>
                    <w:pStyle w:val="15"/>
                    <w:bidi w:val="0"/>
                    <w:rPr>
                      <w:rFonts w:hint="eastAsia"/>
                      <w:color w:val="auto"/>
                      <w:sz w:val="18"/>
                      <w:szCs w:val="18"/>
                    </w:rPr>
                  </w:pPr>
                  <w:r>
                    <w:rPr>
                      <w:rFonts w:hint="eastAsia"/>
                      <w:color w:val="auto"/>
                      <w:sz w:val="18"/>
                      <w:szCs w:val="18"/>
                      <w:lang w:val="en-US" w:eastAsia="zh-CN"/>
                    </w:rPr>
                    <w:t>1.54</w:t>
                  </w:r>
                </w:p>
              </w:tc>
              <w:tc>
                <w:tcPr>
                  <w:tcW w:w="247" w:type="pct"/>
                  <w:tcBorders>
                    <w:tl2br w:val="nil"/>
                    <w:tr2bl w:val="nil"/>
                  </w:tcBorders>
                  <w:shd w:val="clear" w:color="auto" w:fill="auto"/>
                  <w:tcMar>
                    <w:top w:w="0" w:type="dxa"/>
                    <w:left w:w="0" w:type="dxa"/>
                    <w:bottom w:w="0" w:type="dxa"/>
                    <w:right w:w="0" w:type="dxa"/>
                  </w:tcMar>
                  <w:vAlign w:val="center"/>
                </w:tcPr>
                <w:p w14:paraId="6257547E">
                  <w:pPr>
                    <w:pStyle w:val="15"/>
                    <w:bidi w:val="0"/>
                    <w:rPr>
                      <w:rFonts w:hint="eastAsia"/>
                      <w:color w:val="auto"/>
                      <w:sz w:val="18"/>
                      <w:szCs w:val="18"/>
                    </w:rPr>
                  </w:pPr>
                  <w:r>
                    <w:rPr>
                      <w:rFonts w:hint="eastAsia"/>
                      <w:color w:val="auto"/>
                      <w:sz w:val="18"/>
                      <w:szCs w:val="18"/>
                      <w:lang w:val="en-US" w:eastAsia="zh-CN"/>
                    </w:rPr>
                    <w:t>1.54</w:t>
                  </w:r>
                </w:p>
              </w:tc>
              <w:tc>
                <w:tcPr>
                  <w:tcW w:w="287" w:type="pct"/>
                  <w:tcBorders>
                    <w:tl2br w:val="nil"/>
                    <w:tr2bl w:val="nil"/>
                  </w:tcBorders>
                  <w:shd w:val="clear" w:color="auto" w:fill="auto"/>
                  <w:tcMar>
                    <w:top w:w="0" w:type="dxa"/>
                    <w:left w:w="0" w:type="dxa"/>
                    <w:bottom w:w="0" w:type="dxa"/>
                    <w:right w:w="0" w:type="dxa"/>
                  </w:tcMar>
                  <w:vAlign w:val="center"/>
                </w:tcPr>
                <w:p w14:paraId="7C2BEEB4">
                  <w:pPr>
                    <w:pStyle w:val="15"/>
                    <w:bidi w:val="0"/>
                    <w:rPr>
                      <w:rFonts w:hint="eastAsia"/>
                      <w:color w:val="auto"/>
                      <w:sz w:val="18"/>
                      <w:szCs w:val="18"/>
                    </w:rPr>
                  </w:pPr>
                  <w:r>
                    <w:rPr>
                      <w:rFonts w:hint="eastAsia"/>
                      <w:color w:val="auto"/>
                      <w:sz w:val="18"/>
                      <w:szCs w:val="18"/>
                      <w:lang w:val="en-US" w:eastAsia="zh-CN"/>
                    </w:rPr>
                    <w:t>54%</w:t>
                  </w:r>
                </w:p>
              </w:tc>
              <w:tc>
                <w:tcPr>
                  <w:tcW w:w="367" w:type="pct"/>
                  <w:tcBorders>
                    <w:tl2br w:val="nil"/>
                    <w:tr2bl w:val="nil"/>
                  </w:tcBorders>
                  <w:shd w:val="clear" w:color="auto" w:fill="auto"/>
                  <w:tcMar>
                    <w:top w:w="0" w:type="dxa"/>
                    <w:left w:w="0" w:type="dxa"/>
                    <w:bottom w:w="0" w:type="dxa"/>
                    <w:right w:w="0" w:type="dxa"/>
                  </w:tcMar>
                  <w:vAlign w:val="center"/>
                </w:tcPr>
                <w:p w14:paraId="50ACD449">
                  <w:pPr>
                    <w:pStyle w:val="15"/>
                    <w:bidi w:val="0"/>
                    <w:rPr>
                      <w:rFonts w:hint="eastAsia"/>
                      <w:color w:val="auto"/>
                      <w:sz w:val="18"/>
                      <w:szCs w:val="18"/>
                    </w:rPr>
                  </w:pPr>
                  <w:r>
                    <w:rPr>
                      <w:rFonts w:hint="eastAsia"/>
                      <w:color w:val="auto"/>
                      <w:sz w:val="18"/>
                      <w:szCs w:val="18"/>
                      <w:lang w:val="en-US" w:eastAsia="zh-CN"/>
                    </w:rPr>
                    <w:t>不达标</w:t>
                  </w:r>
                </w:p>
              </w:tc>
              <w:tc>
                <w:tcPr>
                  <w:tcW w:w="394" w:type="pct"/>
                  <w:tcBorders>
                    <w:tl2br w:val="nil"/>
                    <w:tr2bl w:val="nil"/>
                  </w:tcBorders>
                  <w:shd w:val="clear" w:color="auto" w:fill="auto"/>
                  <w:tcMar>
                    <w:top w:w="0" w:type="dxa"/>
                    <w:left w:w="0" w:type="dxa"/>
                    <w:bottom w:w="0" w:type="dxa"/>
                    <w:right w:w="0" w:type="dxa"/>
                  </w:tcMar>
                  <w:vAlign w:val="center"/>
                </w:tcPr>
                <w:p w14:paraId="3F05E757">
                  <w:pPr>
                    <w:pStyle w:val="15"/>
                    <w:bidi w:val="0"/>
                    <w:rPr>
                      <w:rFonts w:hint="eastAsia"/>
                      <w:color w:val="auto"/>
                      <w:sz w:val="18"/>
                      <w:szCs w:val="18"/>
                    </w:rPr>
                  </w:pPr>
                  <w:r>
                    <w:rPr>
                      <w:rFonts w:hint="eastAsia"/>
                      <w:color w:val="auto"/>
                      <w:sz w:val="18"/>
                      <w:szCs w:val="18"/>
                      <w:lang w:val="en-US" w:eastAsia="zh-CN"/>
                    </w:rPr>
                    <w:t>0.02</w:t>
                  </w:r>
                </w:p>
              </w:tc>
            </w:tr>
            <w:tr w14:paraId="067ED1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2A0521C7">
                  <w:pPr>
                    <w:pStyle w:val="15"/>
                    <w:bidi w:val="0"/>
                    <w:rPr>
                      <w:rFonts w:hint="eastAsia"/>
                      <w:color w:val="auto"/>
                      <w:sz w:val="18"/>
                      <w:szCs w:val="18"/>
                    </w:rPr>
                  </w:pPr>
                  <w:r>
                    <w:rPr>
                      <w:rFonts w:hint="eastAsia"/>
                      <w:color w:val="auto"/>
                      <w:sz w:val="18"/>
                      <w:szCs w:val="18"/>
                      <w:lang w:val="en-US" w:eastAsia="zh-CN"/>
                    </w:rPr>
                    <w:t>16</w:t>
                  </w:r>
                </w:p>
              </w:tc>
              <w:tc>
                <w:tcPr>
                  <w:tcW w:w="828" w:type="pct"/>
                  <w:tcBorders>
                    <w:tl2br w:val="nil"/>
                    <w:tr2bl w:val="nil"/>
                  </w:tcBorders>
                  <w:shd w:val="clear" w:color="auto" w:fill="auto"/>
                  <w:tcMar>
                    <w:top w:w="0" w:type="dxa"/>
                    <w:left w:w="0" w:type="dxa"/>
                    <w:bottom w:w="0" w:type="dxa"/>
                    <w:right w:w="0" w:type="dxa"/>
                  </w:tcMar>
                  <w:vAlign w:val="center"/>
                </w:tcPr>
                <w:p w14:paraId="043D01B4">
                  <w:pPr>
                    <w:pStyle w:val="15"/>
                    <w:bidi w:val="0"/>
                    <w:rPr>
                      <w:rFonts w:hint="eastAsia"/>
                      <w:color w:val="auto"/>
                      <w:sz w:val="18"/>
                      <w:szCs w:val="18"/>
                    </w:rPr>
                  </w:pPr>
                  <w:r>
                    <w:rPr>
                      <w:rFonts w:hint="eastAsia"/>
                      <w:color w:val="auto"/>
                      <w:sz w:val="18"/>
                      <w:szCs w:val="18"/>
                      <w:lang w:val="en-US" w:eastAsia="zh-CN"/>
                    </w:rPr>
                    <w:t>挥发酚</w:t>
                  </w:r>
                </w:p>
              </w:tc>
              <w:tc>
                <w:tcPr>
                  <w:tcW w:w="633" w:type="pct"/>
                  <w:tcBorders>
                    <w:tl2br w:val="nil"/>
                    <w:tr2bl w:val="nil"/>
                  </w:tcBorders>
                  <w:shd w:val="clear" w:color="auto" w:fill="auto"/>
                  <w:tcMar>
                    <w:top w:w="0" w:type="dxa"/>
                    <w:left w:w="0" w:type="dxa"/>
                    <w:bottom w:w="0" w:type="dxa"/>
                    <w:right w:w="0" w:type="dxa"/>
                  </w:tcMar>
                  <w:vAlign w:val="center"/>
                </w:tcPr>
                <w:p w14:paraId="1D33377A">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2911642B">
                  <w:pPr>
                    <w:pStyle w:val="15"/>
                    <w:bidi w:val="0"/>
                    <w:rPr>
                      <w:rFonts w:hint="eastAsia"/>
                      <w:color w:val="auto"/>
                      <w:sz w:val="18"/>
                      <w:szCs w:val="18"/>
                    </w:rPr>
                  </w:pPr>
                  <w:r>
                    <w:rPr>
                      <w:rFonts w:hint="eastAsia"/>
                      <w:color w:val="auto"/>
                      <w:sz w:val="18"/>
                      <w:szCs w:val="18"/>
                      <w:lang w:val="en-US" w:eastAsia="zh-CN"/>
                    </w:rPr>
                    <w:t>0.002</w:t>
                  </w:r>
                </w:p>
              </w:tc>
              <w:tc>
                <w:tcPr>
                  <w:tcW w:w="367" w:type="pct"/>
                  <w:tcBorders>
                    <w:tl2br w:val="nil"/>
                    <w:tr2bl w:val="nil"/>
                  </w:tcBorders>
                  <w:shd w:val="clear" w:color="auto" w:fill="auto"/>
                  <w:tcMar>
                    <w:top w:w="0" w:type="dxa"/>
                    <w:left w:w="0" w:type="dxa"/>
                    <w:bottom w:w="0" w:type="dxa"/>
                    <w:right w:w="0" w:type="dxa"/>
                  </w:tcMar>
                  <w:vAlign w:val="center"/>
                </w:tcPr>
                <w:p w14:paraId="5AB0EB30">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6BBD231C">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648AEA35">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215B81BC">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16C1359E">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374A4F07">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722B026C">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7ADF0217">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4040789A">
                  <w:pPr>
                    <w:pStyle w:val="15"/>
                    <w:bidi w:val="0"/>
                    <w:rPr>
                      <w:rFonts w:hint="eastAsia"/>
                      <w:color w:val="auto"/>
                      <w:sz w:val="18"/>
                      <w:szCs w:val="18"/>
                    </w:rPr>
                  </w:pPr>
                  <w:r>
                    <w:rPr>
                      <w:rFonts w:hint="eastAsia"/>
                      <w:color w:val="auto"/>
                      <w:sz w:val="18"/>
                      <w:szCs w:val="18"/>
                      <w:lang w:val="en-US" w:eastAsia="zh-CN"/>
                    </w:rPr>
                    <w:t>0.0003</w:t>
                  </w:r>
                </w:p>
              </w:tc>
            </w:tr>
            <w:tr w14:paraId="11DBB9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62189501">
                  <w:pPr>
                    <w:pStyle w:val="15"/>
                    <w:bidi w:val="0"/>
                    <w:rPr>
                      <w:rFonts w:hint="eastAsia"/>
                      <w:color w:val="auto"/>
                      <w:sz w:val="18"/>
                      <w:szCs w:val="18"/>
                    </w:rPr>
                  </w:pPr>
                  <w:r>
                    <w:rPr>
                      <w:rFonts w:hint="eastAsia"/>
                      <w:color w:val="auto"/>
                      <w:sz w:val="18"/>
                      <w:szCs w:val="18"/>
                      <w:lang w:val="en-US" w:eastAsia="zh-CN"/>
                    </w:rPr>
                    <w:t>17</w:t>
                  </w:r>
                </w:p>
              </w:tc>
              <w:tc>
                <w:tcPr>
                  <w:tcW w:w="828" w:type="pct"/>
                  <w:tcBorders>
                    <w:tl2br w:val="nil"/>
                    <w:tr2bl w:val="nil"/>
                  </w:tcBorders>
                  <w:shd w:val="clear" w:color="auto" w:fill="auto"/>
                  <w:tcMar>
                    <w:top w:w="0" w:type="dxa"/>
                    <w:left w:w="0" w:type="dxa"/>
                    <w:bottom w:w="0" w:type="dxa"/>
                    <w:right w:w="0" w:type="dxa"/>
                  </w:tcMar>
                  <w:vAlign w:val="center"/>
                </w:tcPr>
                <w:p w14:paraId="1DAC930C">
                  <w:pPr>
                    <w:pStyle w:val="15"/>
                    <w:bidi w:val="0"/>
                    <w:rPr>
                      <w:rFonts w:hint="eastAsia"/>
                      <w:color w:val="auto"/>
                      <w:sz w:val="18"/>
                      <w:szCs w:val="18"/>
                    </w:rPr>
                  </w:pPr>
                  <w:r>
                    <w:rPr>
                      <w:rFonts w:hint="eastAsia"/>
                      <w:color w:val="auto"/>
                      <w:sz w:val="18"/>
                      <w:szCs w:val="18"/>
                      <w:lang w:val="en-US" w:eastAsia="zh-CN"/>
                    </w:rPr>
                    <w:t>硫化物</w:t>
                  </w:r>
                </w:p>
              </w:tc>
              <w:tc>
                <w:tcPr>
                  <w:tcW w:w="633" w:type="pct"/>
                  <w:tcBorders>
                    <w:tl2br w:val="nil"/>
                    <w:tr2bl w:val="nil"/>
                  </w:tcBorders>
                  <w:shd w:val="clear" w:color="auto" w:fill="auto"/>
                  <w:tcMar>
                    <w:top w:w="0" w:type="dxa"/>
                    <w:left w:w="0" w:type="dxa"/>
                    <w:bottom w:w="0" w:type="dxa"/>
                    <w:right w:w="0" w:type="dxa"/>
                  </w:tcMar>
                  <w:vAlign w:val="center"/>
                </w:tcPr>
                <w:p w14:paraId="176924B7">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167BE867">
                  <w:pPr>
                    <w:pStyle w:val="15"/>
                    <w:bidi w:val="0"/>
                    <w:rPr>
                      <w:rFonts w:hint="eastAsia"/>
                      <w:color w:val="auto"/>
                      <w:sz w:val="18"/>
                      <w:szCs w:val="18"/>
                    </w:rPr>
                  </w:pPr>
                  <w:r>
                    <w:rPr>
                      <w:rFonts w:hint="eastAsia"/>
                      <w:color w:val="auto"/>
                      <w:sz w:val="18"/>
                      <w:szCs w:val="18"/>
                      <w:lang w:val="en-US" w:eastAsia="zh-CN"/>
                    </w:rPr>
                    <w:t>0.02</w:t>
                  </w:r>
                </w:p>
              </w:tc>
              <w:tc>
                <w:tcPr>
                  <w:tcW w:w="367" w:type="pct"/>
                  <w:tcBorders>
                    <w:tl2br w:val="nil"/>
                    <w:tr2bl w:val="nil"/>
                  </w:tcBorders>
                  <w:shd w:val="clear" w:color="auto" w:fill="auto"/>
                  <w:tcMar>
                    <w:top w:w="0" w:type="dxa"/>
                    <w:left w:w="0" w:type="dxa"/>
                    <w:bottom w:w="0" w:type="dxa"/>
                    <w:right w:w="0" w:type="dxa"/>
                  </w:tcMar>
                  <w:vAlign w:val="center"/>
                </w:tcPr>
                <w:p w14:paraId="3BD4C813">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37EC51C1">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CC05FFC">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79507ECC">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2CA99733">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35CAF4C8">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5D9478EB">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E0951AD">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0C0D24A1">
                  <w:pPr>
                    <w:pStyle w:val="15"/>
                    <w:bidi w:val="0"/>
                    <w:rPr>
                      <w:rFonts w:hint="eastAsia"/>
                      <w:color w:val="auto"/>
                      <w:sz w:val="18"/>
                      <w:szCs w:val="18"/>
                    </w:rPr>
                  </w:pPr>
                  <w:r>
                    <w:rPr>
                      <w:rFonts w:hint="eastAsia"/>
                      <w:color w:val="auto"/>
                      <w:sz w:val="18"/>
                      <w:szCs w:val="18"/>
                      <w:lang w:val="en-US" w:eastAsia="zh-CN"/>
                    </w:rPr>
                    <w:t>0.003</w:t>
                  </w:r>
                </w:p>
              </w:tc>
            </w:tr>
            <w:tr w14:paraId="79F04D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32E816BD">
                  <w:pPr>
                    <w:pStyle w:val="15"/>
                    <w:bidi w:val="0"/>
                    <w:rPr>
                      <w:rFonts w:hint="eastAsia"/>
                      <w:color w:val="auto"/>
                      <w:sz w:val="18"/>
                      <w:szCs w:val="18"/>
                    </w:rPr>
                  </w:pPr>
                  <w:r>
                    <w:rPr>
                      <w:rFonts w:hint="eastAsia"/>
                      <w:color w:val="auto"/>
                      <w:sz w:val="18"/>
                      <w:szCs w:val="18"/>
                      <w:lang w:val="en-US" w:eastAsia="zh-CN"/>
                    </w:rPr>
                    <w:t>18</w:t>
                  </w:r>
                </w:p>
              </w:tc>
              <w:tc>
                <w:tcPr>
                  <w:tcW w:w="828" w:type="pct"/>
                  <w:tcBorders>
                    <w:tl2br w:val="nil"/>
                    <w:tr2bl w:val="nil"/>
                  </w:tcBorders>
                  <w:shd w:val="clear" w:color="auto" w:fill="auto"/>
                  <w:tcMar>
                    <w:top w:w="0" w:type="dxa"/>
                    <w:left w:w="0" w:type="dxa"/>
                    <w:bottom w:w="0" w:type="dxa"/>
                    <w:right w:w="0" w:type="dxa"/>
                  </w:tcMar>
                  <w:vAlign w:val="center"/>
                </w:tcPr>
                <w:p w14:paraId="6AEE9817">
                  <w:pPr>
                    <w:pStyle w:val="15"/>
                    <w:bidi w:val="0"/>
                    <w:rPr>
                      <w:rFonts w:hint="eastAsia"/>
                      <w:color w:val="auto"/>
                      <w:sz w:val="18"/>
                      <w:szCs w:val="18"/>
                    </w:rPr>
                  </w:pPr>
                  <w:r>
                    <w:rPr>
                      <w:rFonts w:hint="eastAsia"/>
                      <w:color w:val="auto"/>
                      <w:sz w:val="18"/>
                      <w:szCs w:val="18"/>
                      <w:lang w:val="en-US" w:eastAsia="zh-CN"/>
                    </w:rPr>
                    <w:t>硫酸盐</w:t>
                  </w:r>
                </w:p>
              </w:tc>
              <w:tc>
                <w:tcPr>
                  <w:tcW w:w="633" w:type="pct"/>
                  <w:tcBorders>
                    <w:tl2br w:val="nil"/>
                    <w:tr2bl w:val="nil"/>
                  </w:tcBorders>
                  <w:shd w:val="clear" w:color="auto" w:fill="auto"/>
                  <w:tcMar>
                    <w:top w:w="0" w:type="dxa"/>
                    <w:left w:w="0" w:type="dxa"/>
                    <w:bottom w:w="0" w:type="dxa"/>
                    <w:right w:w="0" w:type="dxa"/>
                  </w:tcMar>
                  <w:vAlign w:val="center"/>
                </w:tcPr>
                <w:p w14:paraId="45862EA6">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09EDA38F">
                  <w:pPr>
                    <w:pStyle w:val="15"/>
                    <w:bidi w:val="0"/>
                    <w:rPr>
                      <w:rFonts w:hint="eastAsia"/>
                      <w:color w:val="auto"/>
                      <w:sz w:val="18"/>
                      <w:szCs w:val="18"/>
                    </w:rPr>
                  </w:pPr>
                  <w:r>
                    <w:rPr>
                      <w:rFonts w:hint="eastAsia"/>
                      <w:color w:val="auto"/>
                      <w:sz w:val="18"/>
                      <w:szCs w:val="18"/>
                      <w:lang w:val="en-US" w:eastAsia="zh-CN"/>
                    </w:rPr>
                    <w:t>250</w:t>
                  </w:r>
                </w:p>
              </w:tc>
              <w:tc>
                <w:tcPr>
                  <w:tcW w:w="367" w:type="pct"/>
                  <w:tcBorders>
                    <w:tl2br w:val="nil"/>
                    <w:tr2bl w:val="nil"/>
                  </w:tcBorders>
                  <w:shd w:val="clear" w:color="auto" w:fill="auto"/>
                  <w:tcMar>
                    <w:top w:w="0" w:type="dxa"/>
                    <w:left w:w="0" w:type="dxa"/>
                    <w:bottom w:w="0" w:type="dxa"/>
                    <w:right w:w="0" w:type="dxa"/>
                  </w:tcMar>
                  <w:vAlign w:val="center"/>
                </w:tcPr>
                <w:p w14:paraId="44D8ACEE">
                  <w:pPr>
                    <w:pStyle w:val="15"/>
                    <w:bidi w:val="0"/>
                    <w:rPr>
                      <w:rFonts w:hint="eastAsia"/>
                      <w:color w:val="auto"/>
                      <w:sz w:val="18"/>
                      <w:szCs w:val="18"/>
                    </w:rPr>
                  </w:pPr>
                  <w:r>
                    <w:rPr>
                      <w:rFonts w:hint="eastAsia"/>
                      <w:color w:val="auto"/>
                      <w:sz w:val="18"/>
                      <w:szCs w:val="18"/>
                      <w:lang w:val="en-US" w:eastAsia="zh-CN"/>
                    </w:rPr>
                    <w:t>712</w:t>
                  </w:r>
                </w:p>
              </w:tc>
              <w:tc>
                <w:tcPr>
                  <w:tcW w:w="247" w:type="pct"/>
                  <w:tcBorders>
                    <w:tl2br w:val="nil"/>
                    <w:tr2bl w:val="nil"/>
                  </w:tcBorders>
                  <w:shd w:val="clear" w:color="auto" w:fill="auto"/>
                  <w:tcMar>
                    <w:top w:w="0" w:type="dxa"/>
                    <w:left w:w="0" w:type="dxa"/>
                    <w:bottom w:w="0" w:type="dxa"/>
                    <w:right w:w="0" w:type="dxa"/>
                  </w:tcMar>
                  <w:vAlign w:val="center"/>
                </w:tcPr>
                <w:p w14:paraId="32A4A954">
                  <w:pPr>
                    <w:pStyle w:val="15"/>
                    <w:bidi w:val="0"/>
                    <w:rPr>
                      <w:rFonts w:hint="eastAsia"/>
                      <w:color w:val="auto"/>
                      <w:sz w:val="18"/>
                      <w:szCs w:val="18"/>
                    </w:rPr>
                  </w:pPr>
                  <w:r>
                    <w:rPr>
                      <w:rFonts w:hint="eastAsia"/>
                      <w:color w:val="auto"/>
                      <w:sz w:val="18"/>
                      <w:szCs w:val="18"/>
                      <w:lang w:val="en-US" w:eastAsia="zh-CN"/>
                    </w:rPr>
                    <w:t>2.85</w:t>
                  </w:r>
                </w:p>
              </w:tc>
              <w:tc>
                <w:tcPr>
                  <w:tcW w:w="287" w:type="pct"/>
                  <w:tcBorders>
                    <w:tl2br w:val="nil"/>
                    <w:tr2bl w:val="nil"/>
                  </w:tcBorders>
                  <w:shd w:val="clear" w:color="auto" w:fill="auto"/>
                  <w:tcMar>
                    <w:top w:w="0" w:type="dxa"/>
                    <w:left w:w="0" w:type="dxa"/>
                    <w:bottom w:w="0" w:type="dxa"/>
                    <w:right w:w="0" w:type="dxa"/>
                  </w:tcMar>
                  <w:vAlign w:val="center"/>
                </w:tcPr>
                <w:p w14:paraId="3A5006EE">
                  <w:pPr>
                    <w:pStyle w:val="15"/>
                    <w:bidi w:val="0"/>
                    <w:rPr>
                      <w:rFonts w:hint="eastAsia"/>
                      <w:color w:val="auto"/>
                      <w:sz w:val="18"/>
                      <w:szCs w:val="18"/>
                    </w:rPr>
                  </w:pPr>
                  <w:r>
                    <w:rPr>
                      <w:rFonts w:hint="eastAsia"/>
                      <w:color w:val="auto"/>
                      <w:sz w:val="18"/>
                      <w:szCs w:val="18"/>
                      <w:lang w:val="en-US" w:eastAsia="zh-CN"/>
                    </w:rPr>
                    <w:t>185%</w:t>
                  </w:r>
                </w:p>
              </w:tc>
              <w:tc>
                <w:tcPr>
                  <w:tcW w:w="367" w:type="pct"/>
                  <w:tcBorders>
                    <w:tl2br w:val="nil"/>
                    <w:tr2bl w:val="nil"/>
                  </w:tcBorders>
                  <w:shd w:val="clear" w:color="auto" w:fill="auto"/>
                  <w:tcMar>
                    <w:top w:w="0" w:type="dxa"/>
                    <w:left w:w="0" w:type="dxa"/>
                    <w:bottom w:w="0" w:type="dxa"/>
                    <w:right w:w="0" w:type="dxa"/>
                  </w:tcMar>
                  <w:vAlign w:val="center"/>
                </w:tcPr>
                <w:p w14:paraId="553C1238">
                  <w:pPr>
                    <w:pStyle w:val="15"/>
                    <w:bidi w:val="0"/>
                    <w:rPr>
                      <w:rFonts w:hint="eastAsia"/>
                      <w:color w:val="auto"/>
                      <w:sz w:val="18"/>
                      <w:szCs w:val="18"/>
                    </w:rPr>
                  </w:pPr>
                  <w:r>
                    <w:rPr>
                      <w:rFonts w:hint="eastAsia"/>
                      <w:color w:val="auto"/>
                      <w:sz w:val="18"/>
                      <w:szCs w:val="18"/>
                      <w:lang w:val="en-US" w:eastAsia="zh-CN"/>
                    </w:rPr>
                    <w:t>不达标</w:t>
                  </w:r>
                </w:p>
              </w:tc>
              <w:tc>
                <w:tcPr>
                  <w:tcW w:w="367" w:type="pct"/>
                  <w:tcBorders>
                    <w:tl2br w:val="nil"/>
                    <w:tr2bl w:val="nil"/>
                  </w:tcBorders>
                  <w:shd w:val="clear" w:color="auto" w:fill="auto"/>
                  <w:tcMar>
                    <w:top w:w="0" w:type="dxa"/>
                    <w:left w:w="0" w:type="dxa"/>
                    <w:bottom w:w="0" w:type="dxa"/>
                    <w:right w:w="0" w:type="dxa"/>
                  </w:tcMar>
                  <w:vAlign w:val="center"/>
                </w:tcPr>
                <w:p w14:paraId="1F307F36">
                  <w:pPr>
                    <w:pStyle w:val="15"/>
                    <w:bidi w:val="0"/>
                    <w:rPr>
                      <w:rFonts w:hint="eastAsia"/>
                      <w:color w:val="auto"/>
                      <w:sz w:val="18"/>
                      <w:szCs w:val="18"/>
                    </w:rPr>
                  </w:pPr>
                  <w:r>
                    <w:rPr>
                      <w:rFonts w:hint="eastAsia"/>
                      <w:color w:val="auto"/>
                      <w:sz w:val="18"/>
                      <w:szCs w:val="18"/>
                      <w:lang w:val="en-US" w:eastAsia="zh-CN"/>
                    </w:rPr>
                    <w:t>743</w:t>
                  </w:r>
                </w:p>
              </w:tc>
              <w:tc>
                <w:tcPr>
                  <w:tcW w:w="247" w:type="pct"/>
                  <w:tcBorders>
                    <w:tl2br w:val="nil"/>
                    <w:tr2bl w:val="nil"/>
                  </w:tcBorders>
                  <w:shd w:val="clear" w:color="auto" w:fill="auto"/>
                  <w:tcMar>
                    <w:top w:w="0" w:type="dxa"/>
                    <w:left w:w="0" w:type="dxa"/>
                    <w:bottom w:w="0" w:type="dxa"/>
                    <w:right w:w="0" w:type="dxa"/>
                  </w:tcMar>
                  <w:vAlign w:val="center"/>
                </w:tcPr>
                <w:p w14:paraId="3362B580">
                  <w:pPr>
                    <w:pStyle w:val="15"/>
                    <w:bidi w:val="0"/>
                    <w:rPr>
                      <w:rFonts w:hint="eastAsia"/>
                      <w:color w:val="auto"/>
                      <w:sz w:val="18"/>
                      <w:szCs w:val="18"/>
                    </w:rPr>
                  </w:pPr>
                  <w:r>
                    <w:rPr>
                      <w:rFonts w:hint="eastAsia"/>
                      <w:color w:val="auto"/>
                      <w:sz w:val="18"/>
                      <w:szCs w:val="18"/>
                      <w:lang w:val="en-US" w:eastAsia="zh-CN"/>
                    </w:rPr>
                    <w:t>2.97</w:t>
                  </w:r>
                </w:p>
              </w:tc>
              <w:tc>
                <w:tcPr>
                  <w:tcW w:w="287" w:type="pct"/>
                  <w:tcBorders>
                    <w:tl2br w:val="nil"/>
                    <w:tr2bl w:val="nil"/>
                  </w:tcBorders>
                  <w:shd w:val="clear" w:color="auto" w:fill="auto"/>
                  <w:tcMar>
                    <w:top w:w="0" w:type="dxa"/>
                    <w:left w:w="0" w:type="dxa"/>
                    <w:bottom w:w="0" w:type="dxa"/>
                    <w:right w:w="0" w:type="dxa"/>
                  </w:tcMar>
                  <w:vAlign w:val="center"/>
                </w:tcPr>
                <w:p w14:paraId="3071028B">
                  <w:pPr>
                    <w:pStyle w:val="15"/>
                    <w:bidi w:val="0"/>
                    <w:rPr>
                      <w:rFonts w:hint="eastAsia"/>
                      <w:color w:val="auto"/>
                      <w:sz w:val="18"/>
                      <w:szCs w:val="18"/>
                    </w:rPr>
                  </w:pPr>
                  <w:r>
                    <w:rPr>
                      <w:rFonts w:hint="eastAsia"/>
                      <w:color w:val="auto"/>
                      <w:sz w:val="18"/>
                      <w:szCs w:val="18"/>
                      <w:lang w:val="en-US" w:eastAsia="zh-CN"/>
                    </w:rPr>
                    <w:t>197%</w:t>
                  </w:r>
                </w:p>
              </w:tc>
              <w:tc>
                <w:tcPr>
                  <w:tcW w:w="367" w:type="pct"/>
                  <w:tcBorders>
                    <w:tl2br w:val="nil"/>
                    <w:tr2bl w:val="nil"/>
                  </w:tcBorders>
                  <w:shd w:val="clear" w:color="auto" w:fill="auto"/>
                  <w:tcMar>
                    <w:top w:w="0" w:type="dxa"/>
                    <w:left w:w="0" w:type="dxa"/>
                    <w:bottom w:w="0" w:type="dxa"/>
                    <w:right w:w="0" w:type="dxa"/>
                  </w:tcMar>
                  <w:vAlign w:val="center"/>
                </w:tcPr>
                <w:p w14:paraId="3B295675">
                  <w:pPr>
                    <w:pStyle w:val="15"/>
                    <w:bidi w:val="0"/>
                    <w:rPr>
                      <w:rFonts w:hint="eastAsia"/>
                      <w:color w:val="auto"/>
                      <w:sz w:val="18"/>
                      <w:szCs w:val="18"/>
                    </w:rPr>
                  </w:pPr>
                  <w:r>
                    <w:rPr>
                      <w:rFonts w:hint="eastAsia"/>
                      <w:color w:val="auto"/>
                      <w:sz w:val="18"/>
                      <w:szCs w:val="18"/>
                      <w:lang w:val="en-US" w:eastAsia="zh-CN"/>
                    </w:rPr>
                    <w:t>不达标</w:t>
                  </w:r>
                </w:p>
              </w:tc>
              <w:tc>
                <w:tcPr>
                  <w:tcW w:w="394" w:type="pct"/>
                  <w:tcBorders>
                    <w:tl2br w:val="nil"/>
                    <w:tr2bl w:val="nil"/>
                  </w:tcBorders>
                  <w:shd w:val="clear" w:color="auto" w:fill="auto"/>
                  <w:tcMar>
                    <w:top w:w="0" w:type="dxa"/>
                    <w:left w:w="0" w:type="dxa"/>
                    <w:bottom w:w="0" w:type="dxa"/>
                    <w:right w:w="0" w:type="dxa"/>
                  </w:tcMar>
                  <w:vAlign w:val="center"/>
                </w:tcPr>
                <w:p w14:paraId="57332F3B">
                  <w:pPr>
                    <w:pStyle w:val="15"/>
                    <w:bidi w:val="0"/>
                    <w:rPr>
                      <w:rFonts w:hint="eastAsia"/>
                      <w:color w:val="auto"/>
                      <w:sz w:val="18"/>
                      <w:szCs w:val="18"/>
                    </w:rPr>
                  </w:pPr>
                  <w:r>
                    <w:rPr>
                      <w:rFonts w:hint="eastAsia"/>
                      <w:color w:val="auto"/>
                      <w:sz w:val="18"/>
                      <w:szCs w:val="18"/>
                      <w:lang w:val="en-US" w:eastAsia="zh-CN"/>
                    </w:rPr>
                    <w:t>10</w:t>
                  </w:r>
                </w:p>
              </w:tc>
            </w:tr>
            <w:tr w14:paraId="66A118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4A0051DA">
                  <w:pPr>
                    <w:pStyle w:val="15"/>
                    <w:bidi w:val="0"/>
                    <w:rPr>
                      <w:rFonts w:hint="eastAsia"/>
                      <w:color w:val="auto"/>
                      <w:sz w:val="18"/>
                      <w:szCs w:val="18"/>
                    </w:rPr>
                  </w:pPr>
                  <w:r>
                    <w:rPr>
                      <w:rFonts w:hint="eastAsia"/>
                      <w:color w:val="auto"/>
                      <w:sz w:val="18"/>
                      <w:szCs w:val="18"/>
                      <w:lang w:val="en-US" w:eastAsia="zh-CN"/>
                    </w:rPr>
                    <w:t>19</w:t>
                  </w:r>
                </w:p>
              </w:tc>
              <w:tc>
                <w:tcPr>
                  <w:tcW w:w="828" w:type="pct"/>
                  <w:tcBorders>
                    <w:tl2br w:val="nil"/>
                    <w:tr2bl w:val="nil"/>
                  </w:tcBorders>
                  <w:shd w:val="clear" w:color="auto" w:fill="auto"/>
                  <w:tcMar>
                    <w:top w:w="0" w:type="dxa"/>
                    <w:left w:w="0" w:type="dxa"/>
                    <w:bottom w:w="0" w:type="dxa"/>
                    <w:right w:w="0" w:type="dxa"/>
                  </w:tcMar>
                  <w:vAlign w:val="center"/>
                </w:tcPr>
                <w:p w14:paraId="7A1BEBCC">
                  <w:pPr>
                    <w:pStyle w:val="15"/>
                    <w:bidi w:val="0"/>
                    <w:rPr>
                      <w:rFonts w:hint="eastAsia"/>
                      <w:color w:val="auto"/>
                      <w:sz w:val="18"/>
                      <w:szCs w:val="18"/>
                    </w:rPr>
                  </w:pPr>
                  <w:r>
                    <w:rPr>
                      <w:rFonts w:hint="eastAsia"/>
                      <w:color w:val="auto"/>
                      <w:sz w:val="18"/>
                      <w:szCs w:val="18"/>
                      <w:lang w:val="en-US" w:eastAsia="zh-CN"/>
                    </w:rPr>
                    <w:t>碳酸根</w:t>
                  </w:r>
                </w:p>
              </w:tc>
              <w:tc>
                <w:tcPr>
                  <w:tcW w:w="633" w:type="pct"/>
                  <w:tcBorders>
                    <w:tl2br w:val="nil"/>
                    <w:tr2bl w:val="nil"/>
                  </w:tcBorders>
                  <w:shd w:val="clear" w:color="auto" w:fill="auto"/>
                  <w:tcMar>
                    <w:top w:w="0" w:type="dxa"/>
                    <w:left w:w="0" w:type="dxa"/>
                    <w:bottom w:w="0" w:type="dxa"/>
                    <w:right w:w="0" w:type="dxa"/>
                  </w:tcMar>
                  <w:vAlign w:val="center"/>
                </w:tcPr>
                <w:p w14:paraId="42A33490">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77AEBB69">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71741842">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2CD3661">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B8E8CCC">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617A3115">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42C51DA8">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41095C87">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250C5D2">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0A424DD8">
                  <w:pPr>
                    <w:pStyle w:val="15"/>
                    <w:bidi w:val="0"/>
                    <w:rPr>
                      <w:rFonts w:hint="eastAsia"/>
                      <w:color w:val="auto"/>
                      <w:sz w:val="18"/>
                      <w:szCs w:val="18"/>
                    </w:rPr>
                  </w:pPr>
                  <w:r>
                    <w:rPr>
                      <w:rFonts w:hint="eastAsia"/>
                      <w:color w:val="auto"/>
                      <w:sz w:val="18"/>
                      <w:szCs w:val="18"/>
                      <w:lang w:val="en-US" w:eastAsia="zh-CN"/>
                    </w:rPr>
                    <w:t>/</w:t>
                  </w:r>
                </w:p>
              </w:tc>
              <w:tc>
                <w:tcPr>
                  <w:tcW w:w="394" w:type="pct"/>
                  <w:tcBorders>
                    <w:tl2br w:val="nil"/>
                    <w:tr2bl w:val="nil"/>
                  </w:tcBorders>
                  <w:shd w:val="clear" w:color="auto" w:fill="auto"/>
                  <w:tcMar>
                    <w:top w:w="0" w:type="dxa"/>
                    <w:left w:w="0" w:type="dxa"/>
                    <w:bottom w:w="0" w:type="dxa"/>
                    <w:right w:w="0" w:type="dxa"/>
                  </w:tcMar>
                  <w:vAlign w:val="center"/>
                </w:tcPr>
                <w:p w14:paraId="1A4B1EFD">
                  <w:pPr>
                    <w:pStyle w:val="15"/>
                    <w:bidi w:val="0"/>
                    <w:rPr>
                      <w:rFonts w:hint="eastAsia"/>
                      <w:color w:val="auto"/>
                      <w:sz w:val="18"/>
                      <w:szCs w:val="18"/>
                    </w:rPr>
                  </w:pPr>
                  <w:r>
                    <w:rPr>
                      <w:rFonts w:hint="eastAsia"/>
                      <w:color w:val="auto"/>
                      <w:sz w:val="18"/>
                      <w:szCs w:val="18"/>
                      <w:lang w:val="en-US" w:eastAsia="zh-CN"/>
                    </w:rPr>
                    <w:t>5</w:t>
                  </w:r>
                </w:p>
              </w:tc>
            </w:tr>
            <w:tr w14:paraId="27022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60523635">
                  <w:pPr>
                    <w:pStyle w:val="15"/>
                    <w:bidi w:val="0"/>
                    <w:rPr>
                      <w:rFonts w:hint="eastAsia"/>
                      <w:color w:val="auto"/>
                      <w:sz w:val="18"/>
                      <w:szCs w:val="18"/>
                    </w:rPr>
                  </w:pPr>
                  <w:r>
                    <w:rPr>
                      <w:rFonts w:hint="eastAsia"/>
                      <w:color w:val="auto"/>
                      <w:sz w:val="18"/>
                      <w:szCs w:val="18"/>
                      <w:lang w:val="en-US" w:eastAsia="zh-CN"/>
                    </w:rPr>
                    <w:t>20</w:t>
                  </w:r>
                </w:p>
              </w:tc>
              <w:tc>
                <w:tcPr>
                  <w:tcW w:w="828" w:type="pct"/>
                  <w:tcBorders>
                    <w:tl2br w:val="nil"/>
                    <w:tr2bl w:val="nil"/>
                  </w:tcBorders>
                  <w:shd w:val="clear" w:color="auto" w:fill="auto"/>
                  <w:tcMar>
                    <w:top w:w="0" w:type="dxa"/>
                    <w:left w:w="0" w:type="dxa"/>
                    <w:bottom w:w="0" w:type="dxa"/>
                    <w:right w:w="0" w:type="dxa"/>
                  </w:tcMar>
                  <w:vAlign w:val="center"/>
                </w:tcPr>
                <w:p w14:paraId="01F5C0FB">
                  <w:pPr>
                    <w:pStyle w:val="15"/>
                    <w:bidi w:val="0"/>
                    <w:rPr>
                      <w:rFonts w:hint="eastAsia"/>
                      <w:color w:val="auto"/>
                      <w:sz w:val="18"/>
                      <w:szCs w:val="18"/>
                    </w:rPr>
                  </w:pPr>
                  <w:r>
                    <w:rPr>
                      <w:rFonts w:hint="eastAsia"/>
                      <w:color w:val="auto"/>
                      <w:sz w:val="18"/>
                      <w:szCs w:val="18"/>
                      <w:lang w:val="en-US" w:eastAsia="zh-CN"/>
                    </w:rPr>
                    <w:t>重碳酸根</w:t>
                  </w:r>
                </w:p>
              </w:tc>
              <w:tc>
                <w:tcPr>
                  <w:tcW w:w="633" w:type="pct"/>
                  <w:tcBorders>
                    <w:tl2br w:val="nil"/>
                    <w:tr2bl w:val="nil"/>
                  </w:tcBorders>
                  <w:shd w:val="clear" w:color="auto" w:fill="auto"/>
                  <w:tcMar>
                    <w:top w:w="0" w:type="dxa"/>
                    <w:left w:w="0" w:type="dxa"/>
                    <w:bottom w:w="0" w:type="dxa"/>
                    <w:right w:w="0" w:type="dxa"/>
                  </w:tcMar>
                  <w:vAlign w:val="center"/>
                </w:tcPr>
                <w:p w14:paraId="6AD48846">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11B47876">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5FDC86C4">
                  <w:pPr>
                    <w:pStyle w:val="15"/>
                    <w:bidi w:val="0"/>
                    <w:rPr>
                      <w:rFonts w:hint="eastAsia"/>
                      <w:color w:val="auto"/>
                      <w:sz w:val="18"/>
                      <w:szCs w:val="18"/>
                    </w:rPr>
                  </w:pPr>
                  <w:r>
                    <w:rPr>
                      <w:rFonts w:hint="eastAsia"/>
                      <w:color w:val="auto"/>
                      <w:sz w:val="18"/>
                      <w:szCs w:val="18"/>
                      <w:lang w:val="en-US" w:eastAsia="zh-CN"/>
                    </w:rPr>
                    <w:t>91</w:t>
                  </w:r>
                </w:p>
              </w:tc>
              <w:tc>
                <w:tcPr>
                  <w:tcW w:w="247" w:type="pct"/>
                  <w:tcBorders>
                    <w:tl2br w:val="nil"/>
                    <w:tr2bl w:val="nil"/>
                  </w:tcBorders>
                  <w:shd w:val="clear" w:color="auto" w:fill="auto"/>
                  <w:tcMar>
                    <w:top w:w="0" w:type="dxa"/>
                    <w:left w:w="0" w:type="dxa"/>
                    <w:bottom w:w="0" w:type="dxa"/>
                    <w:right w:w="0" w:type="dxa"/>
                  </w:tcMar>
                  <w:vAlign w:val="center"/>
                </w:tcPr>
                <w:p w14:paraId="0534F7D2">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7D798703">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161D6B07">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45DB7189">
                  <w:pPr>
                    <w:pStyle w:val="15"/>
                    <w:bidi w:val="0"/>
                    <w:rPr>
                      <w:rFonts w:hint="eastAsia"/>
                      <w:color w:val="auto"/>
                      <w:sz w:val="18"/>
                      <w:szCs w:val="18"/>
                    </w:rPr>
                  </w:pPr>
                  <w:r>
                    <w:rPr>
                      <w:rFonts w:hint="eastAsia"/>
                      <w:color w:val="auto"/>
                      <w:sz w:val="18"/>
                      <w:szCs w:val="18"/>
                      <w:lang w:val="en-US" w:eastAsia="zh-CN"/>
                    </w:rPr>
                    <w:t>78.4</w:t>
                  </w:r>
                </w:p>
              </w:tc>
              <w:tc>
                <w:tcPr>
                  <w:tcW w:w="247" w:type="pct"/>
                  <w:tcBorders>
                    <w:tl2br w:val="nil"/>
                    <w:tr2bl w:val="nil"/>
                  </w:tcBorders>
                  <w:shd w:val="clear" w:color="auto" w:fill="auto"/>
                  <w:tcMar>
                    <w:top w:w="0" w:type="dxa"/>
                    <w:left w:w="0" w:type="dxa"/>
                    <w:bottom w:w="0" w:type="dxa"/>
                    <w:right w:w="0" w:type="dxa"/>
                  </w:tcMar>
                  <w:vAlign w:val="center"/>
                </w:tcPr>
                <w:p w14:paraId="5E6BD9DF">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7A566DEE">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06E3D8BB">
                  <w:pPr>
                    <w:pStyle w:val="15"/>
                    <w:bidi w:val="0"/>
                    <w:rPr>
                      <w:rFonts w:hint="eastAsia"/>
                      <w:color w:val="auto"/>
                      <w:sz w:val="18"/>
                      <w:szCs w:val="18"/>
                    </w:rPr>
                  </w:pPr>
                  <w:r>
                    <w:rPr>
                      <w:rFonts w:hint="eastAsia"/>
                      <w:color w:val="auto"/>
                      <w:sz w:val="18"/>
                      <w:szCs w:val="18"/>
                      <w:lang w:val="en-US" w:eastAsia="zh-CN"/>
                    </w:rPr>
                    <w:t>/</w:t>
                  </w:r>
                </w:p>
              </w:tc>
              <w:tc>
                <w:tcPr>
                  <w:tcW w:w="394" w:type="pct"/>
                  <w:tcBorders>
                    <w:tl2br w:val="nil"/>
                    <w:tr2bl w:val="nil"/>
                  </w:tcBorders>
                  <w:shd w:val="clear" w:color="auto" w:fill="auto"/>
                  <w:tcMar>
                    <w:top w:w="0" w:type="dxa"/>
                    <w:left w:w="0" w:type="dxa"/>
                    <w:bottom w:w="0" w:type="dxa"/>
                    <w:right w:w="0" w:type="dxa"/>
                  </w:tcMar>
                  <w:vAlign w:val="center"/>
                </w:tcPr>
                <w:p w14:paraId="02E208C7">
                  <w:pPr>
                    <w:pStyle w:val="15"/>
                    <w:bidi w:val="0"/>
                    <w:rPr>
                      <w:rFonts w:hint="eastAsia"/>
                      <w:color w:val="auto"/>
                      <w:sz w:val="18"/>
                      <w:szCs w:val="18"/>
                    </w:rPr>
                  </w:pPr>
                  <w:r>
                    <w:rPr>
                      <w:rFonts w:hint="eastAsia"/>
                      <w:color w:val="auto"/>
                      <w:sz w:val="18"/>
                      <w:szCs w:val="18"/>
                      <w:lang w:val="en-US" w:eastAsia="zh-CN"/>
                    </w:rPr>
                    <w:t>5</w:t>
                  </w:r>
                </w:p>
              </w:tc>
            </w:tr>
            <w:tr w14:paraId="66629D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03F19D14">
                  <w:pPr>
                    <w:pStyle w:val="15"/>
                    <w:bidi w:val="0"/>
                    <w:rPr>
                      <w:rFonts w:hint="eastAsia"/>
                      <w:color w:val="auto"/>
                      <w:sz w:val="18"/>
                      <w:szCs w:val="18"/>
                    </w:rPr>
                  </w:pPr>
                  <w:r>
                    <w:rPr>
                      <w:rFonts w:hint="eastAsia"/>
                      <w:color w:val="auto"/>
                      <w:sz w:val="18"/>
                      <w:szCs w:val="18"/>
                      <w:lang w:val="en-US" w:eastAsia="zh-CN"/>
                    </w:rPr>
                    <w:t>21</w:t>
                  </w:r>
                </w:p>
              </w:tc>
              <w:tc>
                <w:tcPr>
                  <w:tcW w:w="828" w:type="pct"/>
                  <w:tcBorders>
                    <w:tl2br w:val="nil"/>
                    <w:tr2bl w:val="nil"/>
                  </w:tcBorders>
                  <w:shd w:val="clear" w:color="auto" w:fill="auto"/>
                  <w:tcMar>
                    <w:top w:w="0" w:type="dxa"/>
                    <w:left w:w="0" w:type="dxa"/>
                    <w:bottom w:w="0" w:type="dxa"/>
                    <w:right w:w="0" w:type="dxa"/>
                  </w:tcMar>
                  <w:vAlign w:val="center"/>
                </w:tcPr>
                <w:p w14:paraId="62C01128">
                  <w:pPr>
                    <w:pStyle w:val="15"/>
                    <w:bidi w:val="0"/>
                    <w:rPr>
                      <w:rFonts w:hint="eastAsia"/>
                      <w:color w:val="auto"/>
                      <w:sz w:val="18"/>
                      <w:szCs w:val="18"/>
                    </w:rPr>
                  </w:pPr>
                  <w:r>
                    <w:rPr>
                      <w:rFonts w:hint="eastAsia"/>
                      <w:color w:val="auto"/>
                      <w:sz w:val="18"/>
                      <w:szCs w:val="18"/>
                      <w:lang w:val="en-US" w:eastAsia="zh-CN"/>
                    </w:rPr>
                    <w:t>石油类</w:t>
                  </w:r>
                </w:p>
              </w:tc>
              <w:tc>
                <w:tcPr>
                  <w:tcW w:w="633" w:type="pct"/>
                  <w:tcBorders>
                    <w:tl2br w:val="nil"/>
                    <w:tr2bl w:val="nil"/>
                  </w:tcBorders>
                  <w:shd w:val="clear" w:color="auto" w:fill="auto"/>
                  <w:tcMar>
                    <w:top w:w="0" w:type="dxa"/>
                    <w:left w:w="0" w:type="dxa"/>
                    <w:bottom w:w="0" w:type="dxa"/>
                    <w:right w:w="0" w:type="dxa"/>
                  </w:tcMar>
                  <w:vAlign w:val="center"/>
                </w:tcPr>
                <w:p w14:paraId="57F16904">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728C4E22">
                  <w:pPr>
                    <w:pStyle w:val="15"/>
                    <w:bidi w:val="0"/>
                    <w:rPr>
                      <w:rFonts w:hint="eastAsia"/>
                      <w:color w:val="auto"/>
                      <w:sz w:val="18"/>
                      <w:szCs w:val="18"/>
                    </w:rPr>
                  </w:pPr>
                  <w:r>
                    <w:rPr>
                      <w:rFonts w:hint="eastAsia"/>
                      <w:color w:val="auto"/>
                      <w:sz w:val="18"/>
                      <w:szCs w:val="18"/>
                      <w:lang w:val="en-US" w:eastAsia="zh-CN"/>
                    </w:rPr>
                    <w:t>0.05</w:t>
                  </w:r>
                </w:p>
              </w:tc>
              <w:tc>
                <w:tcPr>
                  <w:tcW w:w="367" w:type="pct"/>
                  <w:tcBorders>
                    <w:tl2br w:val="nil"/>
                    <w:tr2bl w:val="nil"/>
                  </w:tcBorders>
                  <w:shd w:val="clear" w:color="auto" w:fill="auto"/>
                  <w:tcMar>
                    <w:top w:w="0" w:type="dxa"/>
                    <w:left w:w="0" w:type="dxa"/>
                    <w:bottom w:w="0" w:type="dxa"/>
                    <w:right w:w="0" w:type="dxa"/>
                  </w:tcMar>
                  <w:vAlign w:val="center"/>
                </w:tcPr>
                <w:p w14:paraId="551AF565">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BF6EC8B">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7C51F2F">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9D71358">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600514C4">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608C98B5">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16724811">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FE8CE7E">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21F3B019">
                  <w:pPr>
                    <w:pStyle w:val="15"/>
                    <w:bidi w:val="0"/>
                    <w:rPr>
                      <w:rFonts w:hint="eastAsia"/>
                      <w:color w:val="auto"/>
                      <w:sz w:val="18"/>
                      <w:szCs w:val="18"/>
                    </w:rPr>
                  </w:pPr>
                  <w:r>
                    <w:rPr>
                      <w:rFonts w:hint="eastAsia"/>
                      <w:color w:val="auto"/>
                      <w:sz w:val="18"/>
                      <w:szCs w:val="18"/>
                      <w:lang w:val="en-US" w:eastAsia="zh-CN"/>
                    </w:rPr>
                    <w:t>0.05</w:t>
                  </w:r>
                </w:p>
              </w:tc>
            </w:tr>
            <w:tr w14:paraId="20654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50DAE760">
                  <w:pPr>
                    <w:pStyle w:val="15"/>
                    <w:bidi w:val="0"/>
                    <w:rPr>
                      <w:rFonts w:hint="eastAsia"/>
                      <w:color w:val="auto"/>
                      <w:sz w:val="18"/>
                      <w:szCs w:val="18"/>
                    </w:rPr>
                  </w:pPr>
                  <w:r>
                    <w:rPr>
                      <w:rFonts w:hint="eastAsia"/>
                      <w:color w:val="auto"/>
                      <w:sz w:val="18"/>
                      <w:szCs w:val="18"/>
                      <w:lang w:val="en-US" w:eastAsia="zh-CN"/>
                    </w:rPr>
                    <w:t>22</w:t>
                  </w:r>
                </w:p>
              </w:tc>
              <w:tc>
                <w:tcPr>
                  <w:tcW w:w="828" w:type="pct"/>
                  <w:tcBorders>
                    <w:tl2br w:val="nil"/>
                    <w:tr2bl w:val="nil"/>
                  </w:tcBorders>
                  <w:shd w:val="clear" w:color="auto" w:fill="auto"/>
                  <w:tcMar>
                    <w:top w:w="0" w:type="dxa"/>
                    <w:left w:w="0" w:type="dxa"/>
                    <w:bottom w:w="0" w:type="dxa"/>
                    <w:right w:w="0" w:type="dxa"/>
                  </w:tcMar>
                  <w:vAlign w:val="center"/>
                </w:tcPr>
                <w:p w14:paraId="57697420">
                  <w:pPr>
                    <w:pStyle w:val="15"/>
                    <w:bidi w:val="0"/>
                    <w:rPr>
                      <w:rFonts w:hint="eastAsia"/>
                      <w:color w:val="auto"/>
                      <w:sz w:val="18"/>
                      <w:szCs w:val="18"/>
                    </w:rPr>
                  </w:pPr>
                  <w:r>
                    <w:rPr>
                      <w:rFonts w:hint="eastAsia"/>
                      <w:color w:val="auto"/>
                      <w:sz w:val="18"/>
                      <w:szCs w:val="18"/>
                      <w:lang w:val="en-US" w:eastAsia="zh-CN"/>
                    </w:rPr>
                    <w:t>汞</w:t>
                  </w:r>
                </w:p>
              </w:tc>
              <w:tc>
                <w:tcPr>
                  <w:tcW w:w="633" w:type="pct"/>
                  <w:tcBorders>
                    <w:tl2br w:val="nil"/>
                    <w:tr2bl w:val="nil"/>
                  </w:tcBorders>
                  <w:shd w:val="clear" w:color="auto" w:fill="auto"/>
                  <w:tcMar>
                    <w:top w:w="0" w:type="dxa"/>
                    <w:left w:w="0" w:type="dxa"/>
                    <w:bottom w:w="0" w:type="dxa"/>
                    <w:right w:w="0" w:type="dxa"/>
                  </w:tcMar>
                  <w:vAlign w:val="center"/>
                </w:tcPr>
                <w:p w14:paraId="0A0EB7E9">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16A0C94A">
                  <w:pPr>
                    <w:pStyle w:val="15"/>
                    <w:bidi w:val="0"/>
                    <w:rPr>
                      <w:rFonts w:hint="eastAsia"/>
                      <w:color w:val="auto"/>
                      <w:sz w:val="18"/>
                      <w:szCs w:val="18"/>
                    </w:rPr>
                  </w:pPr>
                  <w:r>
                    <w:rPr>
                      <w:rFonts w:hint="eastAsia"/>
                      <w:color w:val="auto"/>
                      <w:sz w:val="18"/>
                      <w:szCs w:val="18"/>
                      <w:lang w:val="en-US" w:eastAsia="zh-CN"/>
                    </w:rPr>
                    <w:t>0.001</w:t>
                  </w:r>
                </w:p>
              </w:tc>
              <w:tc>
                <w:tcPr>
                  <w:tcW w:w="367" w:type="pct"/>
                  <w:tcBorders>
                    <w:tl2br w:val="nil"/>
                    <w:tr2bl w:val="nil"/>
                  </w:tcBorders>
                  <w:shd w:val="clear" w:color="auto" w:fill="auto"/>
                  <w:tcMar>
                    <w:top w:w="0" w:type="dxa"/>
                    <w:left w:w="0" w:type="dxa"/>
                    <w:bottom w:w="0" w:type="dxa"/>
                    <w:right w:w="0" w:type="dxa"/>
                  </w:tcMar>
                  <w:vAlign w:val="center"/>
                </w:tcPr>
                <w:p w14:paraId="578D2430">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6E5BCD2C">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C35846B">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EF671D9">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1CA99854">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463645AC">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7D3DB0F">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106A8F27">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69488513">
                  <w:pPr>
                    <w:pStyle w:val="15"/>
                    <w:bidi w:val="0"/>
                    <w:rPr>
                      <w:rFonts w:hint="eastAsia"/>
                      <w:color w:val="auto"/>
                      <w:sz w:val="18"/>
                      <w:szCs w:val="18"/>
                    </w:rPr>
                  </w:pPr>
                  <w:r>
                    <w:rPr>
                      <w:rFonts w:hint="eastAsia"/>
                      <w:color w:val="auto"/>
                      <w:sz w:val="18"/>
                      <w:szCs w:val="18"/>
                      <w:lang w:val="en-US" w:eastAsia="zh-CN"/>
                    </w:rPr>
                    <w:t>0.00004</w:t>
                  </w:r>
                </w:p>
              </w:tc>
            </w:tr>
            <w:tr w14:paraId="567995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3271BE8D">
                  <w:pPr>
                    <w:pStyle w:val="15"/>
                    <w:bidi w:val="0"/>
                    <w:rPr>
                      <w:rFonts w:hint="eastAsia"/>
                      <w:color w:val="auto"/>
                      <w:sz w:val="18"/>
                      <w:szCs w:val="18"/>
                    </w:rPr>
                  </w:pPr>
                  <w:r>
                    <w:rPr>
                      <w:rFonts w:hint="eastAsia"/>
                      <w:color w:val="auto"/>
                      <w:sz w:val="18"/>
                      <w:szCs w:val="18"/>
                      <w:lang w:val="en-US" w:eastAsia="zh-CN"/>
                    </w:rPr>
                    <w:t>23</w:t>
                  </w:r>
                </w:p>
              </w:tc>
              <w:tc>
                <w:tcPr>
                  <w:tcW w:w="828" w:type="pct"/>
                  <w:tcBorders>
                    <w:tl2br w:val="nil"/>
                    <w:tr2bl w:val="nil"/>
                  </w:tcBorders>
                  <w:shd w:val="clear" w:color="auto" w:fill="auto"/>
                  <w:tcMar>
                    <w:top w:w="0" w:type="dxa"/>
                    <w:left w:w="0" w:type="dxa"/>
                    <w:bottom w:w="0" w:type="dxa"/>
                    <w:right w:w="0" w:type="dxa"/>
                  </w:tcMar>
                  <w:vAlign w:val="center"/>
                </w:tcPr>
                <w:p w14:paraId="6D003655">
                  <w:pPr>
                    <w:pStyle w:val="15"/>
                    <w:bidi w:val="0"/>
                    <w:rPr>
                      <w:rFonts w:hint="eastAsia"/>
                      <w:color w:val="auto"/>
                      <w:sz w:val="18"/>
                      <w:szCs w:val="18"/>
                    </w:rPr>
                  </w:pPr>
                  <w:r>
                    <w:rPr>
                      <w:rFonts w:hint="eastAsia"/>
                      <w:color w:val="auto"/>
                      <w:sz w:val="18"/>
                      <w:szCs w:val="18"/>
                      <w:lang w:val="en-US" w:eastAsia="zh-CN"/>
                    </w:rPr>
                    <w:t>砷</w:t>
                  </w:r>
                </w:p>
              </w:tc>
              <w:tc>
                <w:tcPr>
                  <w:tcW w:w="633" w:type="pct"/>
                  <w:tcBorders>
                    <w:tl2br w:val="nil"/>
                    <w:tr2bl w:val="nil"/>
                  </w:tcBorders>
                  <w:shd w:val="clear" w:color="auto" w:fill="auto"/>
                  <w:tcMar>
                    <w:top w:w="0" w:type="dxa"/>
                    <w:left w:w="0" w:type="dxa"/>
                    <w:bottom w:w="0" w:type="dxa"/>
                    <w:right w:w="0" w:type="dxa"/>
                  </w:tcMar>
                  <w:vAlign w:val="center"/>
                </w:tcPr>
                <w:p w14:paraId="3A699460">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34314B7C">
                  <w:pPr>
                    <w:pStyle w:val="15"/>
                    <w:bidi w:val="0"/>
                    <w:rPr>
                      <w:rFonts w:hint="eastAsia"/>
                      <w:color w:val="auto"/>
                      <w:sz w:val="18"/>
                      <w:szCs w:val="18"/>
                    </w:rPr>
                  </w:pPr>
                  <w:r>
                    <w:rPr>
                      <w:rFonts w:hint="eastAsia"/>
                      <w:color w:val="auto"/>
                      <w:sz w:val="18"/>
                      <w:szCs w:val="18"/>
                      <w:lang w:val="en-US" w:eastAsia="zh-CN"/>
                    </w:rPr>
                    <w:t>0.01</w:t>
                  </w:r>
                </w:p>
              </w:tc>
              <w:tc>
                <w:tcPr>
                  <w:tcW w:w="367" w:type="pct"/>
                  <w:tcBorders>
                    <w:tl2br w:val="nil"/>
                    <w:tr2bl w:val="nil"/>
                  </w:tcBorders>
                  <w:shd w:val="clear" w:color="auto" w:fill="auto"/>
                  <w:tcMar>
                    <w:top w:w="0" w:type="dxa"/>
                    <w:left w:w="0" w:type="dxa"/>
                    <w:bottom w:w="0" w:type="dxa"/>
                    <w:right w:w="0" w:type="dxa"/>
                  </w:tcMar>
                  <w:vAlign w:val="center"/>
                </w:tcPr>
                <w:p w14:paraId="26581486">
                  <w:pPr>
                    <w:pStyle w:val="15"/>
                    <w:bidi w:val="0"/>
                    <w:rPr>
                      <w:rFonts w:hint="eastAsia"/>
                      <w:color w:val="auto"/>
                      <w:sz w:val="18"/>
                      <w:szCs w:val="18"/>
                    </w:rPr>
                  </w:pPr>
                  <w:r>
                    <w:rPr>
                      <w:rFonts w:hint="eastAsia"/>
                      <w:color w:val="auto"/>
                      <w:sz w:val="18"/>
                      <w:szCs w:val="18"/>
                      <w:lang w:val="en-US" w:eastAsia="zh-CN"/>
                    </w:rPr>
                    <w:t>0.0004</w:t>
                  </w:r>
                </w:p>
              </w:tc>
              <w:tc>
                <w:tcPr>
                  <w:tcW w:w="247" w:type="pct"/>
                  <w:tcBorders>
                    <w:tl2br w:val="nil"/>
                    <w:tr2bl w:val="nil"/>
                  </w:tcBorders>
                  <w:shd w:val="clear" w:color="auto" w:fill="auto"/>
                  <w:tcMar>
                    <w:top w:w="0" w:type="dxa"/>
                    <w:left w:w="0" w:type="dxa"/>
                    <w:bottom w:w="0" w:type="dxa"/>
                    <w:right w:w="0" w:type="dxa"/>
                  </w:tcMar>
                  <w:vAlign w:val="center"/>
                </w:tcPr>
                <w:p w14:paraId="22985D36">
                  <w:pPr>
                    <w:pStyle w:val="15"/>
                    <w:bidi w:val="0"/>
                    <w:rPr>
                      <w:rFonts w:hint="eastAsia"/>
                      <w:color w:val="auto"/>
                      <w:sz w:val="18"/>
                      <w:szCs w:val="18"/>
                    </w:rPr>
                  </w:pPr>
                  <w:r>
                    <w:rPr>
                      <w:rFonts w:hint="eastAsia"/>
                      <w:color w:val="auto"/>
                      <w:sz w:val="18"/>
                      <w:szCs w:val="18"/>
                      <w:lang w:val="en-US" w:eastAsia="zh-CN"/>
                    </w:rPr>
                    <w:t>0.04</w:t>
                  </w:r>
                </w:p>
              </w:tc>
              <w:tc>
                <w:tcPr>
                  <w:tcW w:w="287" w:type="pct"/>
                  <w:tcBorders>
                    <w:tl2br w:val="nil"/>
                    <w:tr2bl w:val="nil"/>
                  </w:tcBorders>
                  <w:shd w:val="clear" w:color="auto" w:fill="auto"/>
                  <w:tcMar>
                    <w:top w:w="0" w:type="dxa"/>
                    <w:left w:w="0" w:type="dxa"/>
                    <w:bottom w:w="0" w:type="dxa"/>
                    <w:right w:w="0" w:type="dxa"/>
                  </w:tcMar>
                  <w:vAlign w:val="center"/>
                </w:tcPr>
                <w:p w14:paraId="2086A147">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BF96AF1">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0EAB3D4E">
                  <w:pPr>
                    <w:pStyle w:val="15"/>
                    <w:bidi w:val="0"/>
                    <w:rPr>
                      <w:rFonts w:hint="eastAsia"/>
                      <w:color w:val="auto"/>
                      <w:sz w:val="18"/>
                      <w:szCs w:val="18"/>
                    </w:rPr>
                  </w:pPr>
                  <w:r>
                    <w:rPr>
                      <w:rFonts w:hint="eastAsia"/>
                      <w:color w:val="auto"/>
                      <w:sz w:val="18"/>
                      <w:szCs w:val="18"/>
                      <w:lang w:val="en-US" w:eastAsia="zh-CN"/>
                    </w:rPr>
                    <w:t>0.0004</w:t>
                  </w:r>
                </w:p>
              </w:tc>
              <w:tc>
                <w:tcPr>
                  <w:tcW w:w="247" w:type="pct"/>
                  <w:tcBorders>
                    <w:tl2br w:val="nil"/>
                    <w:tr2bl w:val="nil"/>
                  </w:tcBorders>
                  <w:shd w:val="clear" w:color="auto" w:fill="auto"/>
                  <w:tcMar>
                    <w:top w:w="0" w:type="dxa"/>
                    <w:left w:w="0" w:type="dxa"/>
                    <w:bottom w:w="0" w:type="dxa"/>
                    <w:right w:w="0" w:type="dxa"/>
                  </w:tcMar>
                  <w:vAlign w:val="center"/>
                </w:tcPr>
                <w:p w14:paraId="182C5C6D">
                  <w:pPr>
                    <w:pStyle w:val="15"/>
                    <w:bidi w:val="0"/>
                    <w:rPr>
                      <w:rFonts w:hint="eastAsia"/>
                      <w:color w:val="auto"/>
                      <w:sz w:val="18"/>
                      <w:szCs w:val="18"/>
                    </w:rPr>
                  </w:pPr>
                  <w:r>
                    <w:rPr>
                      <w:rFonts w:hint="eastAsia"/>
                      <w:color w:val="auto"/>
                      <w:sz w:val="18"/>
                      <w:szCs w:val="18"/>
                      <w:lang w:val="en-US" w:eastAsia="zh-CN"/>
                    </w:rPr>
                    <w:t>0.04</w:t>
                  </w:r>
                </w:p>
              </w:tc>
              <w:tc>
                <w:tcPr>
                  <w:tcW w:w="287" w:type="pct"/>
                  <w:tcBorders>
                    <w:tl2br w:val="nil"/>
                    <w:tr2bl w:val="nil"/>
                  </w:tcBorders>
                  <w:shd w:val="clear" w:color="auto" w:fill="auto"/>
                  <w:tcMar>
                    <w:top w:w="0" w:type="dxa"/>
                    <w:left w:w="0" w:type="dxa"/>
                    <w:bottom w:w="0" w:type="dxa"/>
                    <w:right w:w="0" w:type="dxa"/>
                  </w:tcMar>
                  <w:vAlign w:val="center"/>
                </w:tcPr>
                <w:p w14:paraId="56454BB6">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0AF7CCA">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21435FDF">
                  <w:pPr>
                    <w:pStyle w:val="15"/>
                    <w:bidi w:val="0"/>
                    <w:rPr>
                      <w:rFonts w:hint="eastAsia"/>
                      <w:color w:val="auto"/>
                      <w:sz w:val="18"/>
                      <w:szCs w:val="18"/>
                    </w:rPr>
                  </w:pPr>
                  <w:r>
                    <w:rPr>
                      <w:rFonts w:hint="eastAsia"/>
                      <w:color w:val="auto"/>
                      <w:sz w:val="18"/>
                      <w:szCs w:val="18"/>
                      <w:lang w:val="en-US" w:eastAsia="zh-CN"/>
                    </w:rPr>
                    <w:t>0.0003</w:t>
                  </w:r>
                </w:p>
              </w:tc>
            </w:tr>
            <w:tr w14:paraId="0F33BF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57F59876">
                  <w:pPr>
                    <w:pStyle w:val="15"/>
                    <w:bidi w:val="0"/>
                    <w:rPr>
                      <w:rFonts w:hint="eastAsia"/>
                      <w:color w:val="auto"/>
                      <w:sz w:val="18"/>
                      <w:szCs w:val="18"/>
                    </w:rPr>
                  </w:pPr>
                  <w:r>
                    <w:rPr>
                      <w:rFonts w:hint="eastAsia"/>
                      <w:color w:val="auto"/>
                      <w:sz w:val="18"/>
                      <w:szCs w:val="18"/>
                      <w:lang w:val="en-US" w:eastAsia="zh-CN"/>
                    </w:rPr>
                    <w:t>24</w:t>
                  </w:r>
                </w:p>
              </w:tc>
              <w:tc>
                <w:tcPr>
                  <w:tcW w:w="828" w:type="pct"/>
                  <w:tcBorders>
                    <w:tl2br w:val="nil"/>
                    <w:tr2bl w:val="nil"/>
                  </w:tcBorders>
                  <w:shd w:val="clear" w:color="auto" w:fill="auto"/>
                  <w:tcMar>
                    <w:top w:w="0" w:type="dxa"/>
                    <w:left w:w="0" w:type="dxa"/>
                    <w:bottom w:w="0" w:type="dxa"/>
                    <w:right w:w="0" w:type="dxa"/>
                  </w:tcMar>
                  <w:vAlign w:val="center"/>
                </w:tcPr>
                <w:p w14:paraId="64A5E393">
                  <w:pPr>
                    <w:pStyle w:val="15"/>
                    <w:bidi w:val="0"/>
                    <w:rPr>
                      <w:rFonts w:hint="eastAsia"/>
                      <w:color w:val="auto"/>
                      <w:sz w:val="18"/>
                      <w:szCs w:val="18"/>
                    </w:rPr>
                  </w:pPr>
                  <w:r>
                    <w:rPr>
                      <w:rFonts w:hint="eastAsia"/>
                      <w:color w:val="auto"/>
                      <w:sz w:val="18"/>
                      <w:szCs w:val="18"/>
                      <w:lang w:val="en-US" w:eastAsia="zh-CN"/>
                    </w:rPr>
                    <w:t>铜</w:t>
                  </w:r>
                </w:p>
              </w:tc>
              <w:tc>
                <w:tcPr>
                  <w:tcW w:w="633" w:type="pct"/>
                  <w:tcBorders>
                    <w:tl2br w:val="nil"/>
                    <w:tr2bl w:val="nil"/>
                  </w:tcBorders>
                  <w:shd w:val="clear" w:color="auto" w:fill="auto"/>
                  <w:tcMar>
                    <w:top w:w="0" w:type="dxa"/>
                    <w:left w:w="0" w:type="dxa"/>
                    <w:bottom w:w="0" w:type="dxa"/>
                    <w:right w:w="0" w:type="dxa"/>
                  </w:tcMar>
                  <w:vAlign w:val="center"/>
                </w:tcPr>
                <w:p w14:paraId="622B74AC">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18FE8674">
                  <w:pPr>
                    <w:pStyle w:val="15"/>
                    <w:bidi w:val="0"/>
                    <w:rPr>
                      <w:rFonts w:hint="eastAsia"/>
                      <w:color w:val="auto"/>
                      <w:sz w:val="18"/>
                      <w:szCs w:val="18"/>
                    </w:rPr>
                  </w:pPr>
                  <w:r>
                    <w:rPr>
                      <w:rFonts w:hint="eastAsia"/>
                      <w:color w:val="auto"/>
                      <w:sz w:val="18"/>
                      <w:szCs w:val="18"/>
                      <w:lang w:val="en-US" w:eastAsia="zh-CN"/>
                    </w:rPr>
                    <w:t>1</w:t>
                  </w:r>
                </w:p>
              </w:tc>
              <w:tc>
                <w:tcPr>
                  <w:tcW w:w="367" w:type="pct"/>
                  <w:tcBorders>
                    <w:tl2br w:val="nil"/>
                    <w:tr2bl w:val="nil"/>
                  </w:tcBorders>
                  <w:shd w:val="clear" w:color="auto" w:fill="auto"/>
                  <w:tcMar>
                    <w:top w:w="0" w:type="dxa"/>
                    <w:left w:w="0" w:type="dxa"/>
                    <w:bottom w:w="0" w:type="dxa"/>
                    <w:right w:w="0" w:type="dxa"/>
                  </w:tcMar>
                  <w:vAlign w:val="center"/>
                </w:tcPr>
                <w:p w14:paraId="5ED6B324">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32D1442D">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E3B5189">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0D10D760">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39C74D90">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A90071B">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7679EF7">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5B8E444">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7FAC38C0">
                  <w:pPr>
                    <w:pStyle w:val="15"/>
                    <w:bidi w:val="0"/>
                    <w:rPr>
                      <w:rFonts w:hint="eastAsia"/>
                      <w:color w:val="auto"/>
                      <w:sz w:val="18"/>
                      <w:szCs w:val="18"/>
                    </w:rPr>
                  </w:pPr>
                  <w:r>
                    <w:rPr>
                      <w:rFonts w:hint="eastAsia"/>
                      <w:color w:val="auto"/>
                      <w:sz w:val="18"/>
                      <w:szCs w:val="18"/>
                      <w:lang w:val="en-US" w:eastAsia="zh-CN"/>
                    </w:rPr>
                    <w:t>0.05</w:t>
                  </w:r>
                </w:p>
              </w:tc>
            </w:tr>
            <w:tr w14:paraId="70EC9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58EC3231">
                  <w:pPr>
                    <w:pStyle w:val="15"/>
                    <w:bidi w:val="0"/>
                    <w:rPr>
                      <w:rFonts w:hint="eastAsia"/>
                      <w:color w:val="auto"/>
                      <w:sz w:val="18"/>
                      <w:szCs w:val="18"/>
                    </w:rPr>
                  </w:pPr>
                  <w:r>
                    <w:rPr>
                      <w:rFonts w:hint="eastAsia"/>
                      <w:color w:val="auto"/>
                      <w:sz w:val="18"/>
                      <w:szCs w:val="18"/>
                      <w:lang w:val="en-US" w:eastAsia="zh-CN"/>
                    </w:rPr>
                    <w:t>25</w:t>
                  </w:r>
                </w:p>
              </w:tc>
              <w:tc>
                <w:tcPr>
                  <w:tcW w:w="828" w:type="pct"/>
                  <w:tcBorders>
                    <w:tl2br w:val="nil"/>
                    <w:tr2bl w:val="nil"/>
                  </w:tcBorders>
                  <w:shd w:val="clear" w:color="auto" w:fill="auto"/>
                  <w:tcMar>
                    <w:top w:w="0" w:type="dxa"/>
                    <w:left w:w="0" w:type="dxa"/>
                    <w:bottom w:w="0" w:type="dxa"/>
                    <w:right w:w="0" w:type="dxa"/>
                  </w:tcMar>
                  <w:vAlign w:val="center"/>
                </w:tcPr>
                <w:p w14:paraId="27BEA1A4">
                  <w:pPr>
                    <w:pStyle w:val="15"/>
                    <w:bidi w:val="0"/>
                    <w:rPr>
                      <w:rFonts w:hint="eastAsia"/>
                      <w:color w:val="auto"/>
                      <w:sz w:val="18"/>
                      <w:szCs w:val="18"/>
                    </w:rPr>
                  </w:pPr>
                  <w:r>
                    <w:rPr>
                      <w:rFonts w:hint="eastAsia"/>
                      <w:color w:val="auto"/>
                      <w:sz w:val="18"/>
                      <w:szCs w:val="18"/>
                      <w:lang w:val="en-US" w:eastAsia="zh-CN"/>
                    </w:rPr>
                    <w:t>锌</w:t>
                  </w:r>
                </w:p>
              </w:tc>
              <w:tc>
                <w:tcPr>
                  <w:tcW w:w="633" w:type="pct"/>
                  <w:tcBorders>
                    <w:tl2br w:val="nil"/>
                    <w:tr2bl w:val="nil"/>
                  </w:tcBorders>
                  <w:shd w:val="clear" w:color="auto" w:fill="auto"/>
                  <w:tcMar>
                    <w:top w:w="0" w:type="dxa"/>
                    <w:left w:w="0" w:type="dxa"/>
                    <w:bottom w:w="0" w:type="dxa"/>
                    <w:right w:w="0" w:type="dxa"/>
                  </w:tcMar>
                  <w:vAlign w:val="center"/>
                </w:tcPr>
                <w:p w14:paraId="6553AA1F">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59D0EBDB">
                  <w:pPr>
                    <w:pStyle w:val="15"/>
                    <w:bidi w:val="0"/>
                    <w:rPr>
                      <w:rFonts w:hint="eastAsia"/>
                      <w:color w:val="auto"/>
                      <w:sz w:val="18"/>
                      <w:szCs w:val="18"/>
                    </w:rPr>
                  </w:pPr>
                  <w:r>
                    <w:rPr>
                      <w:rFonts w:hint="eastAsia"/>
                      <w:color w:val="auto"/>
                      <w:sz w:val="18"/>
                      <w:szCs w:val="18"/>
                      <w:lang w:val="en-US" w:eastAsia="zh-CN"/>
                    </w:rPr>
                    <w:t>1</w:t>
                  </w:r>
                </w:p>
              </w:tc>
              <w:tc>
                <w:tcPr>
                  <w:tcW w:w="367" w:type="pct"/>
                  <w:tcBorders>
                    <w:tl2br w:val="nil"/>
                    <w:tr2bl w:val="nil"/>
                  </w:tcBorders>
                  <w:shd w:val="clear" w:color="auto" w:fill="auto"/>
                  <w:tcMar>
                    <w:top w:w="0" w:type="dxa"/>
                    <w:left w:w="0" w:type="dxa"/>
                    <w:bottom w:w="0" w:type="dxa"/>
                    <w:right w:w="0" w:type="dxa"/>
                  </w:tcMar>
                  <w:vAlign w:val="center"/>
                </w:tcPr>
                <w:p w14:paraId="1006BDC0">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4C5CE4A8">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14E06FDC">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036C3C9">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30BCCD6B">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0A997969">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53513E0">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E5A76A7">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3781361E">
                  <w:pPr>
                    <w:pStyle w:val="15"/>
                    <w:bidi w:val="0"/>
                    <w:rPr>
                      <w:rFonts w:hint="eastAsia"/>
                      <w:color w:val="auto"/>
                      <w:sz w:val="18"/>
                      <w:szCs w:val="18"/>
                    </w:rPr>
                  </w:pPr>
                  <w:r>
                    <w:rPr>
                      <w:rFonts w:hint="eastAsia"/>
                      <w:color w:val="auto"/>
                      <w:sz w:val="18"/>
                      <w:szCs w:val="18"/>
                      <w:lang w:val="en-US" w:eastAsia="zh-CN"/>
                    </w:rPr>
                    <w:t>0.05</w:t>
                  </w:r>
                </w:p>
              </w:tc>
            </w:tr>
            <w:tr w14:paraId="0C64D6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5925004">
                  <w:pPr>
                    <w:pStyle w:val="15"/>
                    <w:bidi w:val="0"/>
                    <w:rPr>
                      <w:rFonts w:hint="eastAsia"/>
                      <w:color w:val="auto"/>
                      <w:sz w:val="18"/>
                      <w:szCs w:val="18"/>
                    </w:rPr>
                  </w:pPr>
                  <w:r>
                    <w:rPr>
                      <w:rFonts w:hint="eastAsia"/>
                      <w:color w:val="auto"/>
                      <w:sz w:val="18"/>
                      <w:szCs w:val="18"/>
                      <w:lang w:val="en-US" w:eastAsia="zh-CN"/>
                    </w:rPr>
                    <w:t>26</w:t>
                  </w:r>
                </w:p>
              </w:tc>
              <w:tc>
                <w:tcPr>
                  <w:tcW w:w="828" w:type="pct"/>
                  <w:tcBorders>
                    <w:tl2br w:val="nil"/>
                    <w:tr2bl w:val="nil"/>
                  </w:tcBorders>
                  <w:shd w:val="clear" w:color="auto" w:fill="auto"/>
                  <w:tcMar>
                    <w:top w:w="0" w:type="dxa"/>
                    <w:left w:w="0" w:type="dxa"/>
                    <w:bottom w:w="0" w:type="dxa"/>
                    <w:right w:w="0" w:type="dxa"/>
                  </w:tcMar>
                  <w:vAlign w:val="center"/>
                </w:tcPr>
                <w:p w14:paraId="4325DCE7">
                  <w:pPr>
                    <w:pStyle w:val="15"/>
                    <w:bidi w:val="0"/>
                    <w:rPr>
                      <w:rFonts w:hint="eastAsia"/>
                      <w:color w:val="auto"/>
                      <w:sz w:val="18"/>
                      <w:szCs w:val="18"/>
                    </w:rPr>
                  </w:pPr>
                  <w:r>
                    <w:rPr>
                      <w:rFonts w:hint="eastAsia"/>
                      <w:color w:val="auto"/>
                      <w:sz w:val="18"/>
                      <w:szCs w:val="18"/>
                      <w:lang w:val="en-US" w:eastAsia="zh-CN"/>
                    </w:rPr>
                    <w:t>铅</w:t>
                  </w:r>
                </w:p>
              </w:tc>
              <w:tc>
                <w:tcPr>
                  <w:tcW w:w="633" w:type="pct"/>
                  <w:tcBorders>
                    <w:tl2br w:val="nil"/>
                    <w:tr2bl w:val="nil"/>
                  </w:tcBorders>
                  <w:shd w:val="clear" w:color="auto" w:fill="auto"/>
                  <w:tcMar>
                    <w:top w:w="0" w:type="dxa"/>
                    <w:left w:w="0" w:type="dxa"/>
                    <w:bottom w:w="0" w:type="dxa"/>
                    <w:right w:w="0" w:type="dxa"/>
                  </w:tcMar>
                  <w:vAlign w:val="center"/>
                </w:tcPr>
                <w:p w14:paraId="0FF02683">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0C4322AD">
                  <w:pPr>
                    <w:pStyle w:val="15"/>
                    <w:bidi w:val="0"/>
                    <w:rPr>
                      <w:rFonts w:hint="eastAsia"/>
                      <w:color w:val="auto"/>
                      <w:sz w:val="18"/>
                      <w:szCs w:val="18"/>
                    </w:rPr>
                  </w:pPr>
                  <w:r>
                    <w:rPr>
                      <w:rFonts w:hint="eastAsia"/>
                      <w:color w:val="auto"/>
                      <w:sz w:val="18"/>
                      <w:szCs w:val="18"/>
                      <w:lang w:val="en-US" w:eastAsia="zh-CN"/>
                    </w:rPr>
                    <w:t>0.01</w:t>
                  </w:r>
                </w:p>
              </w:tc>
              <w:tc>
                <w:tcPr>
                  <w:tcW w:w="367" w:type="pct"/>
                  <w:tcBorders>
                    <w:tl2br w:val="nil"/>
                    <w:tr2bl w:val="nil"/>
                  </w:tcBorders>
                  <w:shd w:val="clear" w:color="auto" w:fill="auto"/>
                  <w:tcMar>
                    <w:top w:w="0" w:type="dxa"/>
                    <w:left w:w="0" w:type="dxa"/>
                    <w:bottom w:w="0" w:type="dxa"/>
                    <w:right w:w="0" w:type="dxa"/>
                  </w:tcMar>
                  <w:vAlign w:val="center"/>
                </w:tcPr>
                <w:p w14:paraId="4BF7849C">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759DB8C">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12D0B764">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82CA95B">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7E496536">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0470601">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69D0DC8E">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1ACE11D">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1A52B129">
                  <w:pPr>
                    <w:pStyle w:val="15"/>
                    <w:bidi w:val="0"/>
                    <w:rPr>
                      <w:rFonts w:hint="eastAsia"/>
                      <w:color w:val="auto"/>
                      <w:sz w:val="18"/>
                      <w:szCs w:val="18"/>
                    </w:rPr>
                  </w:pPr>
                  <w:r>
                    <w:rPr>
                      <w:rFonts w:hint="eastAsia"/>
                      <w:color w:val="auto"/>
                      <w:sz w:val="18"/>
                      <w:szCs w:val="18"/>
                      <w:lang w:val="en-US" w:eastAsia="zh-CN"/>
                    </w:rPr>
                    <w:t>0.0025</w:t>
                  </w:r>
                </w:p>
              </w:tc>
            </w:tr>
            <w:tr w14:paraId="468BEB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43BB5B4C">
                  <w:pPr>
                    <w:pStyle w:val="15"/>
                    <w:bidi w:val="0"/>
                    <w:rPr>
                      <w:rFonts w:hint="eastAsia"/>
                      <w:color w:val="auto"/>
                      <w:sz w:val="18"/>
                      <w:szCs w:val="18"/>
                    </w:rPr>
                  </w:pPr>
                  <w:r>
                    <w:rPr>
                      <w:rFonts w:hint="eastAsia"/>
                      <w:color w:val="auto"/>
                      <w:sz w:val="18"/>
                      <w:szCs w:val="18"/>
                      <w:lang w:val="en-US" w:eastAsia="zh-CN"/>
                    </w:rPr>
                    <w:t>27</w:t>
                  </w:r>
                </w:p>
              </w:tc>
              <w:tc>
                <w:tcPr>
                  <w:tcW w:w="828" w:type="pct"/>
                  <w:tcBorders>
                    <w:tl2br w:val="nil"/>
                    <w:tr2bl w:val="nil"/>
                  </w:tcBorders>
                  <w:shd w:val="clear" w:color="auto" w:fill="auto"/>
                  <w:tcMar>
                    <w:top w:w="0" w:type="dxa"/>
                    <w:left w:w="0" w:type="dxa"/>
                    <w:bottom w:w="0" w:type="dxa"/>
                    <w:right w:w="0" w:type="dxa"/>
                  </w:tcMar>
                  <w:vAlign w:val="center"/>
                </w:tcPr>
                <w:p w14:paraId="766B50BA">
                  <w:pPr>
                    <w:pStyle w:val="15"/>
                    <w:bidi w:val="0"/>
                    <w:rPr>
                      <w:rFonts w:hint="eastAsia"/>
                      <w:color w:val="auto"/>
                      <w:sz w:val="18"/>
                      <w:szCs w:val="18"/>
                    </w:rPr>
                  </w:pPr>
                  <w:r>
                    <w:rPr>
                      <w:rFonts w:hint="eastAsia"/>
                      <w:color w:val="auto"/>
                      <w:sz w:val="18"/>
                      <w:szCs w:val="18"/>
                      <w:lang w:val="en-US" w:eastAsia="zh-CN"/>
                    </w:rPr>
                    <w:t>镉</w:t>
                  </w:r>
                </w:p>
              </w:tc>
              <w:tc>
                <w:tcPr>
                  <w:tcW w:w="633" w:type="pct"/>
                  <w:tcBorders>
                    <w:tl2br w:val="nil"/>
                    <w:tr2bl w:val="nil"/>
                  </w:tcBorders>
                  <w:shd w:val="clear" w:color="auto" w:fill="auto"/>
                  <w:tcMar>
                    <w:top w:w="0" w:type="dxa"/>
                    <w:left w:w="0" w:type="dxa"/>
                    <w:bottom w:w="0" w:type="dxa"/>
                    <w:right w:w="0" w:type="dxa"/>
                  </w:tcMar>
                  <w:vAlign w:val="center"/>
                </w:tcPr>
                <w:p w14:paraId="22B69631">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671725F7">
                  <w:pPr>
                    <w:pStyle w:val="15"/>
                    <w:bidi w:val="0"/>
                    <w:rPr>
                      <w:rFonts w:hint="eastAsia"/>
                      <w:color w:val="auto"/>
                      <w:sz w:val="18"/>
                      <w:szCs w:val="18"/>
                    </w:rPr>
                  </w:pPr>
                  <w:r>
                    <w:rPr>
                      <w:rFonts w:hint="eastAsia"/>
                      <w:color w:val="auto"/>
                      <w:sz w:val="18"/>
                      <w:szCs w:val="18"/>
                      <w:lang w:val="en-US" w:eastAsia="zh-CN"/>
                    </w:rPr>
                    <w:t>0.005</w:t>
                  </w:r>
                </w:p>
              </w:tc>
              <w:tc>
                <w:tcPr>
                  <w:tcW w:w="367" w:type="pct"/>
                  <w:tcBorders>
                    <w:tl2br w:val="nil"/>
                    <w:tr2bl w:val="nil"/>
                  </w:tcBorders>
                  <w:shd w:val="clear" w:color="auto" w:fill="auto"/>
                  <w:tcMar>
                    <w:top w:w="0" w:type="dxa"/>
                    <w:left w:w="0" w:type="dxa"/>
                    <w:bottom w:w="0" w:type="dxa"/>
                    <w:right w:w="0" w:type="dxa"/>
                  </w:tcMar>
                  <w:vAlign w:val="center"/>
                </w:tcPr>
                <w:p w14:paraId="22C7C056">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621F89DE">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F8BADA5">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0CA98C1D">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00A5B2F5">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1FD03BF0">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9942EF3">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CC43F71">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2AB98461">
                  <w:pPr>
                    <w:pStyle w:val="15"/>
                    <w:bidi w:val="0"/>
                    <w:rPr>
                      <w:rFonts w:hint="eastAsia"/>
                      <w:color w:val="auto"/>
                      <w:sz w:val="18"/>
                      <w:szCs w:val="18"/>
                    </w:rPr>
                  </w:pPr>
                  <w:r>
                    <w:rPr>
                      <w:rFonts w:hint="eastAsia"/>
                      <w:color w:val="auto"/>
                      <w:sz w:val="18"/>
                      <w:szCs w:val="18"/>
                      <w:lang w:val="en-US" w:eastAsia="zh-CN"/>
                    </w:rPr>
                    <w:t>0.0005</w:t>
                  </w:r>
                </w:p>
              </w:tc>
            </w:tr>
            <w:tr w14:paraId="79F5F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8A5B686">
                  <w:pPr>
                    <w:pStyle w:val="15"/>
                    <w:bidi w:val="0"/>
                    <w:rPr>
                      <w:rFonts w:hint="eastAsia"/>
                      <w:color w:val="auto"/>
                      <w:sz w:val="18"/>
                      <w:szCs w:val="18"/>
                    </w:rPr>
                  </w:pPr>
                  <w:r>
                    <w:rPr>
                      <w:rFonts w:hint="eastAsia"/>
                      <w:color w:val="auto"/>
                      <w:sz w:val="18"/>
                      <w:szCs w:val="18"/>
                      <w:lang w:val="en-US" w:eastAsia="zh-CN"/>
                    </w:rPr>
                    <w:t>28</w:t>
                  </w:r>
                </w:p>
              </w:tc>
              <w:tc>
                <w:tcPr>
                  <w:tcW w:w="828" w:type="pct"/>
                  <w:tcBorders>
                    <w:tl2br w:val="nil"/>
                    <w:tr2bl w:val="nil"/>
                  </w:tcBorders>
                  <w:shd w:val="clear" w:color="auto" w:fill="auto"/>
                  <w:tcMar>
                    <w:top w:w="0" w:type="dxa"/>
                    <w:left w:w="0" w:type="dxa"/>
                    <w:bottom w:w="0" w:type="dxa"/>
                    <w:right w:w="0" w:type="dxa"/>
                  </w:tcMar>
                  <w:vAlign w:val="center"/>
                </w:tcPr>
                <w:p w14:paraId="236BE243">
                  <w:pPr>
                    <w:pStyle w:val="15"/>
                    <w:bidi w:val="0"/>
                    <w:rPr>
                      <w:rFonts w:hint="eastAsia"/>
                      <w:color w:val="auto"/>
                      <w:sz w:val="18"/>
                      <w:szCs w:val="18"/>
                    </w:rPr>
                  </w:pPr>
                  <w:r>
                    <w:rPr>
                      <w:rFonts w:hint="eastAsia"/>
                      <w:color w:val="auto"/>
                      <w:sz w:val="18"/>
                      <w:szCs w:val="18"/>
                      <w:lang w:val="en-US" w:eastAsia="zh-CN"/>
                    </w:rPr>
                    <w:t>铁</w:t>
                  </w:r>
                </w:p>
              </w:tc>
              <w:tc>
                <w:tcPr>
                  <w:tcW w:w="633" w:type="pct"/>
                  <w:tcBorders>
                    <w:tl2br w:val="nil"/>
                    <w:tr2bl w:val="nil"/>
                  </w:tcBorders>
                  <w:shd w:val="clear" w:color="auto" w:fill="auto"/>
                  <w:tcMar>
                    <w:top w:w="0" w:type="dxa"/>
                    <w:left w:w="0" w:type="dxa"/>
                    <w:bottom w:w="0" w:type="dxa"/>
                    <w:right w:w="0" w:type="dxa"/>
                  </w:tcMar>
                  <w:vAlign w:val="center"/>
                </w:tcPr>
                <w:p w14:paraId="6459C6BD">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6AFA1E48">
                  <w:pPr>
                    <w:pStyle w:val="15"/>
                    <w:bidi w:val="0"/>
                    <w:rPr>
                      <w:rFonts w:hint="eastAsia"/>
                      <w:color w:val="auto"/>
                      <w:sz w:val="18"/>
                      <w:szCs w:val="18"/>
                    </w:rPr>
                  </w:pPr>
                  <w:r>
                    <w:rPr>
                      <w:rFonts w:hint="eastAsia"/>
                      <w:color w:val="auto"/>
                      <w:sz w:val="18"/>
                      <w:szCs w:val="18"/>
                      <w:lang w:val="en-US" w:eastAsia="zh-CN"/>
                    </w:rPr>
                    <w:t>0.3</w:t>
                  </w:r>
                </w:p>
              </w:tc>
              <w:tc>
                <w:tcPr>
                  <w:tcW w:w="367" w:type="pct"/>
                  <w:tcBorders>
                    <w:tl2br w:val="nil"/>
                    <w:tr2bl w:val="nil"/>
                  </w:tcBorders>
                  <w:shd w:val="clear" w:color="auto" w:fill="auto"/>
                  <w:tcMar>
                    <w:top w:w="0" w:type="dxa"/>
                    <w:left w:w="0" w:type="dxa"/>
                    <w:bottom w:w="0" w:type="dxa"/>
                    <w:right w:w="0" w:type="dxa"/>
                  </w:tcMar>
                  <w:vAlign w:val="center"/>
                </w:tcPr>
                <w:p w14:paraId="5EE7D8FF">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0E0B5C9">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1E36E2E">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574671F3">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315908C8">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481B9B42">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0048317C">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6510C59">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0AB9AE70">
                  <w:pPr>
                    <w:pStyle w:val="15"/>
                    <w:bidi w:val="0"/>
                    <w:rPr>
                      <w:rFonts w:hint="eastAsia"/>
                      <w:color w:val="auto"/>
                      <w:sz w:val="18"/>
                      <w:szCs w:val="18"/>
                    </w:rPr>
                  </w:pPr>
                  <w:r>
                    <w:rPr>
                      <w:rFonts w:hint="eastAsia"/>
                      <w:color w:val="auto"/>
                      <w:sz w:val="18"/>
                      <w:szCs w:val="18"/>
                      <w:lang w:val="en-US" w:eastAsia="zh-CN"/>
                    </w:rPr>
                    <w:t>0.03</w:t>
                  </w:r>
                </w:p>
              </w:tc>
            </w:tr>
            <w:tr w14:paraId="550CFD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7C345130">
                  <w:pPr>
                    <w:pStyle w:val="15"/>
                    <w:bidi w:val="0"/>
                    <w:rPr>
                      <w:rFonts w:hint="eastAsia"/>
                      <w:color w:val="auto"/>
                      <w:sz w:val="18"/>
                      <w:szCs w:val="18"/>
                    </w:rPr>
                  </w:pPr>
                  <w:r>
                    <w:rPr>
                      <w:rFonts w:hint="eastAsia"/>
                      <w:color w:val="auto"/>
                      <w:sz w:val="18"/>
                      <w:szCs w:val="18"/>
                      <w:lang w:val="en-US" w:eastAsia="zh-CN"/>
                    </w:rPr>
                    <w:t>29</w:t>
                  </w:r>
                </w:p>
              </w:tc>
              <w:tc>
                <w:tcPr>
                  <w:tcW w:w="828" w:type="pct"/>
                  <w:tcBorders>
                    <w:tl2br w:val="nil"/>
                    <w:tr2bl w:val="nil"/>
                  </w:tcBorders>
                  <w:shd w:val="clear" w:color="auto" w:fill="auto"/>
                  <w:tcMar>
                    <w:top w:w="0" w:type="dxa"/>
                    <w:left w:w="0" w:type="dxa"/>
                    <w:bottom w:w="0" w:type="dxa"/>
                    <w:right w:w="0" w:type="dxa"/>
                  </w:tcMar>
                  <w:vAlign w:val="center"/>
                </w:tcPr>
                <w:p w14:paraId="3C17D8A6">
                  <w:pPr>
                    <w:pStyle w:val="15"/>
                    <w:bidi w:val="0"/>
                    <w:rPr>
                      <w:rFonts w:hint="eastAsia"/>
                      <w:color w:val="auto"/>
                      <w:sz w:val="18"/>
                      <w:szCs w:val="18"/>
                    </w:rPr>
                  </w:pPr>
                  <w:r>
                    <w:rPr>
                      <w:rFonts w:hint="eastAsia"/>
                      <w:color w:val="auto"/>
                      <w:sz w:val="18"/>
                      <w:szCs w:val="18"/>
                      <w:lang w:val="en-US" w:eastAsia="zh-CN"/>
                    </w:rPr>
                    <w:t>锰</w:t>
                  </w:r>
                </w:p>
              </w:tc>
              <w:tc>
                <w:tcPr>
                  <w:tcW w:w="633" w:type="pct"/>
                  <w:tcBorders>
                    <w:tl2br w:val="nil"/>
                    <w:tr2bl w:val="nil"/>
                  </w:tcBorders>
                  <w:shd w:val="clear" w:color="auto" w:fill="auto"/>
                  <w:tcMar>
                    <w:top w:w="0" w:type="dxa"/>
                    <w:left w:w="0" w:type="dxa"/>
                    <w:bottom w:w="0" w:type="dxa"/>
                    <w:right w:w="0" w:type="dxa"/>
                  </w:tcMar>
                  <w:vAlign w:val="center"/>
                </w:tcPr>
                <w:p w14:paraId="44A4E7BB">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3971A4BB">
                  <w:pPr>
                    <w:pStyle w:val="15"/>
                    <w:bidi w:val="0"/>
                    <w:rPr>
                      <w:rFonts w:hint="eastAsia"/>
                      <w:color w:val="auto"/>
                      <w:sz w:val="18"/>
                      <w:szCs w:val="18"/>
                    </w:rPr>
                  </w:pPr>
                  <w:r>
                    <w:rPr>
                      <w:rFonts w:hint="eastAsia"/>
                      <w:color w:val="auto"/>
                      <w:sz w:val="18"/>
                      <w:szCs w:val="18"/>
                      <w:lang w:val="en-US" w:eastAsia="zh-CN"/>
                    </w:rPr>
                    <w:t>0.1</w:t>
                  </w:r>
                </w:p>
              </w:tc>
              <w:tc>
                <w:tcPr>
                  <w:tcW w:w="367" w:type="pct"/>
                  <w:tcBorders>
                    <w:tl2br w:val="nil"/>
                    <w:tr2bl w:val="nil"/>
                  </w:tcBorders>
                  <w:shd w:val="clear" w:color="auto" w:fill="auto"/>
                  <w:tcMar>
                    <w:top w:w="0" w:type="dxa"/>
                    <w:left w:w="0" w:type="dxa"/>
                    <w:bottom w:w="0" w:type="dxa"/>
                    <w:right w:w="0" w:type="dxa"/>
                  </w:tcMar>
                  <w:vAlign w:val="center"/>
                </w:tcPr>
                <w:p w14:paraId="60140083">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00E79CD9">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6967867B">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65C58AE9">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571BA887">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1E32A2D3">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47BA17B">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04BE6AB8">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1B0177B6">
                  <w:pPr>
                    <w:pStyle w:val="15"/>
                    <w:bidi w:val="0"/>
                    <w:rPr>
                      <w:rFonts w:hint="eastAsia"/>
                      <w:color w:val="auto"/>
                      <w:sz w:val="18"/>
                      <w:szCs w:val="18"/>
                    </w:rPr>
                  </w:pPr>
                  <w:r>
                    <w:rPr>
                      <w:rFonts w:hint="eastAsia"/>
                      <w:color w:val="auto"/>
                      <w:sz w:val="18"/>
                      <w:szCs w:val="18"/>
                      <w:lang w:val="en-US" w:eastAsia="zh-CN"/>
                    </w:rPr>
                    <w:t>0.01</w:t>
                  </w:r>
                </w:p>
              </w:tc>
            </w:tr>
            <w:tr w14:paraId="168FFF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248431CC">
                  <w:pPr>
                    <w:pStyle w:val="15"/>
                    <w:bidi w:val="0"/>
                    <w:rPr>
                      <w:rFonts w:hint="eastAsia"/>
                      <w:color w:val="auto"/>
                      <w:sz w:val="18"/>
                      <w:szCs w:val="18"/>
                    </w:rPr>
                  </w:pPr>
                  <w:r>
                    <w:rPr>
                      <w:rFonts w:hint="eastAsia"/>
                      <w:color w:val="auto"/>
                      <w:sz w:val="18"/>
                      <w:szCs w:val="18"/>
                      <w:lang w:val="en-US" w:eastAsia="zh-CN"/>
                    </w:rPr>
                    <w:t>30</w:t>
                  </w:r>
                </w:p>
              </w:tc>
              <w:tc>
                <w:tcPr>
                  <w:tcW w:w="828" w:type="pct"/>
                  <w:tcBorders>
                    <w:tl2br w:val="nil"/>
                    <w:tr2bl w:val="nil"/>
                  </w:tcBorders>
                  <w:shd w:val="clear" w:color="auto" w:fill="auto"/>
                  <w:tcMar>
                    <w:top w:w="0" w:type="dxa"/>
                    <w:left w:w="0" w:type="dxa"/>
                    <w:bottom w:w="0" w:type="dxa"/>
                    <w:right w:w="0" w:type="dxa"/>
                  </w:tcMar>
                  <w:vAlign w:val="center"/>
                </w:tcPr>
                <w:p w14:paraId="5E1EDCA8">
                  <w:pPr>
                    <w:pStyle w:val="15"/>
                    <w:bidi w:val="0"/>
                    <w:rPr>
                      <w:rFonts w:hint="eastAsia"/>
                      <w:color w:val="auto"/>
                      <w:sz w:val="18"/>
                      <w:szCs w:val="18"/>
                    </w:rPr>
                  </w:pPr>
                  <w:r>
                    <w:rPr>
                      <w:rFonts w:hint="eastAsia"/>
                      <w:color w:val="auto"/>
                      <w:sz w:val="18"/>
                      <w:szCs w:val="18"/>
                      <w:lang w:val="en-US" w:eastAsia="zh-CN"/>
                    </w:rPr>
                    <w:t>钾</w:t>
                  </w:r>
                </w:p>
              </w:tc>
              <w:tc>
                <w:tcPr>
                  <w:tcW w:w="633" w:type="pct"/>
                  <w:tcBorders>
                    <w:tl2br w:val="nil"/>
                    <w:tr2bl w:val="nil"/>
                  </w:tcBorders>
                  <w:shd w:val="clear" w:color="auto" w:fill="auto"/>
                  <w:tcMar>
                    <w:top w:w="0" w:type="dxa"/>
                    <w:left w:w="0" w:type="dxa"/>
                    <w:bottom w:w="0" w:type="dxa"/>
                    <w:right w:w="0" w:type="dxa"/>
                  </w:tcMar>
                  <w:vAlign w:val="center"/>
                </w:tcPr>
                <w:p w14:paraId="0CAEA6E5">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4F755043">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08A2FEED">
                  <w:pPr>
                    <w:pStyle w:val="15"/>
                    <w:bidi w:val="0"/>
                    <w:rPr>
                      <w:rFonts w:hint="eastAsia"/>
                      <w:color w:val="auto"/>
                      <w:sz w:val="18"/>
                      <w:szCs w:val="18"/>
                    </w:rPr>
                  </w:pPr>
                  <w:r>
                    <w:rPr>
                      <w:rFonts w:hint="eastAsia"/>
                      <w:color w:val="auto"/>
                      <w:sz w:val="18"/>
                      <w:szCs w:val="18"/>
                      <w:lang w:val="en-US" w:eastAsia="zh-CN"/>
                    </w:rPr>
                    <w:t>53</w:t>
                  </w:r>
                </w:p>
              </w:tc>
              <w:tc>
                <w:tcPr>
                  <w:tcW w:w="247" w:type="pct"/>
                  <w:tcBorders>
                    <w:tl2br w:val="nil"/>
                    <w:tr2bl w:val="nil"/>
                  </w:tcBorders>
                  <w:shd w:val="clear" w:color="auto" w:fill="auto"/>
                  <w:tcMar>
                    <w:top w:w="0" w:type="dxa"/>
                    <w:left w:w="0" w:type="dxa"/>
                    <w:bottom w:w="0" w:type="dxa"/>
                    <w:right w:w="0" w:type="dxa"/>
                  </w:tcMar>
                  <w:vAlign w:val="center"/>
                </w:tcPr>
                <w:p w14:paraId="467B5695">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715C76CE">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4A600214">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1DE623AC">
                  <w:pPr>
                    <w:pStyle w:val="15"/>
                    <w:bidi w:val="0"/>
                    <w:rPr>
                      <w:rFonts w:hint="eastAsia"/>
                      <w:color w:val="auto"/>
                      <w:sz w:val="18"/>
                      <w:szCs w:val="18"/>
                    </w:rPr>
                  </w:pPr>
                  <w:r>
                    <w:rPr>
                      <w:rFonts w:hint="eastAsia"/>
                      <w:color w:val="auto"/>
                      <w:sz w:val="18"/>
                      <w:szCs w:val="18"/>
                      <w:lang w:val="en-US" w:eastAsia="zh-CN"/>
                    </w:rPr>
                    <w:t>52.8</w:t>
                  </w:r>
                </w:p>
              </w:tc>
              <w:tc>
                <w:tcPr>
                  <w:tcW w:w="247" w:type="pct"/>
                  <w:tcBorders>
                    <w:tl2br w:val="nil"/>
                    <w:tr2bl w:val="nil"/>
                  </w:tcBorders>
                  <w:shd w:val="clear" w:color="auto" w:fill="auto"/>
                  <w:tcMar>
                    <w:top w:w="0" w:type="dxa"/>
                    <w:left w:w="0" w:type="dxa"/>
                    <w:bottom w:w="0" w:type="dxa"/>
                    <w:right w:w="0" w:type="dxa"/>
                  </w:tcMar>
                  <w:vAlign w:val="center"/>
                </w:tcPr>
                <w:p w14:paraId="0259F3C8">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706E90B">
                  <w:pPr>
                    <w:pStyle w:val="15"/>
                    <w:bidi w:val="0"/>
                    <w:rPr>
                      <w:rFonts w:hint="eastAsia"/>
                      <w:color w:val="auto"/>
                      <w:sz w:val="18"/>
                      <w:szCs w:val="18"/>
                    </w:rPr>
                  </w:pPr>
                  <w:r>
                    <w:rPr>
                      <w:rFonts w:hint="eastAsia"/>
                      <w:color w:val="auto"/>
                      <w:sz w:val="18"/>
                      <w:szCs w:val="18"/>
                      <w:lang w:val="en-US" w:eastAsia="zh-CN"/>
                    </w:rPr>
                    <w:t>/</w:t>
                  </w:r>
                </w:p>
              </w:tc>
              <w:tc>
                <w:tcPr>
                  <w:tcW w:w="367" w:type="pct"/>
                  <w:tcBorders>
                    <w:tl2br w:val="nil"/>
                    <w:tr2bl w:val="nil"/>
                  </w:tcBorders>
                  <w:shd w:val="clear" w:color="auto" w:fill="auto"/>
                  <w:tcMar>
                    <w:top w:w="0" w:type="dxa"/>
                    <w:left w:w="0" w:type="dxa"/>
                    <w:bottom w:w="0" w:type="dxa"/>
                    <w:right w:w="0" w:type="dxa"/>
                  </w:tcMar>
                  <w:vAlign w:val="center"/>
                </w:tcPr>
                <w:p w14:paraId="2BC03320">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23E5A6DD">
                  <w:pPr>
                    <w:pStyle w:val="15"/>
                    <w:bidi w:val="0"/>
                    <w:rPr>
                      <w:rFonts w:hint="eastAsia"/>
                      <w:color w:val="auto"/>
                      <w:sz w:val="18"/>
                      <w:szCs w:val="18"/>
                    </w:rPr>
                  </w:pPr>
                  <w:r>
                    <w:rPr>
                      <w:rFonts w:hint="eastAsia"/>
                      <w:color w:val="auto"/>
                      <w:sz w:val="18"/>
                      <w:szCs w:val="18"/>
                      <w:lang w:val="en-US" w:eastAsia="zh-CN"/>
                    </w:rPr>
                    <w:t>0.05</w:t>
                  </w:r>
                </w:p>
              </w:tc>
            </w:tr>
            <w:tr w14:paraId="7B90B1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0AD4E880">
                  <w:pPr>
                    <w:pStyle w:val="15"/>
                    <w:bidi w:val="0"/>
                    <w:rPr>
                      <w:rFonts w:hint="eastAsia"/>
                      <w:color w:val="auto"/>
                      <w:sz w:val="18"/>
                      <w:szCs w:val="18"/>
                    </w:rPr>
                  </w:pPr>
                  <w:r>
                    <w:rPr>
                      <w:rFonts w:hint="eastAsia"/>
                      <w:color w:val="auto"/>
                      <w:sz w:val="18"/>
                      <w:szCs w:val="18"/>
                      <w:lang w:val="en-US" w:eastAsia="zh-CN"/>
                    </w:rPr>
                    <w:t>31</w:t>
                  </w:r>
                </w:p>
              </w:tc>
              <w:tc>
                <w:tcPr>
                  <w:tcW w:w="828" w:type="pct"/>
                  <w:tcBorders>
                    <w:tl2br w:val="nil"/>
                    <w:tr2bl w:val="nil"/>
                  </w:tcBorders>
                  <w:shd w:val="clear" w:color="auto" w:fill="auto"/>
                  <w:tcMar>
                    <w:top w:w="0" w:type="dxa"/>
                    <w:left w:w="0" w:type="dxa"/>
                    <w:bottom w:w="0" w:type="dxa"/>
                    <w:right w:w="0" w:type="dxa"/>
                  </w:tcMar>
                  <w:vAlign w:val="center"/>
                </w:tcPr>
                <w:p w14:paraId="3E469E18">
                  <w:pPr>
                    <w:pStyle w:val="15"/>
                    <w:bidi w:val="0"/>
                    <w:rPr>
                      <w:rFonts w:hint="eastAsia"/>
                      <w:color w:val="auto"/>
                      <w:sz w:val="18"/>
                      <w:szCs w:val="18"/>
                    </w:rPr>
                  </w:pPr>
                  <w:r>
                    <w:rPr>
                      <w:rFonts w:hint="eastAsia"/>
                      <w:color w:val="auto"/>
                      <w:sz w:val="18"/>
                      <w:szCs w:val="18"/>
                      <w:lang w:val="en-US" w:eastAsia="zh-CN"/>
                    </w:rPr>
                    <w:t>钠</w:t>
                  </w:r>
                </w:p>
              </w:tc>
              <w:tc>
                <w:tcPr>
                  <w:tcW w:w="633" w:type="pct"/>
                  <w:tcBorders>
                    <w:tl2br w:val="nil"/>
                    <w:tr2bl w:val="nil"/>
                  </w:tcBorders>
                  <w:shd w:val="clear" w:color="auto" w:fill="auto"/>
                  <w:tcMar>
                    <w:top w:w="0" w:type="dxa"/>
                    <w:left w:w="0" w:type="dxa"/>
                    <w:bottom w:w="0" w:type="dxa"/>
                    <w:right w:w="0" w:type="dxa"/>
                  </w:tcMar>
                  <w:vAlign w:val="center"/>
                </w:tcPr>
                <w:p w14:paraId="3961D3F8">
                  <w:pPr>
                    <w:pStyle w:val="15"/>
                    <w:bidi w:val="0"/>
                    <w:rPr>
                      <w:rFonts w:hint="eastAsia"/>
                      <w:color w:val="auto"/>
                      <w:sz w:val="18"/>
                      <w:szCs w:val="18"/>
                    </w:rPr>
                  </w:pPr>
                  <w:r>
                    <w:rPr>
                      <w:rFonts w:hint="eastAsia"/>
                      <w:color w:val="auto"/>
                      <w:sz w:val="18"/>
                      <w:szCs w:val="18"/>
                      <w:lang w:val="en-US" w:eastAsia="zh-CN"/>
                    </w:rPr>
                    <w:t>mg/L</w:t>
                  </w:r>
                </w:p>
              </w:tc>
              <w:tc>
                <w:tcPr>
                  <w:tcW w:w="358" w:type="pct"/>
                  <w:tcBorders>
                    <w:tl2br w:val="nil"/>
                    <w:tr2bl w:val="nil"/>
                  </w:tcBorders>
                  <w:shd w:val="clear" w:color="auto" w:fill="auto"/>
                  <w:tcMar>
                    <w:top w:w="0" w:type="dxa"/>
                    <w:left w:w="0" w:type="dxa"/>
                    <w:bottom w:w="0" w:type="dxa"/>
                    <w:right w:w="0" w:type="dxa"/>
                  </w:tcMar>
                  <w:vAlign w:val="center"/>
                </w:tcPr>
                <w:p w14:paraId="1233297B">
                  <w:pPr>
                    <w:pStyle w:val="15"/>
                    <w:bidi w:val="0"/>
                    <w:rPr>
                      <w:rFonts w:hint="eastAsia"/>
                      <w:color w:val="auto"/>
                      <w:sz w:val="18"/>
                      <w:szCs w:val="18"/>
                    </w:rPr>
                  </w:pPr>
                  <w:r>
                    <w:rPr>
                      <w:rFonts w:hint="eastAsia"/>
                      <w:color w:val="auto"/>
                      <w:sz w:val="18"/>
                      <w:szCs w:val="18"/>
                      <w:lang w:val="en-US" w:eastAsia="zh-CN"/>
                    </w:rPr>
                    <w:t>200</w:t>
                  </w:r>
                </w:p>
              </w:tc>
              <w:tc>
                <w:tcPr>
                  <w:tcW w:w="367" w:type="pct"/>
                  <w:tcBorders>
                    <w:tl2br w:val="nil"/>
                    <w:tr2bl w:val="nil"/>
                  </w:tcBorders>
                  <w:shd w:val="clear" w:color="auto" w:fill="auto"/>
                  <w:tcMar>
                    <w:top w:w="0" w:type="dxa"/>
                    <w:left w:w="0" w:type="dxa"/>
                    <w:bottom w:w="0" w:type="dxa"/>
                    <w:right w:w="0" w:type="dxa"/>
                  </w:tcMar>
                  <w:vAlign w:val="center"/>
                </w:tcPr>
                <w:p w14:paraId="71C42E1F">
                  <w:pPr>
                    <w:pStyle w:val="15"/>
                    <w:bidi w:val="0"/>
                    <w:rPr>
                      <w:rFonts w:hint="eastAsia"/>
                      <w:color w:val="auto"/>
                      <w:sz w:val="18"/>
                      <w:szCs w:val="18"/>
                    </w:rPr>
                  </w:pPr>
                  <w:r>
                    <w:rPr>
                      <w:rFonts w:hint="eastAsia"/>
                      <w:color w:val="auto"/>
                      <w:sz w:val="18"/>
                      <w:szCs w:val="18"/>
                      <w:lang w:val="en-US" w:eastAsia="zh-CN"/>
                    </w:rPr>
                    <w:t>240</w:t>
                  </w:r>
                </w:p>
              </w:tc>
              <w:tc>
                <w:tcPr>
                  <w:tcW w:w="247" w:type="pct"/>
                  <w:tcBorders>
                    <w:tl2br w:val="nil"/>
                    <w:tr2bl w:val="nil"/>
                  </w:tcBorders>
                  <w:shd w:val="clear" w:color="auto" w:fill="auto"/>
                  <w:tcMar>
                    <w:top w:w="0" w:type="dxa"/>
                    <w:left w:w="0" w:type="dxa"/>
                    <w:bottom w:w="0" w:type="dxa"/>
                    <w:right w:w="0" w:type="dxa"/>
                  </w:tcMar>
                  <w:vAlign w:val="center"/>
                </w:tcPr>
                <w:p w14:paraId="27A145FF">
                  <w:pPr>
                    <w:pStyle w:val="15"/>
                    <w:bidi w:val="0"/>
                    <w:rPr>
                      <w:rFonts w:hint="eastAsia"/>
                      <w:color w:val="auto"/>
                      <w:sz w:val="18"/>
                      <w:szCs w:val="18"/>
                    </w:rPr>
                  </w:pPr>
                  <w:r>
                    <w:rPr>
                      <w:rFonts w:hint="eastAsia"/>
                      <w:color w:val="auto"/>
                      <w:sz w:val="18"/>
                      <w:szCs w:val="18"/>
                      <w:lang w:val="en-US" w:eastAsia="zh-CN"/>
                    </w:rPr>
                    <w:t>1.20</w:t>
                  </w:r>
                </w:p>
              </w:tc>
              <w:tc>
                <w:tcPr>
                  <w:tcW w:w="287" w:type="pct"/>
                  <w:tcBorders>
                    <w:tl2br w:val="nil"/>
                    <w:tr2bl w:val="nil"/>
                  </w:tcBorders>
                  <w:shd w:val="clear" w:color="auto" w:fill="auto"/>
                  <w:tcMar>
                    <w:top w:w="0" w:type="dxa"/>
                    <w:left w:w="0" w:type="dxa"/>
                    <w:bottom w:w="0" w:type="dxa"/>
                    <w:right w:w="0" w:type="dxa"/>
                  </w:tcMar>
                  <w:vAlign w:val="center"/>
                </w:tcPr>
                <w:p w14:paraId="0265C1BD">
                  <w:pPr>
                    <w:pStyle w:val="15"/>
                    <w:bidi w:val="0"/>
                    <w:rPr>
                      <w:rFonts w:hint="eastAsia"/>
                      <w:color w:val="auto"/>
                      <w:sz w:val="18"/>
                      <w:szCs w:val="18"/>
                    </w:rPr>
                  </w:pPr>
                  <w:r>
                    <w:rPr>
                      <w:rFonts w:hint="eastAsia"/>
                      <w:color w:val="auto"/>
                      <w:sz w:val="18"/>
                      <w:szCs w:val="18"/>
                      <w:lang w:val="en-US" w:eastAsia="zh-CN"/>
                    </w:rPr>
                    <w:t>20%</w:t>
                  </w:r>
                </w:p>
              </w:tc>
              <w:tc>
                <w:tcPr>
                  <w:tcW w:w="367" w:type="pct"/>
                  <w:tcBorders>
                    <w:tl2br w:val="nil"/>
                    <w:tr2bl w:val="nil"/>
                  </w:tcBorders>
                  <w:shd w:val="clear" w:color="auto" w:fill="auto"/>
                  <w:tcMar>
                    <w:top w:w="0" w:type="dxa"/>
                    <w:left w:w="0" w:type="dxa"/>
                    <w:bottom w:w="0" w:type="dxa"/>
                    <w:right w:w="0" w:type="dxa"/>
                  </w:tcMar>
                  <w:vAlign w:val="center"/>
                </w:tcPr>
                <w:p w14:paraId="08E2D27B">
                  <w:pPr>
                    <w:pStyle w:val="15"/>
                    <w:bidi w:val="0"/>
                    <w:rPr>
                      <w:rFonts w:hint="eastAsia"/>
                      <w:color w:val="auto"/>
                      <w:sz w:val="18"/>
                      <w:szCs w:val="18"/>
                    </w:rPr>
                  </w:pPr>
                  <w:r>
                    <w:rPr>
                      <w:rFonts w:hint="eastAsia"/>
                      <w:color w:val="auto"/>
                      <w:sz w:val="18"/>
                      <w:szCs w:val="18"/>
                      <w:lang w:val="en-US" w:eastAsia="zh-CN"/>
                    </w:rPr>
                    <w:t>不达标</w:t>
                  </w:r>
                </w:p>
              </w:tc>
              <w:tc>
                <w:tcPr>
                  <w:tcW w:w="367" w:type="pct"/>
                  <w:tcBorders>
                    <w:tl2br w:val="nil"/>
                    <w:tr2bl w:val="nil"/>
                  </w:tcBorders>
                  <w:shd w:val="clear" w:color="auto" w:fill="auto"/>
                  <w:tcMar>
                    <w:top w:w="0" w:type="dxa"/>
                    <w:left w:w="0" w:type="dxa"/>
                    <w:bottom w:w="0" w:type="dxa"/>
                    <w:right w:w="0" w:type="dxa"/>
                  </w:tcMar>
                  <w:vAlign w:val="center"/>
                </w:tcPr>
                <w:p w14:paraId="4936435F">
                  <w:pPr>
                    <w:pStyle w:val="15"/>
                    <w:bidi w:val="0"/>
                    <w:rPr>
                      <w:rFonts w:hint="eastAsia"/>
                      <w:color w:val="auto"/>
                      <w:sz w:val="18"/>
                      <w:szCs w:val="18"/>
                    </w:rPr>
                  </w:pPr>
                  <w:r>
                    <w:rPr>
                      <w:rFonts w:hint="eastAsia"/>
                      <w:color w:val="auto"/>
                      <w:sz w:val="18"/>
                      <w:szCs w:val="18"/>
                      <w:lang w:val="en-US" w:eastAsia="zh-CN"/>
                    </w:rPr>
                    <w:t>295</w:t>
                  </w:r>
                </w:p>
              </w:tc>
              <w:tc>
                <w:tcPr>
                  <w:tcW w:w="247" w:type="pct"/>
                  <w:tcBorders>
                    <w:tl2br w:val="nil"/>
                    <w:tr2bl w:val="nil"/>
                  </w:tcBorders>
                  <w:shd w:val="clear" w:color="auto" w:fill="auto"/>
                  <w:tcMar>
                    <w:top w:w="0" w:type="dxa"/>
                    <w:left w:w="0" w:type="dxa"/>
                    <w:bottom w:w="0" w:type="dxa"/>
                    <w:right w:w="0" w:type="dxa"/>
                  </w:tcMar>
                  <w:vAlign w:val="center"/>
                </w:tcPr>
                <w:p w14:paraId="2C066A7B">
                  <w:pPr>
                    <w:pStyle w:val="15"/>
                    <w:bidi w:val="0"/>
                    <w:rPr>
                      <w:rFonts w:hint="eastAsia"/>
                      <w:color w:val="auto"/>
                      <w:sz w:val="18"/>
                      <w:szCs w:val="18"/>
                    </w:rPr>
                  </w:pPr>
                  <w:r>
                    <w:rPr>
                      <w:rFonts w:hint="eastAsia"/>
                      <w:color w:val="auto"/>
                      <w:sz w:val="18"/>
                      <w:szCs w:val="18"/>
                      <w:lang w:val="en-US" w:eastAsia="zh-CN"/>
                    </w:rPr>
                    <w:t>1.48</w:t>
                  </w:r>
                </w:p>
              </w:tc>
              <w:tc>
                <w:tcPr>
                  <w:tcW w:w="287" w:type="pct"/>
                  <w:tcBorders>
                    <w:tl2br w:val="nil"/>
                    <w:tr2bl w:val="nil"/>
                  </w:tcBorders>
                  <w:shd w:val="clear" w:color="auto" w:fill="auto"/>
                  <w:tcMar>
                    <w:top w:w="0" w:type="dxa"/>
                    <w:left w:w="0" w:type="dxa"/>
                    <w:bottom w:w="0" w:type="dxa"/>
                    <w:right w:w="0" w:type="dxa"/>
                  </w:tcMar>
                  <w:vAlign w:val="center"/>
                </w:tcPr>
                <w:p w14:paraId="275F0D1A">
                  <w:pPr>
                    <w:pStyle w:val="15"/>
                    <w:bidi w:val="0"/>
                    <w:rPr>
                      <w:rFonts w:hint="eastAsia"/>
                      <w:color w:val="auto"/>
                      <w:sz w:val="18"/>
                      <w:szCs w:val="18"/>
                    </w:rPr>
                  </w:pPr>
                  <w:r>
                    <w:rPr>
                      <w:rFonts w:hint="eastAsia"/>
                      <w:color w:val="auto"/>
                      <w:sz w:val="18"/>
                      <w:szCs w:val="18"/>
                      <w:lang w:val="en-US" w:eastAsia="zh-CN"/>
                    </w:rPr>
                    <w:t>48%</w:t>
                  </w:r>
                </w:p>
              </w:tc>
              <w:tc>
                <w:tcPr>
                  <w:tcW w:w="367" w:type="pct"/>
                  <w:tcBorders>
                    <w:tl2br w:val="nil"/>
                    <w:tr2bl w:val="nil"/>
                  </w:tcBorders>
                  <w:shd w:val="clear" w:color="auto" w:fill="auto"/>
                  <w:tcMar>
                    <w:top w:w="0" w:type="dxa"/>
                    <w:left w:w="0" w:type="dxa"/>
                    <w:bottom w:w="0" w:type="dxa"/>
                    <w:right w:w="0" w:type="dxa"/>
                  </w:tcMar>
                  <w:vAlign w:val="center"/>
                </w:tcPr>
                <w:p w14:paraId="248D4924">
                  <w:pPr>
                    <w:pStyle w:val="15"/>
                    <w:bidi w:val="0"/>
                    <w:rPr>
                      <w:rFonts w:hint="eastAsia"/>
                      <w:color w:val="auto"/>
                      <w:sz w:val="18"/>
                      <w:szCs w:val="18"/>
                    </w:rPr>
                  </w:pPr>
                  <w:r>
                    <w:rPr>
                      <w:rFonts w:hint="eastAsia"/>
                      <w:color w:val="auto"/>
                      <w:sz w:val="18"/>
                      <w:szCs w:val="18"/>
                      <w:lang w:val="en-US" w:eastAsia="zh-CN"/>
                    </w:rPr>
                    <w:t>不达标</w:t>
                  </w:r>
                </w:p>
              </w:tc>
              <w:tc>
                <w:tcPr>
                  <w:tcW w:w="394" w:type="pct"/>
                  <w:tcBorders>
                    <w:tl2br w:val="nil"/>
                    <w:tr2bl w:val="nil"/>
                  </w:tcBorders>
                  <w:shd w:val="clear" w:color="auto" w:fill="auto"/>
                  <w:tcMar>
                    <w:top w:w="0" w:type="dxa"/>
                    <w:left w:w="0" w:type="dxa"/>
                    <w:bottom w:w="0" w:type="dxa"/>
                    <w:right w:w="0" w:type="dxa"/>
                  </w:tcMar>
                  <w:vAlign w:val="center"/>
                </w:tcPr>
                <w:p w14:paraId="46FE88A3">
                  <w:pPr>
                    <w:pStyle w:val="15"/>
                    <w:bidi w:val="0"/>
                    <w:rPr>
                      <w:rFonts w:hint="eastAsia"/>
                      <w:color w:val="auto"/>
                      <w:sz w:val="18"/>
                      <w:szCs w:val="18"/>
                    </w:rPr>
                  </w:pPr>
                  <w:r>
                    <w:rPr>
                      <w:rFonts w:hint="eastAsia"/>
                      <w:color w:val="auto"/>
                      <w:sz w:val="18"/>
                      <w:szCs w:val="18"/>
                      <w:lang w:val="en-US" w:eastAsia="zh-CN"/>
                    </w:rPr>
                    <w:t>0.01</w:t>
                  </w:r>
                </w:p>
              </w:tc>
            </w:tr>
            <w:tr w14:paraId="2DF79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40A80BE5">
                  <w:pPr>
                    <w:pStyle w:val="15"/>
                    <w:bidi w:val="0"/>
                    <w:rPr>
                      <w:rFonts w:hint="eastAsia"/>
                      <w:color w:val="auto"/>
                      <w:sz w:val="18"/>
                      <w:szCs w:val="18"/>
                    </w:rPr>
                  </w:pPr>
                  <w:r>
                    <w:rPr>
                      <w:rFonts w:hint="eastAsia"/>
                      <w:color w:val="auto"/>
                      <w:sz w:val="18"/>
                      <w:szCs w:val="18"/>
                      <w:lang w:val="en-US" w:eastAsia="zh-CN"/>
                    </w:rPr>
                    <w:t>32</w:t>
                  </w:r>
                </w:p>
              </w:tc>
              <w:tc>
                <w:tcPr>
                  <w:tcW w:w="828" w:type="pct"/>
                  <w:tcBorders>
                    <w:tl2br w:val="nil"/>
                    <w:tr2bl w:val="nil"/>
                  </w:tcBorders>
                  <w:shd w:val="clear" w:color="auto" w:fill="auto"/>
                  <w:tcMar>
                    <w:top w:w="0" w:type="dxa"/>
                    <w:left w:w="0" w:type="dxa"/>
                    <w:bottom w:w="0" w:type="dxa"/>
                    <w:right w:w="0" w:type="dxa"/>
                  </w:tcMar>
                  <w:vAlign w:val="center"/>
                </w:tcPr>
                <w:p w14:paraId="108DF558">
                  <w:pPr>
                    <w:pStyle w:val="15"/>
                    <w:bidi w:val="0"/>
                    <w:rPr>
                      <w:rFonts w:hint="eastAsia"/>
                      <w:color w:val="auto"/>
                      <w:sz w:val="18"/>
                      <w:szCs w:val="18"/>
                    </w:rPr>
                  </w:pPr>
                  <w:r>
                    <w:rPr>
                      <w:rFonts w:hint="eastAsia"/>
                      <w:color w:val="auto"/>
                      <w:sz w:val="18"/>
                      <w:szCs w:val="18"/>
                      <w:lang w:val="en-US" w:eastAsia="zh-CN"/>
                    </w:rPr>
                    <w:t>苯</w:t>
                  </w:r>
                </w:p>
              </w:tc>
              <w:tc>
                <w:tcPr>
                  <w:tcW w:w="633" w:type="pct"/>
                  <w:tcBorders>
                    <w:tl2br w:val="nil"/>
                    <w:tr2bl w:val="nil"/>
                  </w:tcBorders>
                  <w:shd w:val="clear" w:color="auto" w:fill="auto"/>
                  <w:tcMar>
                    <w:top w:w="0" w:type="dxa"/>
                    <w:left w:w="0" w:type="dxa"/>
                    <w:bottom w:w="0" w:type="dxa"/>
                    <w:right w:w="0" w:type="dxa"/>
                  </w:tcMar>
                  <w:vAlign w:val="center"/>
                </w:tcPr>
                <w:p w14:paraId="45CB89CD">
                  <w:pPr>
                    <w:pStyle w:val="15"/>
                    <w:bidi w:val="0"/>
                    <w:rPr>
                      <w:rFonts w:hint="eastAsia"/>
                      <w:color w:val="auto"/>
                      <w:sz w:val="18"/>
                      <w:szCs w:val="18"/>
                    </w:rPr>
                  </w:pPr>
                  <w:r>
                    <w:rPr>
                      <w:rFonts w:hint="eastAsia"/>
                      <w:color w:val="auto"/>
                      <w:sz w:val="18"/>
                      <w:szCs w:val="18"/>
                      <w:lang w:val="en-US" w:eastAsia="zh-CN"/>
                    </w:rPr>
                    <w:t>µg/L</w:t>
                  </w:r>
                </w:p>
              </w:tc>
              <w:tc>
                <w:tcPr>
                  <w:tcW w:w="358" w:type="pct"/>
                  <w:tcBorders>
                    <w:tl2br w:val="nil"/>
                    <w:tr2bl w:val="nil"/>
                  </w:tcBorders>
                  <w:shd w:val="clear" w:color="auto" w:fill="auto"/>
                  <w:tcMar>
                    <w:top w:w="0" w:type="dxa"/>
                    <w:left w:w="0" w:type="dxa"/>
                    <w:bottom w:w="0" w:type="dxa"/>
                    <w:right w:w="0" w:type="dxa"/>
                  </w:tcMar>
                  <w:vAlign w:val="center"/>
                </w:tcPr>
                <w:p w14:paraId="049ADBAD">
                  <w:pPr>
                    <w:pStyle w:val="15"/>
                    <w:bidi w:val="0"/>
                    <w:rPr>
                      <w:rFonts w:hint="eastAsia"/>
                      <w:color w:val="auto"/>
                      <w:sz w:val="18"/>
                      <w:szCs w:val="18"/>
                    </w:rPr>
                  </w:pPr>
                  <w:r>
                    <w:rPr>
                      <w:rFonts w:hint="eastAsia"/>
                      <w:color w:val="auto"/>
                      <w:sz w:val="18"/>
                      <w:szCs w:val="18"/>
                      <w:lang w:val="en-US" w:eastAsia="zh-CN"/>
                    </w:rPr>
                    <w:t>10</w:t>
                  </w:r>
                </w:p>
              </w:tc>
              <w:tc>
                <w:tcPr>
                  <w:tcW w:w="367" w:type="pct"/>
                  <w:tcBorders>
                    <w:tl2br w:val="nil"/>
                    <w:tr2bl w:val="nil"/>
                  </w:tcBorders>
                  <w:shd w:val="clear" w:color="auto" w:fill="auto"/>
                  <w:tcMar>
                    <w:top w:w="0" w:type="dxa"/>
                    <w:left w:w="0" w:type="dxa"/>
                    <w:bottom w:w="0" w:type="dxa"/>
                    <w:right w:w="0" w:type="dxa"/>
                  </w:tcMar>
                  <w:vAlign w:val="center"/>
                </w:tcPr>
                <w:p w14:paraId="77FD19A3">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14C9990F">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30EAFF0">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6F252174">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4821A9BA">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01B04D33">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3E7D40A6">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474C2421">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6C5A9ECE">
                  <w:pPr>
                    <w:pStyle w:val="15"/>
                    <w:bidi w:val="0"/>
                    <w:rPr>
                      <w:rFonts w:hint="eastAsia"/>
                      <w:color w:val="auto"/>
                      <w:sz w:val="18"/>
                      <w:szCs w:val="18"/>
                    </w:rPr>
                  </w:pPr>
                  <w:r>
                    <w:rPr>
                      <w:rFonts w:hint="eastAsia"/>
                      <w:color w:val="auto"/>
                      <w:sz w:val="18"/>
                      <w:szCs w:val="18"/>
                      <w:lang w:val="en-US" w:eastAsia="zh-CN"/>
                    </w:rPr>
                    <w:t>4.69</w:t>
                  </w:r>
                </w:p>
              </w:tc>
            </w:tr>
            <w:tr w14:paraId="2897C8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1BA65359">
                  <w:pPr>
                    <w:pStyle w:val="15"/>
                    <w:bidi w:val="0"/>
                    <w:rPr>
                      <w:rFonts w:hint="eastAsia"/>
                      <w:color w:val="auto"/>
                      <w:sz w:val="18"/>
                      <w:szCs w:val="18"/>
                    </w:rPr>
                  </w:pPr>
                  <w:r>
                    <w:rPr>
                      <w:rFonts w:hint="eastAsia"/>
                      <w:color w:val="auto"/>
                      <w:sz w:val="18"/>
                      <w:szCs w:val="18"/>
                      <w:lang w:val="en-US" w:eastAsia="zh-CN"/>
                    </w:rPr>
                    <w:t>33</w:t>
                  </w:r>
                </w:p>
              </w:tc>
              <w:tc>
                <w:tcPr>
                  <w:tcW w:w="828" w:type="pct"/>
                  <w:tcBorders>
                    <w:tl2br w:val="nil"/>
                    <w:tr2bl w:val="nil"/>
                  </w:tcBorders>
                  <w:shd w:val="clear" w:color="auto" w:fill="auto"/>
                  <w:tcMar>
                    <w:top w:w="0" w:type="dxa"/>
                    <w:left w:w="0" w:type="dxa"/>
                    <w:bottom w:w="0" w:type="dxa"/>
                    <w:right w:w="0" w:type="dxa"/>
                  </w:tcMar>
                  <w:vAlign w:val="center"/>
                </w:tcPr>
                <w:p w14:paraId="2CDB797B">
                  <w:pPr>
                    <w:pStyle w:val="15"/>
                    <w:bidi w:val="0"/>
                    <w:rPr>
                      <w:rFonts w:hint="eastAsia"/>
                      <w:color w:val="auto"/>
                      <w:sz w:val="18"/>
                      <w:szCs w:val="18"/>
                    </w:rPr>
                  </w:pPr>
                  <w:r>
                    <w:rPr>
                      <w:rFonts w:hint="eastAsia"/>
                      <w:color w:val="auto"/>
                      <w:sz w:val="18"/>
                      <w:szCs w:val="18"/>
                      <w:lang w:val="en-US" w:eastAsia="zh-CN"/>
                    </w:rPr>
                    <w:t>甲苯</w:t>
                  </w:r>
                </w:p>
              </w:tc>
              <w:tc>
                <w:tcPr>
                  <w:tcW w:w="633" w:type="pct"/>
                  <w:tcBorders>
                    <w:tl2br w:val="nil"/>
                    <w:tr2bl w:val="nil"/>
                  </w:tcBorders>
                  <w:shd w:val="clear" w:color="auto" w:fill="auto"/>
                  <w:tcMar>
                    <w:top w:w="0" w:type="dxa"/>
                    <w:left w:w="0" w:type="dxa"/>
                    <w:bottom w:w="0" w:type="dxa"/>
                    <w:right w:w="0" w:type="dxa"/>
                  </w:tcMar>
                  <w:vAlign w:val="center"/>
                </w:tcPr>
                <w:p w14:paraId="5BE42054">
                  <w:pPr>
                    <w:pStyle w:val="15"/>
                    <w:bidi w:val="0"/>
                    <w:rPr>
                      <w:rFonts w:hint="eastAsia"/>
                      <w:color w:val="auto"/>
                      <w:sz w:val="18"/>
                      <w:szCs w:val="18"/>
                    </w:rPr>
                  </w:pPr>
                  <w:r>
                    <w:rPr>
                      <w:rFonts w:hint="eastAsia"/>
                      <w:color w:val="auto"/>
                      <w:sz w:val="18"/>
                      <w:szCs w:val="18"/>
                      <w:lang w:val="en-US" w:eastAsia="zh-CN"/>
                    </w:rPr>
                    <w:t>µg/L</w:t>
                  </w:r>
                </w:p>
              </w:tc>
              <w:tc>
                <w:tcPr>
                  <w:tcW w:w="358" w:type="pct"/>
                  <w:tcBorders>
                    <w:tl2br w:val="nil"/>
                    <w:tr2bl w:val="nil"/>
                  </w:tcBorders>
                  <w:shd w:val="clear" w:color="auto" w:fill="auto"/>
                  <w:tcMar>
                    <w:top w:w="0" w:type="dxa"/>
                    <w:left w:w="0" w:type="dxa"/>
                    <w:bottom w:w="0" w:type="dxa"/>
                    <w:right w:w="0" w:type="dxa"/>
                  </w:tcMar>
                  <w:vAlign w:val="center"/>
                </w:tcPr>
                <w:p w14:paraId="7FE58652">
                  <w:pPr>
                    <w:pStyle w:val="15"/>
                    <w:bidi w:val="0"/>
                    <w:rPr>
                      <w:rFonts w:hint="eastAsia"/>
                      <w:color w:val="auto"/>
                      <w:sz w:val="18"/>
                      <w:szCs w:val="18"/>
                    </w:rPr>
                  </w:pPr>
                  <w:r>
                    <w:rPr>
                      <w:rFonts w:hint="eastAsia"/>
                      <w:color w:val="auto"/>
                      <w:sz w:val="18"/>
                      <w:szCs w:val="18"/>
                      <w:lang w:val="en-US" w:eastAsia="zh-CN"/>
                    </w:rPr>
                    <w:t>700</w:t>
                  </w:r>
                </w:p>
              </w:tc>
              <w:tc>
                <w:tcPr>
                  <w:tcW w:w="367" w:type="pct"/>
                  <w:tcBorders>
                    <w:tl2br w:val="nil"/>
                    <w:tr2bl w:val="nil"/>
                  </w:tcBorders>
                  <w:shd w:val="clear" w:color="auto" w:fill="auto"/>
                  <w:tcMar>
                    <w:top w:w="0" w:type="dxa"/>
                    <w:left w:w="0" w:type="dxa"/>
                    <w:bottom w:w="0" w:type="dxa"/>
                    <w:right w:w="0" w:type="dxa"/>
                  </w:tcMar>
                  <w:vAlign w:val="center"/>
                </w:tcPr>
                <w:p w14:paraId="6B3A48FC">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1A4F5CF8">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7AFA6CBF">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1570633B">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3A9B235D">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0F0D48FD">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245388FF">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29F4E167">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3B29B0AC">
                  <w:pPr>
                    <w:pStyle w:val="15"/>
                    <w:bidi w:val="0"/>
                    <w:rPr>
                      <w:rFonts w:hint="eastAsia"/>
                      <w:color w:val="auto"/>
                      <w:sz w:val="18"/>
                      <w:szCs w:val="18"/>
                    </w:rPr>
                  </w:pPr>
                  <w:r>
                    <w:rPr>
                      <w:rFonts w:hint="eastAsia"/>
                      <w:color w:val="auto"/>
                      <w:sz w:val="18"/>
                      <w:szCs w:val="18"/>
                      <w:lang w:val="en-US" w:eastAsia="zh-CN"/>
                    </w:rPr>
                    <w:t>3.13</w:t>
                  </w:r>
                </w:p>
              </w:tc>
            </w:tr>
            <w:tr w14:paraId="2ACBE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47" w:type="pct"/>
                  <w:tcBorders>
                    <w:tl2br w:val="nil"/>
                    <w:tr2bl w:val="nil"/>
                  </w:tcBorders>
                  <w:shd w:val="clear" w:color="auto" w:fill="auto"/>
                  <w:tcMar>
                    <w:top w:w="0" w:type="dxa"/>
                    <w:left w:w="0" w:type="dxa"/>
                    <w:bottom w:w="0" w:type="dxa"/>
                    <w:right w:w="0" w:type="dxa"/>
                  </w:tcMar>
                  <w:vAlign w:val="center"/>
                </w:tcPr>
                <w:p w14:paraId="0E8AC1D3">
                  <w:pPr>
                    <w:pStyle w:val="15"/>
                    <w:bidi w:val="0"/>
                    <w:rPr>
                      <w:rFonts w:hint="eastAsia"/>
                      <w:color w:val="auto"/>
                      <w:sz w:val="18"/>
                      <w:szCs w:val="18"/>
                    </w:rPr>
                  </w:pPr>
                  <w:r>
                    <w:rPr>
                      <w:rFonts w:hint="eastAsia"/>
                      <w:color w:val="auto"/>
                      <w:sz w:val="18"/>
                      <w:szCs w:val="18"/>
                      <w:lang w:val="en-US" w:eastAsia="zh-CN"/>
                    </w:rPr>
                    <w:t>34</w:t>
                  </w:r>
                </w:p>
              </w:tc>
              <w:tc>
                <w:tcPr>
                  <w:tcW w:w="828" w:type="pct"/>
                  <w:tcBorders>
                    <w:tl2br w:val="nil"/>
                    <w:tr2bl w:val="nil"/>
                  </w:tcBorders>
                  <w:shd w:val="clear" w:color="auto" w:fill="auto"/>
                  <w:tcMar>
                    <w:top w:w="0" w:type="dxa"/>
                    <w:left w:w="0" w:type="dxa"/>
                    <w:bottom w:w="0" w:type="dxa"/>
                    <w:right w:w="0" w:type="dxa"/>
                  </w:tcMar>
                  <w:vAlign w:val="center"/>
                </w:tcPr>
                <w:p w14:paraId="3015C305">
                  <w:pPr>
                    <w:pStyle w:val="15"/>
                    <w:bidi w:val="0"/>
                    <w:rPr>
                      <w:rFonts w:hint="eastAsia"/>
                      <w:color w:val="auto"/>
                      <w:sz w:val="18"/>
                      <w:szCs w:val="18"/>
                    </w:rPr>
                  </w:pPr>
                  <w:r>
                    <w:rPr>
                      <w:rFonts w:hint="eastAsia"/>
                      <w:color w:val="auto"/>
                      <w:sz w:val="18"/>
                      <w:szCs w:val="18"/>
                      <w:lang w:val="en-US" w:eastAsia="zh-CN"/>
                    </w:rPr>
                    <w:t>二甲苯（总量）</w:t>
                  </w:r>
                </w:p>
              </w:tc>
              <w:tc>
                <w:tcPr>
                  <w:tcW w:w="633" w:type="pct"/>
                  <w:tcBorders>
                    <w:tl2br w:val="nil"/>
                    <w:tr2bl w:val="nil"/>
                  </w:tcBorders>
                  <w:shd w:val="clear" w:color="auto" w:fill="auto"/>
                  <w:tcMar>
                    <w:top w:w="0" w:type="dxa"/>
                    <w:left w:w="0" w:type="dxa"/>
                    <w:bottom w:w="0" w:type="dxa"/>
                    <w:right w:w="0" w:type="dxa"/>
                  </w:tcMar>
                  <w:vAlign w:val="center"/>
                </w:tcPr>
                <w:p w14:paraId="128277E1">
                  <w:pPr>
                    <w:pStyle w:val="15"/>
                    <w:bidi w:val="0"/>
                    <w:rPr>
                      <w:rFonts w:hint="eastAsia"/>
                      <w:color w:val="auto"/>
                      <w:sz w:val="18"/>
                      <w:szCs w:val="18"/>
                    </w:rPr>
                  </w:pPr>
                  <w:r>
                    <w:rPr>
                      <w:rFonts w:hint="eastAsia"/>
                      <w:color w:val="auto"/>
                      <w:sz w:val="18"/>
                      <w:szCs w:val="18"/>
                      <w:lang w:val="en-US" w:eastAsia="zh-CN"/>
                    </w:rPr>
                    <w:t>µg/L</w:t>
                  </w:r>
                </w:p>
              </w:tc>
              <w:tc>
                <w:tcPr>
                  <w:tcW w:w="358" w:type="pct"/>
                  <w:tcBorders>
                    <w:tl2br w:val="nil"/>
                    <w:tr2bl w:val="nil"/>
                  </w:tcBorders>
                  <w:shd w:val="clear" w:color="auto" w:fill="auto"/>
                  <w:tcMar>
                    <w:top w:w="0" w:type="dxa"/>
                    <w:left w:w="0" w:type="dxa"/>
                    <w:bottom w:w="0" w:type="dxa"/>
                    <w:right w:w="0" w:type="dxa"/>
                  </w:tcMar>
                  <w:vAlign w:val="center"/>
                </w:tcPr>
                <w:p w14:paraId="7E3E7A7B">
                  <w:pPr>
                    <w:pStyle w:val="15"/>
                    <w:bidi w:val="0"/>
                    <w:rPr>
                      <w:rFonts w:hint="eastAsia"/>
                      <w:color w:val="auto"/>
                      <w:sz w:val="18"/>
                      <w:szCs w:val="18"/>
                    </w:rPr>
                  </w:pPr>
                  <w:r>
                    <w:rPr>
                      <w:rFonts w:hint="eastAsia"/>
                      <w:color w:val="auto"/>
                      <w:sz w:val="18"/>
                      <w:szCs w:val="18"/>
                      <w:lang w:val="en-US" w:eastAsia="zh-CN"/>
                    </w:rPr>
                    <w:t>500</w:t>
                  </w:r>
                </w:p>
              </w:tc>
              <w:tc>
                <w:tcPr>
                  <w:tcW w:w="367" w:type="pct"/>
                  <w:tcBorders>
                    <w:tl2br w:val="nil"/>
                    <w:tr2bl w:val="nil"/>
                  </w:tcBorders>
                  <w:shd w:val="clear" w:color="auto" w:fill="auto"/>
                  <w:tcMar>
                    <w:top w:w="0" w:type="dxa"/>
                    <w:left w:w="0" w:type="dxa"/>
                    <w:bottom w:w="0" w:type="dxa"/>
                    <w:right w:w="0" w:type="dxa"/>
                  </w:tcMar>
                  <w:vAlign w:val="center"/>
                </w:tcPr>
                <w:p w14:paraId="28CD155C">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2D1DD9C5">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80F9FED">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7433F168">
                  <w:pPr>
                    <w:pStyle w:val="15"/>
                    <w:bidi w:val="0"/>
                    <w:rPr>
                      <w:rFonts w:hint="eastAsia"/>
                      <w:color w:val="auto"/>
                      <w:sz w:val="18"/>
                      <w:szCs w:val="18"/>
                    </w:rPr>
                  </w:pPr>
                  <w:r>
                    <w:rPr>
                      <w:rFonts w:hint="eastAsia"/>
                      <w:color w:val="auto"/>
                      <w:sz w:val="18"/>
                      <w:szCs w:val="18"/>
                      <w:lang w:val="en-US" w:eastAsia="zh-CN"/>
                    </w:rPr>
                    <w:t>达标</w:t>
                  </w:r>
                </w:p>
              </w:tc>
              <w:tc>
                <w:tcPr>
                  <w:tcW w:w="367" w:type="pct"/>
                  <w:tcBorders>
                    <w:tl2br w:val="nil"/>
                    <w:tr2bl w:val="nil"/>
                  </w:tcBorders>
                  <w:shd w:val="clear" w:color="auto" w:fill="auto"/>
                  <w:tcMar>
                    <w:top w:w="0" w:type="dxa"/>
                    <w:left w:w="0" w:type="dxa"/>
                    <w:bottom w:w="0" w:type="dxa"/>
                    <w:right w:w="0" w:type="dxa"/>
                  </w:tcMar>
                  <w:vAlign w:val="center"/>
                </w:tcPr>
                <w:p w14:paraId="400F6348">
                  <w:pPr>
                    <w:pStyle w:val="15"/>
                    <w:bidi w:val="0"/>
                    <w:rPr>
                      <w:rFonts w:hint="eastAsia"/>
                      <w:color w:val="auto"/>
                      <w:sz w:val="18"/>
                      <w:szCs w:val="18"/>
                    </w:rPr>
                  </w:pPr>
                  <w:r>
                    <w:rPr>
                      <w:rFonts w:hint="eastAsia"/>
                      <w:color w:val="auto"/>
                      <w:sz w:val="18"/>
                      <w:szCs w:val="18"/>
                      <w:lang w:val="en-US" w:eastAsia="zh-CN"/>
                    </w:rPr>
                    <w:t>ND</w:t>
                  </w:r>
                </w:p>
              </w:tc>
              <w:tc>
                <w:tcPr>
                  <w:tcW w:w="247" w:type="pct"/>
                  <w:tcBorders>
                    <w:tl2br w:val="nil"/>
                    <w:tr2bl w:val="nil"/>
                  </w:tcBorders>
                  <w:shd w:val="clear" w:color="auto" w:fill="auto"/>
                  <w:tcMar>
                    <w:top w:w="0" w:type="dxa"/>
                    <w:left w:w="0" w:type="dxa"/>
                    <w:bottom w:w="0" w:type="dxa"/>
                    <w:right w:w="0" w:type="dxa"/>
                  </w:tcMar>
                  <w:vAlign w:val="center"/>
                </w:tcPr>
                <w:p w14:paraId="43386851">
                  <w:pPr>
                    <w:pStyle w:val="15"/>
                    <w:bidi w:val="0"/>
                    <w:rPr>
                      <w:rFonts w:hint="eastAsia"/>
                      <w:color w:val="auto"/>
                      <w:sz w:val="18"/>
                      <w:szCs w:val="18"/>
                    </w:rPr>
                  </w:pPr>
                  <w:r>
                    <w:rPr>
                      <w:rFonts w:hint="eastAsia"/>
                      <w:color w:val="auto"/>
                      <w:sz w:val="18"/>
                      <w:szCs w:val="18"/>
                      <w:lang w:val="en-US" w:eastAsia="zh-CN"/>
                    </w:rPr>
                    <w:t>/</w:t>
                  </w:r>
                </w:p>
              </w:tc>
              <w:tc>
                <w:tcPr>
                  <w:tcW w:w="287" w:type="pct"/>
                  <w:tcBorders>
                    <w:tl2br w:val="nil"/>
                    <w:tr2bl w:val="nil"/>
                  </w:tcBorders>
                  <w:shd w:val="clear" w:color="auto" w:fill="auto"/>
                  <w:tcMar>
                    <w:top w:w="0" w:type="dxa"/>
                    <w:left w:w="0" w:type="dxa"/>
                    <w:bottom w:w="0" w:type="dxa"/>
                    <w:right w:w="0" w:type="dxa"/>
                  </w:tcMar>
                  <w:vAlign w:val="center"/>
                </w:tcPr>
                <w:p w14:paraId="47F1532A">
                  <w:pPr>
                    <w:pStyle w:val="15"/>
                    <w:bidi w:val="0"/>
                    <w:rPr>
                      <w:rFonts w:hint="eastAsia"/>
                      <w:color w:val="auto"/>
                      <w:sz w:val="18"/>
                      <w:szCs w:val="18"/>
                    </w:rPr>
                  </w:pPr>
                  <w:r>
                    <w:rPr>
                      <w:rFonts w:hint="eastAsia"/>
                      <w:color w:val="auto"/>
                      <w:sz w:val="18"/>
                      <w:szCs w:val="18"/>
                      <w:lang w:val="en-US" w:eastAsia="zh-CN"/>
                    </w:rPr>
                    <w:t>0%</w:t>
                  </w:r>
                </w:p>
              </w:tc>
              <w:tc>
                <w:tcPr>
                  <w:tcW w:w="367" w:type="pct"/>
                  <w:tcBorders>
                    <w:tl2br w:val="nil"/>
                    <w:tr2bl w:val="nil"/>
                  </w:tcBorders>
                  <w:shd w:val="clear" w:color="auto" w:fill="auto"/>
                  <w:tcMar>
                    <w:top w:w="0" w:type="dxa"/>
                    <w:left w:w="0" w:type="dxa"/>
                    <w:bottom w:w="0" w:type="dxa"/>
                    <w:right w:w="0" w:type="dxa"/>
                  </w:tcMar>
                  <w:vAlign w:val="center"/>
                </w:tcPr>
                <w:p w14:paraId="33049632">
                  <w:pPr>
                    <w:pStyle w:val="15"/>
                    <w:bidi w:val="0"/>
                    <w:rPr>
                      <w:rFonts w:hint="eastAsia"/>
                      <w:color w:val="auto"/>
                      <w:sz w:val="18"/>
                      <w:szCs w:val="18"/>
                    </w:rPr>
                  </w:pPr>
                  <w:r>
                    <w:rPr>
                      <w:rFonts w:hint="eastAsia"/>
                      <w:color w:val="auto"/>
                      <w:sz w:val="18"/>
                      <w:szCs w:val="18"/>
                      <w:lang w:val="en-US" w:eastAsia="zh-CN"/>
                    </w:rPr>
                    <w:t>达标</w:t>
                  </w:r>
                </w:p>
              </w:tc>
              <w:tc>
                <w:tcPr>
                  <w:tcW w:w="394" w:type="pct"/>
                  <w:tcBorders>
                    <w:tl2br w:val="nil"/>
                    <w:tr2bl w:val="nil"/>
                  </w:tcBorders>
                  <w:shd w:val="clear" w:color="auto" w:fill="auto"/>
                  <w:tcMar>
                    <w:top w:w="0" w:type="dxa"/>
                    <w:left w:w="0" w:type="dxa"/>
                    <w:bottom w:w="0" w:type="dxa"/>
                    <w:right w:w="0" w:type="dxa"/>
                  </w:tcMar>
                  <w:vAlign w:val="center"/>
                </w:tcPr>
                <w:p w14:paraId="384B1CCE">
                  <w:pPr>
                    <w:pStyle w:val="15"/>
                    <w:bidi w:val="0"/>
                    <w:rPr>
                      <w:rFonts w:hint="eastAsia"/>
                      <w:color w:val="auto"/>
                      <w:sz w:val="18"/>
                      <w:szCs w:val="18"/>
                    </w:rPr>
                  </w:pPr>
                  <w:r>
                    <w:rPr>
                      <w:rFonts w:hint="eastAsia"/>
                      <w:color w:val="auto"/>
                      <w:sz w:val="18"/>
                      <w:szCs w:val="18"/>
                      <w:lang w:val="en-US" w:eastAsia="zh-CN"/>
                    </w:rPr>
                    <w:t>7.06</w:t>
                  </w:r>
                </w:p>
              </w:tc>
            </w:tr>
          </w:tbl>
          <w:p w14:paraId="7582DC2C">
            <w:pPr>
              <w:pStyle w:val="16"/>
              <w:bidi w:val="0"/>
              <w:rPr>
                <w:rFonts w:hint="eastAsia"/>
                <w:color w:val="auto"/>
                <w:highlight w:val="none"/>
              </w:rPr>
            </w:pPr>
            <w:r>
              <w:t xml:space="preserve">表 </w:t>
            </w:r>
            <w:r>
              <w:fldChar w:fldCharType="begin"/>
            </w:r>
            <w:r>
              <w:instrText xml:space="preserve"> SEQ 表 \* ARABIC </w:instrText>
            </w:r>
            <w:r>
              <w:fldChar w:fldCharType="separate"/>
            </w:r>
            <w:r>
              <w:t>22</w:t>
            </w:r>
            <w:r>
              <w:fldChar w:fldCharType="end"/>
            </w:r>
            <w:r>
              <w:rPr>
                <w:rFonts w:hint="eastAsia"/>
                <w:lang w:val="en-US" w:eastAsia="zh-CN"/>
              </w:rPr>
              <w:t xml:space="preserve">  </w:t>
            </w:r>
            <w:r>
              <w:rPr>
                <w:color w:val="auto"/>
              </w:rPr>
              <w:t>地下水</w:t>
            </w:r>
            <w:r>
              <w:rPr>
                <w:rFonts w:hint="eastAsia"/>
                <w:color w:val="auto"/>
                <w:lang w:val="en-US" w:eastAsia="zh-CN"/>
              </w:rPr>
              <w:t>现状监测点</w:t>
            </w:r>
            <w:r>
              <w:rPr>
                <w:color w:val="auto"/>
              </w:rPr>
              <w:t>监测</w:t>
            </w:r>
            <w:r>
              <w:rPr>
                <w:rFonts w:hint="eastAsia"/>
                <w:color w:val="auto"/>
              </w:rPr>
              <w:t>基本因子</w:t>
            </w:r>
            <w:r>
              <w:rPr>
                <w:color w:val="auto"/>
              </w:rPr>
              <w:t>分析结果</w:t>
            </w:r>
            <w:r>
              <w:rPr>
                <w:rFonts w:hint="eastAsia"/>
                <w:color w:val="auto"/>
              </w:rPr>
              <w:t>一览表</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7"/>
              <w:gridCol w:w="1003"/>
              <w:gridCol w:w="739"/>
              <w:gridCol w:w="444"/>
              <w:gridCol w:w="444"/>
              <w:gridCol w:w="350"/>
              <w:gridCol w:w="442"/>
              <w:gridCol w:w="444"/>
              <w:gridCol w:w="444"/>
              <w:gridCol w:w="318"/>
              <w:gridCol w:w="379"/>
              <w:gridCol w:w="445"/>
              <w:gridCol w:w="444"/>
              <w:gridCol w:w="350"/>
              <w:gridCol w:w="442"/>
              <w:gridCol w:w="444"/>
              <w:gridCol w:w="485"/>
            </w:tblGrid>
            <w:tr w14:paraId="2453E9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206" w:type="pct"/>
                  <w:vMerge w:val="restart"/>
                  <w:tcBorders>
                    <w:tl2br w:val="nil"/>
                    <w:tr2bl w:val="nil"/>
                  </w:tcBorders>
                  <w:shd w:val="clear" w:color="auto" w:fill="auto"/>
                  <w:tcMar>
                    <w:top w:w="0" w:type="dxa"/>
                    <w:left w:w="0" w:type="dxa"/>
                    <w:bottom w:w="0" w:type="dxa"/>
                    <w:right w:w="0" w:type="dxa"/>
                  </w:tcMar>
                  <w:vAlign w:val="center"/>
                </w:tcPr>
                <w:p w14:paraId="37283088">
                  <w:pPr>
                    <w:pStyle w:val="15"/>
                    <w:bidi w:val="0"/>
                    <w:rPr>
                      <w:rFonts w:hint="eastAsia"/>
                      <w:color w:val="auto"/>
                      <w:sz w:val="18"/>
                      <w:szCs w:val="18"/>
                    </w:rPr>
                  </w:pPr>
                  <w:r>
                    <w:rPr>
                      <w:rFonts w:hint="eastAsia"/>
                      <w:color w:val="auto"/>
                      <w:sz w:val="18"/>
                      <w:szCs w:val="18"/>
                      <w:lang w:val="en-US" w:eastAsia="zh-CN"/>
                    </w:rPr>
                    <w:t>序号</w:t>
                  </w:r>
                </w:p>
              </w:tc>
              <w:tc>
                <w:tcPr>
                  <w:tcW w:w="631" w:type="pct"/>
                  <w:vMerge w:val="restart"/>
                  <w:tcBorders>
                    <w:tl2br w:val="nil"/>
                    <w:tr2bl w:val="nil"/>
                  </w:tcBorders>
                  <w:shd w:val="clear" w:color="auto" w:fill="auto"/>
                  <w:tcMar>
                    <w:top w:w="0" w:type="dxa"/>
                    <w:left w:w="0" w:type="dxa"/>
                    <w:bottom w:w="0" w:type="dxa"/>
                    <w:right w:w="0" w:type="dxa"/>
                  </w:tcMar>
                  <w:vAlign w:val="center"/>
                </w:tcPr>
                <w:p w14:paraId="67B1B96F">
                  <w:pPr>
                    <w:pStyle w:val="15"/>
                    <w:bidi w:val="0"/>
                    <w:rPr>
                      <w:rFonts w:hint="eastAsia"/>
                      <w:color w:val="auto"/>
                      <w:sz w:val="18"/>
                      <w:szCs w:val="18"/>
                    </w:rPr>
                  </w:pPr>
                  <w:r>
                    <w:rPr>
                      <w:rFonts w:hint="eastAsia"/>
                      <w:color w:val="auto"/>
                      <w:sz w:val="18"/>
                      <w:szCs w:val="18"/>
                      <w:lang w:val="en-US" w:eastAsia="zh-CN"/>
                    </w:rPr>
                    <w:t>检测项目</w:t>
                  </w:r>
                </w:p>
              </w:tc>
              <w:tc>
                <w:tcPr>
                  <w:tcW w:w="465" w:type="pct"/>
                  <w:vMerge w:val="restart"/>
                  <w:tcBorders>
                    <w:tl2br w:val="nil"/>
                    <w:tr2bl w:val="nil"/>
                  </w:tcBorders>
                  <w:shd w:val="clear" w:color="auto" w:fill="auto"/>
                  <w:tcMar>
                    <w:top w:w="0" w:type="dxa"/>
                    <w:left w:w="0" w:type="dxa"/>
                    <w:bottom w:w="0" w:type="dxa"/>
                    <w:right w:w="0" w:type="dxa"/>
                  </w:tcMar>
                  <w:vAlign w:val="center"/>
                </w:tcPr>
                <w:p w14:paraId="63CAB2E0">
                  <w:pPr>
                    <w:pStyle w:val="15"/>
                    <w:bidi w:val="0"/>
                    <w:rPr>
                      <w:rFonts w:hint="eastAsia"/>
                      <w:color w:val="auto"/>
                      <w:sz w:val="18"/>
                      <w:szCs w:val="18"/>
                    </w:rPr>
                  </w:pPr>
                  <w:r>
                    <w:rPr>
                      <w:rFonts w:hint="eastAsia"/>
                      <w:color w:val="auto"/>
                      <w:sz w:val="18"/>
                      <w:szCs w:val="18"/>
                      <w:lang w:val="en-US" w:eastAsia="zh-CN"/>
                    </w:rPr>
                    <w:t>单位</w:t>
                  </w:r>
                </w:p>
              </w:tc>
              <w:tc>
                <w:tcPr>
                  <w:tcW w:w="279" w:type="pct"/>
                  <w:vMerge w:val="restart"/>
                  <w:tcBorders>
                    <w:tl2br w:val="nil"/>
                    <w:tr2bl w:val="nil"/>
                  </w:tcBorders>
                  <w:shd w:val="clear" w:color="auto" w:fill="auto"/>
                  <w:tcMar>
                    <w:top w:w="0" w:type="dxa"/>
                    <w:left w:w="0" w:type="dxa"/>
                    <w:bottom w:w="0" w:type="dxa"/>
                    <w:right w:w="0" w:type="dxa"/>
                  </w:tcMar>
                  <w:vAlign w:val="center"/>
                </w:tcPr>
                <w:p w14:paraId="56B0A743">
                  <w:pPr>
                    <w:pStyle w:val="15"/>
                    <w:bidi w:val="0"/>
                    <w:rPr>
                      <w:rFonts w:hint="eastAsia"/>
                      <w:color w:val="auto"/>
                      <w:sz w:val="18"/>
                      <w:szCs w:val="18"/>
                      <w:lang w:val="en-US" w:eastAsia="zh-CN"/>
                    </w:rPr>
                  </w:pPr>
                  <w:r>
                    <w:rPr>
                      <w:rFonts w:hint="eastAsia"/>
                      <w:color w:val="auto"/>
                      <w:sz w:val="18"/>
                      <w:szCs w:val="18"/>
                      <w:lang w:val="en-US" w:eastAsia="zh-CN"/>
                    </w:rPr>
                    <w:t>Ⅲ类标</w:t>
                  </w:r>
                </w:p>
                <w:p w14:paraId="6962B187">
                  <w:pPr>
                    <w:pStyle w:val="15"/>
                    <w:bidi w:val="0"/>
                    <w:rPr>
                      <w:rFonts w:hint="eastAsia"/>
                      <w:color w:val="auto"/>
                      <w:sz w:val="18"/>
                      <w:szCs w:val="18"/>
                    </w:rPr>
                  </w:pPr>
                  <w:r>
                    <w:rPr>
                      <w:rFonts w:hint="eastAsia"/>
                      <w:color w:val="auto"/>
                      <w:sz w:val="18"/>
                      <w:szCs w:val="18"/>
                      <w:lang w:val="en-US" w:eastAsia="zh-CN"/>
                    </w:rPr>
                    <w:t>准值</w:t>
                  </w:r>
                </w:p>
              </w:tc>
              <w:tc>
                <w:tcPr>
                  <w:tcW w:w="1056" w:type="pct"/>
                  <w:gridSpan w:val="4"/>
                  <w:tcBorders>
                    <w:tl2br w:val="nil"/>
                    <w:tr2bl w:val="nil"/>
                  </w:tcBorders>
                  <w:shd w:val="clear" w:color="auto" w:fill="auto"/>
                  <w:tcMar>
                    <w:top w:w="0" w:type="dxa"/>
                    <w:left w:w="0" w:type="dxa"/>
                    <w:bottom w:w="0" w:type="dxa"/>
                    <w:right w:w="0" w:type="dxa"/>
                  </w:tcMar>
                  <w:vAlign w:val="center"/>
                </w:tcPr>
                <w:p w14:paraId="39710F6F">
                  <w:pPr>
                    <w:pStyle w:val="15"/>
                    <w:bidi w:val="0"/>
                    <w:rPr>
                      <w:rFonts w:hint="eastAsia"/>
                      <w:color w:val="auto"/>
                      <w:sz w:val="18"/>
                      <w:szCs w:val="18"/>
                    </w:rPr>
                  </w:pPr>
                  <w:r>
                    <w:rPr>
                      <w:rFonts w:hint="eastAsia"/>
                      <w:color w:val="auto"/>
                      <w:sz w:val="18"/>
                      <w:szCs w:val="18"/>
                      <w:lang w:val="en-US" w:eastAsia="zh-CN"/>
                    </w:rPr>
                    <w:t>厂区侧向地下水监测点3</w:t>
                  </w:r>
                </w:p>
              </w:tc>
              <w:tc>
                <w:tcPr>
                  <w:tcW w:w="997" w:type="pct"/>
                  <w:gridSpan w:val="4"/>
                  <w:tcBorders>
                    <w:tl2br w:val="nil"/>
                    <w:tr2bl w:val="nil"/>
                  </w:tcBorders>
                  <w:shd w:val="clear" w:color="auto" w:fill="auto"/>
                  <w:tcMar>
                    <w:top w:w="0" w:type="dxa"/>
                    <w:left w:w="0" w:type="dxa"/>
                    <w:bottom w:w="0" w:type="dxa"/>
                    <w:right w:w="0" w:type="dxa"/>
                  </w:tcMar>
                  <w:vAlign w:val="center"/>
                </w:tcPr>
                <w:p w14:paraId="797E7051">
                  <w:pPr>
                    <w:pStyle w:val="15"/>
                    <w:bidi w:val="0"/>
                    <w:rPr>
                      <w:rFonts w:hint="eastAsia"/>
                      <w:color w:val="auto"/>
                      <w:sz w:val="18"/>
                      <w:szCs w:val="18"/>
                    </w:rPr>
                  </w:pPr>
                  <w:r>
                    <w:rPr>
                      <w:rFonts w:hint="eastAsia"/>
                      <w:color w:val="auto"/>
                      <w:sz w:val="18"/>
                      <w:szCs w:val="18"/>
                      <w:lang w:val="en-US" w:eastAsia="zh-CN"/>
                    </w:rPr>
                    <w:t>厂区内地下水监测点4</w:t>
                  </w:r>
                </w:p>
              </w:tc>
              <w:tc>
                <w:tcPr>
                  <w:tcW w:w="1056" w:type="pct"/>
                  <w:gridSpan w:val="4"/>
                  <w:tcBorders>
                    <w:tl2br w:val="nil"/>
                    <w:tr2bl w:val="nil"/>
                  </w:tcBorders>
                  <w:shd w:val="clear" w:color="auto" w:fill="auto"/>
                  <w:tcMar>
                    <w:top w:w="0" w:type="dxa"/>
                    <w:left w:w="0" w:type="dxa"/>
                    <w:bottom w:w="0" w:type="dxa"/>
                    <w:right w:w="0" w:type="dxa"/>
                  </w:tcMar>
                  <w:vAlign w:val="center"/>
                </w:tcPr>
                <w:p w14:paraId="35BC872E">
                  <w:pPr>
                    <w:pStyle w:val="15"/>
                    <w:bidi w:val="0"/>
                    <w:rPr>
                      <w:rFonts w:hint="eastAsia"/>
                      <w:color w:val="auto"/>
                      <w:sz w:val="18"/>
                      <w:szCs w:val="18"/>
                    </w:rPr>
                  </w:pPr>
                  <w:r>
                    <w:rPr>
                      <w:rFonts w:hint="eastAsia"/>
                      <w:color w:val="auto"/>
                      <w:sz w:val="18"/>
                      <w:szCs w:val="18"/>
                      <w:lang w:val="en-US" w:eastAsia="zh-CN"/>
                    </w:rPr>
                    <w:t>厂区下游地下水监测点5</w:t>
                  </w:r>
                </w:p>
              </w:tc>
              <w:tc>
                <w:tcPr>
                  <w:tcW w:w="305" w:type="pct"/>
                  <w:vMerge w:val="restart"/>
                  <w:tcBorders>
                    <w:tl2br w:val="nil"/>
                    <w:tr2bl w:val="nil"/>
                  </w:tcBorders>
                  <w:shd w:val="clear" w:color="auto" w:fill="auto"/>
                  <w:tcMar>
                    <w:top w:w="0" w:type="dxa"/>
                    <w:left w:w="0" w:type="dxa"/>
                    <w:bottom w:w="0" w:type="dxa"/>
                    <w:right w:w="0" w:type="dxa"/>
                  </w:tcMar>
                  <w:vAlign w:val="center"/>
                </w:tcPr>
                <w:p w14:paraId="196DA0B2">
                  <w:pPr>
                    <w:pStyle w:val="15"/>
                    <w:bidi w:val="0"/>
                    <w:rPr>
                      <w:rFonts w:hint="eastAsia"/>
                      <w:color w:val="auto"/>
                      <w:sz w:val="18"/>
                      <w:szCs w:val="18"/>
                      <w:lang w:val="en-US" w:eastAsia="zh-CN"/>
                    </w:rPr>
                  </w:pPr>
                  <w:r>
                    <w:rPr>
                      <w:rFonts w:hint="eastAsia"/>
                      <w:color w:val="auto"/>
                      <w:sz w:val="18"/>
                      <w:szCs w:val="18"/>
                      <w:lang w:val="en-US" w:eastAsia="zh-CN"/>
                    </w:rPr>
                    <w:t>检</w:t>
                  </w:r>
                </w:p>
                <w:p w14:paraId="01B7BF93">
                  <w:pPr>
                    <w:pStyle w:val="15"/>
                    <w:bidi w:val="0"/>
                    <w:rPr>
                      <w:rFonts w:hint="eastAsia"/>
                      <w:color w:val="auto"/>
                      <w:sz w:val="18"/>
                      <w:szCs w:val="18"/>
                      <w:lang w:val="en-US" w:eastAsia="zh-CN"/>
                    </w:rPr>
                  </w:pPr>
                  <w:r>
                    <w:rPr>
                      <w:rFonts w:hint="eastAsia"/>
                      <w:color w:val="auto"/>
                      <w:sz w:val="18"/>
                      <w:szCs w:val="18"/>
                      <w:lang w:val="en-US" w:eastAsia="zh-CN"/>
                    </w:rPr>
                    <w:t>出</w:t>
                  </w:r>
                </w:p>
                <w:p w14:paraId="4159C1CA">
                  <w:pPr>
                    <w:pStyle w:val="15"/>
                    <w:bidi w:val="0"/>
                    <w:rPr>
                      <w:rFonts w:hint="eastAsia"/>
                      <w:color w:val="auto"/>
                      <w:sz w:val="18"/>
                      <w:szCs w:val="18"/>
                    </w:rPr>
                  </w:pPr>
                  <w:r>
                    <w:rPr>
                      <w:rFonts w:hint="eastAsia"/>
                      <w:color w:val="auto"/>
                      <w:sz w:val="18"/>
                      <w:szCs w:val="18"/>
                      <w:lang w:val="en-US" w:eastAsia="zh-CN"/>
                    </w:rPr>
                    <w:t>限</w:t>
                  </w:r>
                </w:p>
              </w:tc>
            </w:tr>
            <w:tr w14:paraId="4C0A90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206" w:type="pct"/>
                  <w:vMerge w:val="continue"/>
                  <w:tcBorders>
                    <w:tl2br w:val="nil"/>
                    <w:tr2bl w:val="nil"/>
                  </w:tcBorders>
                  <w:shd w:val="clear" w:color="auto" w:fill="auto"/>
                  <w:tcMar>
                    <w:top w:w="0" w:type="dxa"/>
                    <w:left w:w="0" w:type="dxa"/>
                    <w:bottom w:w="0" w:type="dxa"/>
                    <w:right w:w="0" w:type="dxa"/>
                  </w:tcMar>
                  <w:vAlign w:val="center"/>
                </w:tcPr>
                <w:p w14:paraId="55D6C5F6">
                  <w:pPr>
                    <w:pStyle w:val="15"/>
                    <w:bidi w:val="0"/>
                    <w:rPr>
                      <w:rFonts w:hint="eastAsia"/>
                      <w:color w:val="auto"/>
                      <w:sz w:val="18"/>
                      <w:szCs w:val="18"/>
                    </w:rPr>
                  </w:pPr>
                </w:p>
              </w:tc>
              <w:tc>
                <w:tcPr>
                  <w:tcW w:w="631" w:type="pct"/>
                  <w:vMerge w:val="continue"/>
                  <w:tcBorders>
                    <w:tl2br w:val="nil"/>
                    <w:tr2bl w:val="nil"/>
                  </w:tcBorders>
                  <w:shd w:val="clear" w:color="auto" w:fill="auto"/>
                  <w:tcMar>
                    <w:top w:w="0" w:type="dxa"/>
                    <w:left w:w="0" w:type="dxa"/>
                    <w:bottom w:w="0" w:type="dxa"/>
                    <w:right w:w="0" w:type="dxa"/>
                  </w:tcMar>
                  <w:vAlign w:val="center"/>
                </w:tcPr>
                <w:p w14:paraId="2F96AEE4">
                  <w:pPr>
                    <w:pStyle w:val="15"/>
                    <w:bidi w:val="0"/>
                    <w:rPr>
                      <w:rFonts w:hint="eastAsia"/>
                      <w:color w:val="auto"/>
                      <w:sz w:val="18"/>
                      <w:szCs w:val="18"/>
                    </w:rPr>
                  </w:pPr>
                </w:p>
              </w:tc>
              <w:tc>
                <w:tcPr>
                  <w:tcW w:w="465" w:type="pct"/>
                  <w:vMerge w:val="continue"/>
                  <w:tcBorders>
                    <w:tl2br w:val="nil"/>
                    <w:tr2bl w:val="nil"/>
                  </w:tcBorders>
                  <w:shd w:val="clear" w:color="auto" w:fill="auto"/>
                  <w:tcMar>
                    <w:top w:w="0" w:type="dxa"/>
                    <w:left w:w="0" w:type="dxa"/>
                    <w:bottom w:w="0" w:type="dxa"/>
                    <w:right w:w="0" w:type="dxa"/>
                  </w:tcMar>
                  <w:vAlign w:val="center"/>
                </w:tcPr>
                <w:p w14:paraId="04F9D5F5">
                  <w:pPr>
                    <w:pStyle w:val="15"/>
                    <w:bidi w:val="0"/>
                    <w:rPr>
                      <w:rFonts w:hint="eastAsia"/>
                      <w:color w:val="auto"/>
                      <w:sz w:val="18"/>
                      <w:szCs w:val="18"/>
                    </w:rPr>
                  </w:pPr>
                </w:p>
              </w:tc>
              <w:tc>
                <w:tcPr>
                  <w:tcW w:w="279" w:type="pct"/>
                  <w:vMerge w:val="continue"/>
                  <w:tcBorders>
                    <w:tl2br w:val="nil"/>
                    <w:tr2bl w:val="nil"/>
                  </w:tcBorders>
                  <w:shd w:val="clear" w:color="auto" w:fill="auto"/>
                  <w:tcMar>
                    <w:top w:w="0" w:type="dxa"/>
                    <w:left w:w="0" w:type="dxa"/>
                    <w:bottom w:w="0" w:type="dxa"/>
                    <w:right w:w="0" w:type="dxa"/>
                  </w:tcMar>
                  <w:vAlign w:val="center"/>
                </w:tcPr>
                <w:p w14:paraId="081F2125">
                  <w:pPr>
                    <w:pStyle w:val="15"/>
                    <w:bidi w:val="0"/>
                    <w:rPr>
                      <w:rFonts w:hint="eastAsia"/>
                      <w:color w:val="auto"/>
                      <w:sz w:val="18"/>
                      <w:szCs w:val="18"/>
                    </w:rPr>
                  </w:pPr>
                </w:p>
              </w:tc>
              <w:tc>
                <w:tcPr>
                  <w:tcW w:w="279" w:type="pct"/>
                  <w:tcBorders>
                    <w:tl2br w:val="nil"/>
                    <w:tr2bl w:val="nil"/>
                  </w:tcBorders>
                  <w:shd w:val="clear" w:color="auto" w:fill="auto"/>
                  <w:tcMar>
                    <w:top w:w="0" w:type="dxa"/>
                    <w:left w:w="0" w:type="dxa"/>
                    <w:bottom w:w="0" w:type="dxa"/>
                    <w:right w:w="0" w:type="dxa"/>
                  </w:tcMar>
                  <w:vAlign w:val="center"/>
                </w:tcPr>
                <w:p w14:paraId="07E83575">
                  <w:pPr>
                    <w:pStyle w:val="15"/>
                    <w:bidi w:val="0"/>
                    <w:rPr>
                      <w:rFonts w:hint="eastAsia"/>
                      <w:color w:val="auto"/>
                      <w:sz w:val="18"/>
                      <w:szCs w:val="18"/>
                      <w:lang w:val="en-US" w:eastAsia="zh-CN"/>
                    </w:rPr>
                  </w:pPr>
                  <w:r>
                    <w:rPr>
                      <w:rFonts w:hint="eastAsia"/>
                      <w:color w:val="auto"/>
                      <w:sz w:val="18"/>
                      <w:szCs w:val="18"/>
                      <w:lang w:val="en-US" w:eastAsia="zh-CN"/>
                    </w:rPr>
                    <w:t>检测</w:t>
                  </w:r>
                </w:p>
                <w:p w14:paraId="2222EC9D">
                  <w:pPr>
                    <w:pStyle w:val="15"/>
                    <w:bidi w:val="0"/>
                    <w:rPr>
                      <w:rFonts w:hint="eastAsia"/>
                      <w:color w:val="auto"/>
                      <w:sz w:val="18"/>
                      <w:szCs w:val="18"/>
                    </w:rPr>
                  </w:pPr>
                  <w:r>
                    <w:rPr>
                      <w:rFonts w:hint="eastAsia"/>
                      <w:color w:val="auto"/>
                      <w:sz w:val="18"/>
                      <w:szCs w:val="18"/>
                      <w:lang w:val="en-US" w:eastAsia="zh-CN"/>
                    </w:rPr>
                    <w:t>结果</w:t>
                  </w:r>
                </w:p>
              </w:tc>
              <w:tc>
                <w:tcPr>
                  <w:tcW w:w="220" w:type="pct"/>
                  <w:tcBorders>
                    <w:tl2br w:val="nil"/>
                    <w:tr2bl w:val="nil"/>
                  </w:tcBorders>
                  <w:shd w:val="clear" w:color="auto" w:fill="auto"/>
                  <w:tcMar>
                    <w:top w:w="0" w:type="dxa"/>
                    <w:left w:w="0" w:type="dxa"/>
                    <w:bottom w:w="0" w:type="dxa"/>
                    <w:right w:w="0" w:type="dxa"/>
                  </w:tcMar>
                  <w:vAlign w:val="center"/>
                </w:tcPr>
                <w:p w14:paraId="21228B0C">
                  <w:pPr>
                    <w:pStyle w:val="15"/>
                    <w:bidi w:val="0"/>
                    <w:rPr>
                      <w:rFonts w:hint="eastAsia"/>
                      <w:color w:val="auto"/>
                      <w:sz w:val="18"/>
                      <w:szCs w:val="18"/>
                      <w:lang w:val="en-US" w:eastAsia="zh-CN"/>
                    </w:rPr>
                  </w:pPr>
                  <w:r>
                    <w:rPr>
                      <w:rFonts w:hint="eastAsia"/>
                      <w:color w:val="auto"/>
                      <w:sz w:val="18"/>
                      <w:szCs w:val="18"/>
                      <w:lang w:val="en-US" w:eastAsia="zh-CN"/>
                    </w:rPr>
                    <w:t>标准</w:t>
                  </w:r>
                </w:p>
                <w:p w14:paraId="655CD353">
                  <w:pPr>
                    <w:pStyle w:val="15"/>
                    <w:bidi w:val="0"/>
                    <w:rPr>
                      <w:rFonts w:hint="eastAsia"/>
                      <w:color w:val="auto"/>
                      <w:sz w:val="18"/>
                      <w:szCs w:val="18"/>
                    </w:rPr>
                  </w:pPr>
                  <w:r>
                    <w:rPr>
                      <w:rFonts w:hint="eastAsia"/>
                      <w:color w:val="auto"/>
                      <w:sz w:val="18"/>
                      <w:szCs w:val="18"/>
                      <w:lang w:val="en-US" w:eastAsia="zh-CN"/>
                    </w:rPr>
                    <w:t>指数</w:t>
                  </w:r>
                </w:p>
              </w:tc>
              <w:tc>
                <w:tcPr>
                  <w:tcW w:w="278" w:type="pct"/>
                  <w:tcBorders>
                    <w:tl2br w:val="nil"/>
                    <w:tr2bl w:val="nil"/>
                  </w:tcBorders>
                  <w:shd w:val="clear" w:color="auto" w:fill="auto"/>
                  <w:tcMar>
                    <w:top w:w="0" w:type="dxa"/>
                    <w:left w:w="0" w:type="dxa"/>
                    <w:bottom w:w="0" w:type="dxa"/>
                    <w:right w:w="0" w:type="dxa"/>
                  </w:tcMar>
                  <w:vAlign w:val="center"/>
                </w:tcPr>
                <w:p w14:paraId="2784ACF2">
                  <w:pPr>
                    <w:pStyle w:val="15"/>
                    <w:bidi w:val="0"/>
                    <w:rPr>
                      <w:rFonts w:hint="eastAsia"/>
                      <w:color w:val="auto"/>
                      <w:sz w:val="18"/>
                      <w:szCs w:val="18"/>
                      <w:lang w:val="en-US" w:eastAsia="zh-CN"/>
                    </w:rPr>
                  </w:pPr>
                  <w:r>
                    <w:rPr>
                      <w:rFonts w:hint="eastAsia"/>
                      <w:color w:val="auto"/>
                      <w:sz w:val="18"/>
                      <w:szCs w:val="18"/>
                      <w:lang w:val="en-US" w:eastAsia="zh-CN"/>
                    </w:rPr>
                    <w:t>超标</w:t>
                  </w:r>
                </w:p>
                <w:p w14:paraId="03DB5D99">
                  <w:pPr>
                    <w:pStyle w:val="15"/>
                    <w:bidi w:val="0"/>
                    <w:rPr>
                      <w:rFonts w:hint="eastAsia"/>
                      <w:color w:val="auto"/>
                      <w:sz w:val="18"/>
                      <w:szCs w:val="18"/>
                    </w:rPr>
                  </w:pPr>
                  <w:r>
                    <w:rPr>
                      <w:rFonts w:hint="eastAsia"/>
                      <w:color w:val="auto"/>
                      <w:sz w:val="18"/>
                      <w:szCs w:val="18"/>
                      <w:lang w:val="en-US" w:eastAsia="zh-CN"/>
                    </w:rPr>
                    <w:t>率</w:t>
                  </w:r>
                </w:p>
              </w:tc>
              <w:tc>
                <w:tcPr>
                  <w:tcW w:w="279" w:type="pct"/>
                  <w:tcBorders>
                    <w:tl2br w:val="nil"/>
                    <w:tr2bl w:val="nil"/>
                  </w:tcBorders>
                  <w:shd w:val="clear" w:color="auto" w:fill="auto"/>
                  <w:tcMar>
                    <w:top w:w="0" w:type="dxa"/>
                    <w:left w:w="0" w:type="dxa"/>
                    <w:bottom w:w="0" w:type="dxa"/>
                    <w:right w:w="0" w:type="dxa"/>
                  </w:tcMar>
                  <w:vAlign w:val="center"/>
                </w:tcPr>
                <w:p w14:paraId="36B86FF7">
                  <w:pPr>
                    <w:pStyle w:val="15"/>
                    <w:bidi w:val="0"/>
                    <w:rPr>
                      <w:rFonts w:hint="eastAsia"/>
                      <w:color w:val="auto"/>
                      <w:sz w:val="18"/>
                      <w:szCs w:val="18"/>
                      <w:lang w:val="en-US" w:eastAsia="zh-CN"/>
                    </w:rPr>
                  </w:pPr>
                  <w:r>
                    <w:rPr>
                      <w:rFonts w:hint="eastAsia"/>
                      <w:color w:val="auto"/>
                      <w:sz w:val="18"/>
                      <w:szCs w:val="18"/>
                      <w:lang w:val="en-US" w:eastAsia="zh-CN"/>
                    </w:rPr>
                    <w:t>达标</w:t>
                  </w:r>
                </w:p>
                <w:p w14:paraId="2A64F69F">
                  <w:pPr>
                    <w:pStyle w:val="15"/>
                    <w:bidi w:val="0"/>
                    <w:rPr>
                      <w:rFonts w:hint="eastAsia"/>
                      <w:color w:val="auto"/>
                      <w:sz w:val="18"/>
                      <w:szCs w:val="18"/>
                    </w:rPr>
                  </w:pPr>
                  <w:r>
                    <w:rPr>
                      <w:rFonts w:hint="eastAsia"/>
                      <w:color w:val="auto"/>
                      <w:sz w:val="18"/>
                      <w:szCs w:val="18"/>
                      <w:lang w:val="en-US" w:eastAsia="zh-CN"/>
                    </w:rPr>
                    <w:t>情况</w:t>
                  </w:r>
                </w:p>
              </w:tc>
              <w:tc>
                <w:tcPr>
                  <w:tcW w:w="279" w:type="pct"/>
                  <w:tcBorders>
                    <w:tl2br w:val="nil"/>
                    <w:tr2bl w:val="nil"/>
                  </w:tcBorders>
                  <w:shd w:val="clear" w:color="auto" w:fill="auto"/>
                  <w:tcMar>
                    <w:top w:w="0" w:type="dxa"/>
                    <w:left w:w="0" w:type="dxa"/>
                    <w:bottom w:w="0" w:type="dxa"/>
                    <w:right w:w="0" w:type="dxa"/>
                  </w:tcMar>
                  <w:vAlign w:val="center"/>
                </w:tcPr>
                <w:p w14:paraId="5E0059F7">
                  <w:pPr>
                    <w:pStyle w:val="15"/>
                    <w:bidi w:val="0"/>
                    <w:rPr>
                      <w:rFonts w:hint="eastAsia"/>
                      <w:color w:val="auto"/>
                      <w:sz w:val="18"/>
                      <w:szCs w:val="18"/>
                      <w:lang w:val="en-US" w:eastAsia="zh-CN"/>
                    </w:rPr>
                  </w:pPr>
                  <w:r>
                    <w:rPr>
                      <w:rFonts w:hint="eastAsia"/>
                      <w:color w:val="auto"/>
                      <w:sz w:val="18"/>
                      <w:szCs w:val="18"/>
                      <w:lang w:val="en-US" w:eastAsia="zh-CN"/>
                    </w:rPr>
                    <w:t>检测</w:t>
                  </w:r>
                </w:p>
                <w:p w14:paraId="0AFCBEA9">
                  <w:pPr>
                    <w:pStyle w:val="15"/>
                    <w:bidi w:val="0"/>
                    <w:rPr>
                      <w:rFonts w:hint="eastAsia"/>
                      <w:color w:val="auto"/>
                      <w:sz w:val="18"/>
                      <w:szCs w:val="18"/>
                    </w:rPr>
                  </w:pPr>
                  <w:r>
                    <w:rPr>
                      <w:rFonts w:hint="eastAsia"/>
                      <w:color w:val="auto"/>
                      <w:sz w:val="18"/>
                      <w:szCs w:val="18"/>
                      <w:lang w:val="en-US" w:eastAsia="zh-CN"/>
                    </w:rPr>
                    <w:t>结果</w:t>
                  </w:r>
                </w:p>
              </w:tc>
              <w:tc>
                <w:tcPr>
                  <w:tcW w:w="200" w:type="pct"/>
                  <w:tcBorders>
                    <w:tl2br w:val="nil"/>
                    <w:tr2bl w:val="nil"/>
                  </w:tcBorders>
                  <w:shd w:val="clear" w:color="auto" w:fill="auto"/>
                  <w:tcMar>
                    <w:top w:w="0" w:type="dxa"/>
                    <w:left w:w="0" w:type="dxa"/>
                    <w:bottom w:w="0" w:type="dxa"/>
                    <w:right w:w="0" w:type="dxa"/>
                  </w:tcMar>
                  <w:vAlign w:val="center"/>
                </w:tcPr>
                <w:p w14:paraId="4D5B3916">
                  <w:pPr>
                    <w:pStyle w:val="15"/>
                    <w:bidi w:val="0"/>
                    <w:rPr>
                      <w:rFonts w:hint="eastAsia"/>
                      <w:color w:val="auto"/>
                      <w:sz w:val="18"/>
                      <w:szCs w:val="18"/>
                      <w:lang w:val="en-US" w:eastAsia="zh-CN"/>
                    </w:rPr>
                  </w:pPr>
                  <w:r>
                    <w:rPr>
                      <w:rFonts w:hint="eastAsia"/>
                      <w:color w:val="auto"/>
                      <w:sz w:val="18"/>
                      <w:szCs w:val="18"/>
                      <w:lang w:val="en-US" w:eastAsia="zh-CN"/>
                    </w:rPr>
                    <w:t>标准</w:t>
                  </w:r>
                </w:p>
                <w:p w14:paraId="06506970">
                  <w:pPr>
                    <w:pStyle w:val="15"/>
                    <w:bidi w:val="0"/>
                    <w:rPr>
                      <w:rFonts w:hint="eastAsia"/>
                      <w:color w:val="auto"/>
                      <w:sz w:val="18"/>
                      <w:szCs w:val="18"/>
                    </w:rPr>
                  </w:pPr>
                  <w:r>
                    <w:rPr>
                      <w:rFonts w:hint="eastAsia"/>
                      <w:color w:val="auto"/>
                      <w:sz w:val="18"/>
                      <w:szCs w:val="18"/>
                      <w:lang w:val="en-US" w:eastAsia="zh-CN"/>
                    </w:rPr>
                    <w:t>指数</w:t>
                  </w:r>
                </w:p>
              </w:tc>
              <w:tc>
                <w:tcPr>
                  <w:tcW w:w="238" w:type="pct"/>
                  <w:tcBorders>
                    <w:tl2br w:val="nil"/>
                    <w:tr2bl w:val="nil"/>
                  </w:tcBorders>
                  <w:shd w:val="clear" w:color="auto" w:fill="auto"/>
                  <w:tcMar>
                    <w:top w:w="0" w:type="dxa"/>
                    <w:left w:w="0" w:type="dxa"/>
                    <w:bottom w:w="0" w:type="dxa"/>
                    <w:right w:w="0" w:type="dxa"/>
                  </w:tcMar>
                  <w:vAlign w:val="center"/>
                </w:tcPr>
                <w:p w14:paraId="6376B714">
                  <w:pPr>
                    <w:pStyle w:val="15"/>
                    <w:bidi w:val="0"/>
                    <w:rPr>
                      <w:rFonts w:hint="eastAsia"/>
                      <w:color w:val="auto"/>
                      <w:sz w:val="18"/>
                      <w:szCs w:val="18"/>
                      <w:lang w:val="en-US" w:eastAsia="zh-CN"/>
                    </w:rPr>
                  </w:pPr>
                  <w:r>
                    <w:rPr>
                      <w:rFonts w:hint="eastAsia"/>
                      <w:color w:val="auto"/>
                      <w:sz w:val="18"/>
                      <w:szCs w:val="18"/>
                      <w:lang w:val="en-US" w:eastAsia="zh-CN"/>
                    </w:rPr>
                    <w:t>超标</w:t>
                  </w:r>
                </w:p>
                <w:p w14:paraId="6741D3B0">
                  <w:pPr>
                    <w:pStyle w:val="15"/>
                    <w:bidi w:val="0"/>
                    <w:rPr>
                      <w:rFonts w:hint="eastAsia"/>
                      <w:color w:val="auto"/>
                      <w:sz w:val="18"/>
                      <w:szCs w:val="18"/>
                    </w:rPr>
                  </w:pPr>
                  <w:r>
                    <w:rPr>
                      <w:rFonts w:hint="eastAsia"/>
                      <w:color w:val="auto"/>
                      <w:sz w:val="18"/>
                      <w:szCs w:val="18"/>
                      <w:lang w:val="en-US" w:eastAsia="zh-CN"/>
                    </w:rPr>
                    <w:t>率</w:t>
                  </w:r>
                </w:p>
              </w:tc>
              <w:tc>
                <w:tcPr>
                  <w:tcW w:w="279" w:type="pct"/>
                  <w:tcBorders>
                    <w:tl2br w:val="nil"/>
                    <w:tr2bl w:val="nil"/>
                  </w:tcBorders>
                  <w:shd w:val="clear" w:color="auto" w:fill="auto"/>
                  <w:tcMar>
                    <w:top w:w="0" w:type="dxa"/>
                    <w:left w:w="0" w:type="dxa"/>
                    <w:bottom w:w="0" w:type="dxa"/>
                    <w:right w:w="0" w:type="dxa"/>
                  </w:tcMar>
                  <w:vAlign w:val="center"/>
                </w:tcPr>
                <w:p w14:paraId="4D6DE866">
                  <w:pPr>
                    <w:pStyle w:val="15"/>
                    <w:bidi w:val="0"/>
                    <w:rPr>
                      <w:rFonts w:hint="eastAsia"/>
                      <w:color w:val="auto"/>
                      <w:sz w:val="18"/>
                      <w:szCs w:val="18"/>
                      <w:lang w:val="en-US" w:eastAsia="zh-CN"/>
                    </w:rPr>
                  </w:pPr>
                  <w:r>
                    <w:rPr>
                      <w:rFonts w:hint="eastAsia"/>
                      <w:color w:val="auto"/>
                      <w:sz w:val="18"/>
                      <w:szCs w:val="18"/>
                      <w:lang w:val="en-US" w:eastAsia="zh-CN"/>
                    </w:rPr>
                    <w:t>达标</w:t>
                  </w:r>
                </w:p>
                <w:p w14:paraId="60CA0D9C">
                  <w:pPr>
                    <w:pStyle w:val="15"/>
                    <w:bidi w:val="0"/>
                    <w:rPr>
                      <w:rFonts w:hint="eastAsia"/>
                      <w:color w:val="auto"/>
                      <w:sz w:val="18"/>
                      <w:szCs w:val="18"/>
                    </w:rPr>
                  </w:pPr>
                  <w:r>
                    <w:rPr>
                      <w:rFonts w:hint="eastAsia"/>
                      <w:color w:val="auto"/>
                      <w:sz w:val="18"/>
                      <w:szCs w:val="18"/>
                      <w:lang w:val="en-US" w:eastAsia="zh-CN"/>
                    </w:rPr>
                    <w:t>情况</w:t>
                  </w:r>
                </w:p>
              </w:tc>
              <w:tc>
                <w:tcPr>
                  <w:tcW w:w="279" w:type="pct"/>
                  <w:tcBorders>
                    <w:tl2br w:val="nil"/>
                    <w:tr2bl w:val="nil"/>
                  </w:tcBorders>
                  <w:shd w:val="clear" w:color="auto" w:fill="auto"/>
                  <w:tcMar>
                    <w:top w:w="0" w:type="dxa"/>
                    <w:left w:w="0" w:type="dxa"/>
                    <w:bottom w:w="0" w:type="dxa"/>
                    <w:right w:w="0" w:type="dxa"/>
                  </w:tcMar>
                  <w:vAlign w:val="center"/>
                </w:tcPr>
                <w:p w14:paraId="79B33CAE">
                  <w:pPr>
                    <w:pStyle w:val="15"/>
                    <w:bidi w:val="0"/>
                    <w:rPr>
                      <w:rFonts w:hint="eastAsia"/>
                      <w:color w:val="auto"/>
                      <w:sz w:val="18"/>
                      <w:szCs w:val="18"/>
                      <w:lang w:val="en-US" w:eastAsia="zh-CN"/>
                    </w:rPr>
                  </w:pPr>
                  <w:r>
                    <w:rPr>
                      <w:rFonts w:hint="eastAsia"/>
                      <w:color w:val="auto"/>
                      <w:sz w:val="18"/>
                      <w:szCs w:val="18"/>
                      <w:lang w:val="en-US" w:eastAsia="zh-CN"/>
                    </w:rPr>
                    <w:t>检测</w:t>
                  </w:r>
                </w:p>
                <w:p w14:paraId="73746DA7">
                  <w:pPr>
                    <w:pStyle w:val="15"/>
                    <w:bidi w:val="0"/>
                    <w:rPr>
                      <w:rFonts w:hint="eastAsia"/>
                      <w:color w:val="auto"/>
                      <w:sz w:val="18"/>
                      <w:szCs w:val="18"/>
                    </w:rPr>
                  </w:pPr>
                  <w:r>
                    <w:rPr>
                      <w:rFonts w:hint="eastAsia"/>
                      <w:color w:val="auto"/>
                      <w:sz w:val="18"/>
                      <w:szCs w:val="18"/>
                      <w:lang w:val="en-US" w:eastAsia="zh-CN"/>
                    </w:rPr>
                    <w:t>结果</w:t>
                  </w:r>
                </w:p>
              </w:tc>
              <w:tc>
                <w:tcPr>
                  <w:tcW w:w="220" w:type="pct"/>
                  <w:tcBorders>
                    <w:tl2br w:val="nil"/>
                    <w:tr2bl w:val="nil"/>
                  </w:tcBorders>
                  <w:shd w:val="clear" w:color="auto" w:fill="auto"/>
                  <w:tcMar>
                    <w:top w:w="0" w:type="dxa"/>
                    <w:left w:w="0" w:type="dxa"/>
                    <w:bottom w:w="0" w:type="dxa"/>
                    <w:right w:w="0" w:type="dxa"/>
                  </w:tcMar>
                  <w:vAlign w:val="center"/>
                </w:tcPr>
                <w:p w14:paraId="3ABA3F31">
                  <w:pPr>
                    <w:pStyle w:val="15"/>
                    <w:bidi w:val="0"/>
                    <w:rPr>
                      <w:rFonts w:hint="eastAsia"/>
                      <w:color w:val="auto"/>
                      <w:sz w:val="18"/>
                      <w:szCs w:val="18"/>
                      <w:lang w:val="en-US" w:eastAsia="zh-CN"/>
                    </w:rPr>
                  </w:pPr>
                  <w:r>
                    <w:rPr>
                      <w:rFonts w:hint="eastAsia"/>
                      <w:color w:val="auto"/>
                      <w:sz w:val="18"/>
                      <w:szCs w:val="18"/>
                      <w:lang w:val="en-US" w:eastAsia="zh-CN"/>
                    </w:rPr>
                    <w:t>标准</w:t>
                  </w:r>
                </w:p>
                <w:p w14:paraId="1AD56C79">
                  <w:pPr>
                    <w:pStyle w:val="15"/>
                    <w:bidi w:val="0"/>
                    <w:rPr>
                      <w:rFonts w:hint="eastAsia"/>
                      <w:color w:val="auto"/>
                      <w:sz w:val="18"/>
                      <w:szCs w:val="18"/>
                    </w:rPr>
                  </w:pPr>
                  <w:r>
                    <w:rPr>
                      <w:rFonts w:hint="eastAsia"/>
                      <w:color w:val="auto"/>
                      <w:sz w:val="18"/>
                      <w:szCs w:val="18"/>
                      <w:lang w:val="en-US" w:eastAsia="zh-CN"/>
                    </w:rPr>
                    <w:t>指数</w:t>
                  </w:r>
                </w:p>
              </w:tc>
              <w:tc>
                <w:tcPr>
                  <w:tcW w:w="278" w:type="pct"/>
                  <w:tcBorders>
                    <w:tl2br w:val="nil"/>
                    <w:tr2bl w:val="nil"/>
                  </w:tcBorders>
                  <w:shd w:val="clear" w:color="auto" w:fill="auto"/>
                  <w:tcMar>
                    <w:top w:w="0" w:type="dxa"/>
                    <w:left w:w="0" w:type="dxa"/>
                    <w:bottom w:w="0" w:type="dxa"/>
                    <w:right w:w="0" w:type="dxa"/>
                  </w:tcMar>
                  <w:vAlign w:val="center"/>
                </w:tcPr>
                <w:p w14:paraId="39D81847">
                  <w:pPr>
                    <w:pStyle w:val="15"/>
                    <w:bidi w:val="0"/>
                    <w:rPr>
                      <w:rFonts w:hint="eastAsia"/>
                      <w:color w:val="auto"/>
                      <w:sz w:val="18"/>
                      <w:szCs w:val="18"/>
                      <w:lang w:val="en-US" w:eastAsia="zh-CN"/>
                    </w:rPr>
                  </w:pPr>
                  <w:r>
                    <w:rPr>
                      <w:rFonts w:hint="eastAsia"/>
                      <w:color w:val="auto"/>
                      <w:sz w:val="18"/>
                      <w:szCs w:val="18"/>
                      <w:lang w:val="en-US" w:eastAsia="zh-CN"/>
                    </w:rPr>
                    <w:t>超标</w:t>
                  </w:r>
                </w:p>
                <w:p w14:paraId="068510A7">
                  <w:pPr>
                    <w:pStyle w:val="15"/>
                    <w:bidi w:val="0"/>
                    <w:rPr>
                      <w:rFonts w:hint="eastAsia"/>
                      <w:color w:val="auto"/>
                      <w:sz w:val="18"/>
                      <w:szCs w:val="18"/>
                    </w:rPr>
                  </w:pPr>
                  <w:r>
                    <w:rPr>
                      <w:rFonts w:hint="eastAsia"/>
                      <w:color w:val="auto"/>
                      <w:sz w:val="18"/>
                      <w:szCs w:val="18"/>
                      <w:lang w:val="en-US" w:eastAsia="zh-CN"/>
                    </w:rPr>
                    <w:t>率</w:t>
                  </w:r>
                </w:p>
              </w:tc>
              <w:tc>
                <w:tcPr>
                  <w:tcW w:w="279" w:type="pct"/>
                  <w:tcBorders>
                    <w:tl2br w:val="nil"/>
                    <w:tr2bl w:val="nil"/>
                  </w:tcBorders>
                  <w:shd w:val="clear" w:color="auto" w:fill="auto"/>
                  <w:tcMar>
                    <w:top w:w="0" w:type="dxa"/>
                    <w:left w:w="0" w:type="dxa"/>
                    <w:bottom w:w="0" w:type="dxa"/>
                    <w:right w:w="0" w:type="dxa"/>
                  </w:tcMar>
                  <w:vAlign w:val="center"/>
                </w:tcPr>
                <w:p w14:paraId="5EBCB6FE">
                  <w:pPr>
                    <w:pStyle w:val="15"/>
                    <w:bidi w:val="0"/>
                    <w:rPr>
                      <w:rFonts w:hint="eastAsia"/>
                      <w:color w:val="auto"/>
                      <w:sz w:val="18"/>
                      <w:szCs w:val="18"/>
                      <w:lang w:val="en-US" w:eastAsia="zh-CN"/>
                    </w:rPr>
                  </w:pPr>
                  <w:r>
                    <w:rPr>
                      <w:rFonts w:hint="eastAsia"/>
                      <w:color w:val="auto"/>
                      <w:sz w:val="18"/>
                      <w:szCs w:val="18"/>
                      <w:lang w:val="en-US" w:eastAsia="zh-CN"/>
                    </w:rPr>
                    <w:t>达标</w:t>
                  </w:r>
                </w:p>
                <w:p w14:paraId="10092018">
                  <w:pPr>
                    <w:pStyle w:val="15"/>
                    <w:bidi w:val="0"/>
                    <w:rPr>
                      <w:rFonts w:hint="eastAsia"/>
                      <w:color w:val="auto"/>
                      <w:sz w:val="18"/>
                      <w:szCs w:val="18"/>
                    </w:rPr>
                  </w:pPr>
                  <w:r>
                    <w:rPr>
                      <w:rFonts w:hint="eastAsia"/>
                      <w:color w:val="auto"/>
                      <w:sz w:val="18"/>
                      <w:szCs w:val="18"/>
                      <w:lang w:val="en-US" w:eastAsia="zh-CN"/>
                    </w:rPr>
                    <w:t>情况</w:t>
                  </w:r>
                </w:p>
              </w:tc>
              <w:tc>
                <w:tcPr>
                  <w:tcW w:w="305" w:type="pct"/>
                  <w:vMerge w:val="continue"/>
                  <w:tcBorders>
                    <w:tl2br w:val="nil"/>
                    <w:tr2bl w:val="nil"/>
                  </w:tcBorders>
                  <w:shd w:val="clear" w:color="auto" w:fill="auto"/>
                  <w:tcMar>
                    <w:top w:w="0" w:type="dxa"/>
                    <w:left w:w="0" w:type="dxa"/>
                    <w:bottom w:w="0" w:type="dxa"/>
                    <w:right w:w="0" w:type="dxa"/>
                  </w:tcMar>
                  <w:vAlign w:val="center"/>
                </w:tcPr>
                <w:p w14:paraId="7C242E8E">
                  <w:pPr>
                    <w:pStyle w:val="15"/>
                    <w:bidi w:val="0"/>
                    <w:rPr>
                      <w:rFonts w:hint="eastAsia"/>
                      <w:color w:val="auto"/>
                      <w:sz w:val="18"/>
                      <w:szCs w:val="18"/>
                    </w:rPr>
                  </w:pPr>
                </w:p>
              </w:tc>
            </w:tr>
            <w:tr w14:paraId="064AFA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20AF0AFB">
                  <w:pPr>
                    <w:pStyle w:val="15"/>
                    <w:bidi w:val="0"/>
                    <w:rPr>
                      <w:rFonts w:hint="eastAsia"/>
                      <w:color w:val="auto"/>
                      <w:sz w:val="18"/>
                      <w:szCs w:val="18"/>
                    </w:rPr>
                  </w:pPr>
                  <w:r>
                    <w:rPr>
                      <w:rFonts w:hint="eastAsia"/>
                      <w:color w:val="auto"/>
                      <w:sz w:val="18"/>
                      <w:szCs w:val="18"/>
                      <w:lang w:val="en-US" w:eastAsia="zh-CN"/>
                    </w:rPr>
                    <w:t>1</w:t>
                  </w:r>
                </w:p>
              </w:tc>
              <w:tc>
                <w:tcPr>
                  <w:tcW w:w="631" w:type="pct"/>
                  <w:tcBorders>
                    <w:tl2br w:val="nil"/>
                    <w:tr2bl w:val="nil"/>
                  </w:tcBorders>
                  <w:shd w:val="clear" w:color="auto" w:fill="auto"/>
                  <w:tcMar>
                    <w:top w:w="0" w:type="dxa"/>
                    <w:left w:w="0" w:type="dxa"/>
                    <w:bottom w:w="0" w:type="dxa"/>
                    <w:right w:w="0" w:type="dxa"/>
                  </w:tcMar>
                  <w:vAlign w:val="center"/>
                </w:tcPr>
                <w:p w14:paraId="6D815826">
                  <w:pPr>
                    <w:pStyle w:val="15"/>
                    <w:bidi w:val="0"/>
                    <w:rPr>
                      <w:rFonts w:hint="eastAsia"/>
                      <w:color w:val="auto"/>
                      <w:sz w:val="18"/>
                      <w:szCs w:val="18"/>
                    </w:rPr>
                  </w:pPr>
                  <w:r>
                    <w:rPr>
                      <w:rFonts w:hint="eastAsia"/>
                      <w:color w:val="auto"/>
                      <w:sz w:val="18"/>
                      <w:szCs w:val="18"/>
                      <w:lang w:val="en-US" w:eastAsia="zh-CN"/>
                    </w:rPr>
                    <w:t>pH</w:t>
                  </w:r>
                </w:p>
              </w:tc>
              <w:tc>
                <w:tcPr>
                  <w:tcW w:w="465" w:type="pct"/>
                  <w:tcBorders>
                    <w:tl2br w:val="nil"/>
                    <w:tr2bl w:val="nil"/>
                  </w:tcBorders>
                  <w:shd w:val="clear" w:color="auto" w:fill="auto"/>
                  <w:tcMar>
                    <w:top w:w="0" w:type="dxa"/>
                    <w:left w:w="0" w:type="dxa"/>
                    <w:bottom w:w="0" w:type="dxa"/>
                    <w:right w:w="0" w:type="dxa"/>
                  </w:tcMar>
                  <w:vAlign w:val="center"/>
                </w:tcPr>
                <w:p w14:paraId="1AC845BB">
                  <w:pPr>
                    <w:pStyle w:val="15"/>
                    <w:bidi w:val="0"/>
                    <w:rPr>
                      <w:rFonts w:hint="eastAsia"/>
                      <w:color w:val="auto"/>
                      <w:sz w:val="18"/>
                      <w:szCs w:val="18"/>
                    </w:rPr>
                  </w:pPr>
                  <w:r>
                    <w:rPr>
                      <w:rFonts w:hint="eastAsia"/>
                      <w:color w:val="auto"/>
                      <w:sz w:val="18"/>
                      <w:szCs w:val="18"/>
                      <w:lang w:val="en-US" w:eastAsia="zh-CN"/>
                    </w:rPr>
                    <w:t>无量纲</w:t>
                  </w:r>
                </w:p>
              </w:tc>
              <w:tc>
                <w:tcPr>
                  <w:tcW w:w="279" w:type="pct"/>
                  <w:tcBorders>
                    <w:tl2br w:val="nil"/>
                    <w:tr2bl w:val="nil"/>
                  </w:tcBorders>
                  <w:shd w:val="clear" w:color="auto" w:fill="auto"/>
                  <w:tcMar>
                    <w:top w:w="0" w:type="dxa"/>
                    <w:left w:w="0" w:type="dxa"/>
                    <w:bottom w:w="0" w:type="dxa"/>
                    <w:right w:w="0" w:type="dxa"/>
                  </w:tcMar>
                  <w:vAlign w:val="center"/>
                </w:tcPr>
                <w:p w14:paraId="14FB070A">
                  <w:pPr>
                    <w:pStyle w:val="15"/>
                    <w:bidi w:val="0"/>
                    <w:rPr>
                      <w:rFonts w:hint="eastAsia"/>
                      <w:color w:val="auto"/>
                      <w:sz w:val="18"/>
                      <w:szCs w:val="18"/>
                    </w:rPr>
                  </w:pPr>
                  <w:r>
                    <w:rPr>
                      <w:rFonts w:hint="eastAsia"/>
                      <w:color w:val="auto"/>
                      <w:sz w:val="18"/>
                      <w:szCs w:val="18"/>
                      <w:lang w:val="en-US" w:eastAsia="zh-CN"/>
                    </w:rPr>
                    <w:t>6.5-8.5</w:t>
                  </w:r>
                </w:p>
              </w:tc>
              <w:tc>
                <w:tcPr>
                  <w:tcW w:w="279" w:type="pct"/>
                  <w:tcBorders>
                    <w:tl2br w:val="nil"/>
                    <w:tr2bl w:val="nil"/>
                  </w:tcBorders>
                  <w:shd w:val="clear" w:color="auto" w:fill="auto"/>
                  <w:tcMar>
                    <w:top w:w="0" w:type="dxa"/>
                    <w:left w:w="0" w:type="dxa"/>
                    <w:bottom w:w="0" w:type="dxa"/>
                    <w:right w:w="0" w:type="dxa"/>
                  </w:tcMar>
                  <w:vAlign w:val="center"/>
                </w:tcPr>
                <w:p w14:paraId="09FC5518">
                  <w:pPr>
                    <w:pStyle w:val="15"/>
                    <w:bidi w:val="0"/>
                    <w:rPr>
                      <w:rFonts w:hint="eastAsia"/>
                      <w:color w:val="auto"/>
                      <w:sz w:val="18"/>
                      <w:szCs w:val="18"/>
                    </w:rPr>
                  </w:pPr>
                  <w:r>
                    <w:rPr>
                      <w:rFonts w:hint="eastAsia"/>
                      <w:color w:val="auto"/>
                      <w:sz w:val="18"/>
                      <w:szCs w:val="18"/>
                      <w:lang w:val="en-US" w:eastAsia="zh-CN"/>
                    </w:rPr>
                    <w:t>7.7</w:t>
                  </w:r>
                </w:p>
              </w:tc>
              <w:tc>
                <w:tcPr>
                  <w:tcW w:w="220" w:type="pct"/>
                  <w:tcBorders>
                    <w:tl2br w:val="nil"/>
                    <w:tr2bl w:val="nil"/>
                  </w:tcBorders>
                  <w:shd w:val="clear" w:color="auto" w:fill="auto"/>
                  <w:tcMar>
                    <w:top w:w="0" w:type="dxa"/>
                    <w:left w:w="0" w:type="dxa"/>
                    <w:bottom w:w="0" w:type="dxa"/>
                    <w:right w:w="0" w:type="dxa"/>
                  </w:tcMar>
                  <w:vAlign w:val="center"/>
                </w:tcPr>
                <w:p w14:paraId="491DC639">
                  <w:pPr>
                    <w:pStyle w:val="15"/>
                    <w:bidi w:val="0"/>
                    <w:rPr>
                      <w:rFonts w:hint="eastAsia"/>
                      <w:color w:val="auto"/>
                      <w:sz w:val="18"/>
                      <w:szCs w:val="18"/>
                    </w:rPr>
                  </w:pPr>
                  <w:r>
                    <w:rPr>
                      <w:rFonts w:hint="eastAsia"/>
                      <w:color w:val="auto"/>
                      <w:sz w:val="18"/>
                      <w:szCs w:val="18"/>
                      <w:lang w:val="en-US" w:eastAsia="zh-CN"/>
                    </w:rPr>
                    <w:t>0.47</w:t>
                  </w:r>
                </w:p>
              </w:tc>
              <w:tc>
                <w:tcPr>
                  <w:tcW w:w="278" w:type="pct"/>
                  <w:tcBorders>
                    <w:tl2br w:val="nil"/>
                    <w:tr2bl w:val="nil"/>
                  </w:tcBorders>
                  <w:shd w:val="clear" w:color="auto" w:fill="auto"/>
                  <w:tcMar>
                    <w:top w:w="0" w:type="dxa"/>
                    <w:left w:w="0" w:type="dxa"/>
                    <w:bottom w:w="0" w:type="dxa"/>
                    <w:right w:w="0" w:type="dxa"/>
                  </w:tcMar>
                  <w:vAlign w:val="center"/>
                </w:tcPr>
                <w:p w14:paraId="323CF86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446A56BE">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57783E3">
                  <w:pPr>
                    <w:pStyle w:val="15"/>
                    <w:bidi w:val="0"/>
                    <w:rPr>
                      <w:rFonts w:hint="eastAsia"/>
                      <w:color w:val="auto"/>
                      <w:sz w:val="18"/>
                      <w:szCs w:val="18"/>
                    </w:rPr>
                  </w:pPr>
                  <w:r>
                    <w:rPr>
                      <w:rFonts w:hint="eastAsia"/>
                      <w:color w:val="auto"/>
                      <w:sz w:val="18"/>
                      <w:szCs w:val="18"/>
                      <w:lang w:val="en-US" w:eastAsia="zh-CN"/>
                    </w:rPr>
                    <w:t>7.8</w:t>
                  </w:r>
                </w:p>
              </w:tc>
              <w:tc>
                <w:tcPr>
                  <w:tcW w:w="200" w:type="pct"/>
                  <w:tcBorders>
                    <w:tl2br w:val="nil"/>
                    <w:tr2bl w:val="nil"/>
                  </w:tcBorders>
                  <w:shd w:val="clear" w:color="auto" w:fill="auto"/>
                  <w:tcMar>
                    <w:top w:w="0" w:type="dxa"/>
                    <w:left w:w="0" w:type="dxa"/>
                    <w:bottom w:w="0" w:type="dxa"/>
                    <w:right w:w="0" w:type="dxa"/>
                  </w:tcMar>
                  <w:vAlign w:val="center"/>
                </w:tcPr>
                <w:p w14:paraId="1CD59498">
                  <w:pPr>
                    <w:pStyle w:val="15"/>
                    <w:bidi w:val="0"/>
                    <w:rPr>
                      <w:rFonts w:hint="eastAsia"/>
                      <w:color w:val="auto"/>
                      <w:sz w:val="18"/>
                      <w:szCs w:val="18"/>
                    </w:rPr>
                  </w:pPr>
                  <w:r>
                    <w:rPr>
                      <w:rFonts w:hint="eastAsia"/>
                      <w:color w:val="auto"/>
                      <w:sz w:val="18"/>
                      <w:szCs w:val="18"/>
                      <w:lang w:val="en-US" w:eastAsia="zh-CN"/>
                    </w:rPr>
                    <w:t>0.53</w:t>
                  </w:r>
                </w:p>
              </w:tc>
              <w:tc>
                <w:tcPr>
                  <w:tcW w:w="238" w:type="pct"/>
                  <w:tcBorders>
                    <w:tl2br w:val="nil"/>
                    <w:tr2bl w:val="nil"/>
                  </w:tcBorders>
                  <w:shd w:val="clear" w:color="auto" w:fill="auto"/>
                  <w:tcMar>
                    <w:top w:w="0" w:type="dxa"/>
                    <w:left w:w="0" w:type="dxa"/>
                    <w:bottom w:w="0" w:type="dxa"/>
                    <w:right w:w="0" w:type="dxa"/>
                  </w:tcMar>
                  <w:vAlign w:val="center"/>
                </w:tcPr>
                <w:p w14:paraId="60FF3520">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D972AB0">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CD823C3">
                  <w:pPr>
                    <w:pStyle w:val="15"/>
                    <w:bidi w:val="0"/>
                    <w:rPr>
                      <w:rFonts w:hint="eastAsia"/>
                      <w:color w:val="auto"/>
                      <w:sz w:val="18"/>
                      <w:szCs w:val="18"/>
                    </w:rPr>
                  </w:pPr>
                  <w:r>
                    <w:rPr>
                      <w:rFonts w:hint="eastAsia"/>
                      <w:color w:val="auto"/>
                      <w:sz w:val="18"/>
                      <w:szCs w:val="18"/>
                      <w:lang w:val="en-US" w:eastAsia="zh-CN"/>
                    </w:rPr>
                    <w:t>7.7</w:t>
                  </w:r>
                </w:p>
              </w:tc>
              <w:tc>
                <w:tcPr>
                  <w:tcW w:w="220" w:type="pct"/>
                  <w:tcBorders>
                    <w:tl2br w:val="nil"/>
                    <w:tr2bl w:val="nil"/>
                  </w:tcBorders>
                  <w:shd w:val="clear" w:color="auto" w:fill="auto"/>
                  <w:tcMar>
                    <w:top w:w="0" w:type="dxa"/>
                    <w:left w:w="0" w:type="dxa"/>
                    <w:bottom w:w="0" w:type="dxa"/>
                    <w:right w:w="0" w:type="dxa"/>
                  </w:tcMar>
                  <w:vAlign w:val="center"/>
                </w:tcPr>
                <w:p w14:paraId="7B7B6685">
                  <w:pPr>
                    <w:pStyle w:val="15"/>
                    <w:bidi w:val="0"/>
                    <w:rPr>
                      <w:rFonts w:hint="eastAsia"/>
                      <w:color w:val="auto"/>
                      <w:sz w:val="18"/>
                      <w:szCs w:val="18"/>
                    </w:rPr>
                  </w:pPr>
                  <w:r>
                    <w:rPr>
                      <w:rFonts w:hint="eastAsia"/>
                      <w:color w:val="auto"/>
                      <w:sz w:val="18"/>
                      <w:szCs w:val="18"/>
                      <w:lang w:val="en-US" w:eastAsia="zh-CN"/>
                    </w:rPr>
                    <w:t>0.47</w:t>
                  </w:r>
                </w:p>
              </w:tc>
              <w:tc>
                <w:tcPr>
                  <w:tcW w:w="278" w:type="pct"/>
                  <w:tcBorders>
                    <w:tl2br w:val="nil"/>
                    <w:tr2bl w:val="nil"/>
                  </w:tcBorders>
                  <w:shd w:val="clear" w:color="auto" w:fill="auto"/>
                  <w:tcMar>
                    <w:top w:w="0" w:type="dxa"/>
                    <w:left w:w="0" w:type="dxa"/>
                    <w:bottom w:w="0" w:type="dxa"/>
                    <w:right w:w="0" w:type="dxa"/>
                  </w:tcMar>
                  <w:vAlign w:val="center"/>
                </w:tcPr>
                <w:p w14:paraId="7FF305F8">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9EF078C">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399918DC">
                  <w:pPr>
                    <w:pStyle w:val="15"/>
                    <w:bidi w:val="0"/>
                    <w:rPr>
                      <w:rFonts w:hint="eastAsia"/>
                      <w:color w:val="auto"/>
                      <w:sz w:val="18"/>
                      <w:szCs w:val="18"/>
                    </w:rPr>
                  </w:pPr>
                  <w:r>
                    <w:rPr>
                      <w:rFonts w:hint="eastAsia"/>
                      <w:color w:val="auto"/>
                      <w:sz w:val="18"/>
                      <w:szCs w:val="18"/>
                      <w:lang w:val="en-US" w:eastAsia="zh-CN"/>
                    </w:rPr>
                    <w:t>-</w:t>
                  </w:r>
                </w:p>
              </w:tc>
            </w:tr>
            <w:tr w14:paraId="61D421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39B80EE5">
                  <w:pPr>
                    <w:pStyle w:val="15"/>
                    <w:bidi w:val="0"/>
                    <w:rPr>
                      <w:rFonts w:hint="eastAsia"/>
                      <w:color w:val="auto"/>
                      <w:sz w:val="18"/>
                      <w:szCs w:val="18"/>
                    </w:rPr>
                  </w:pPr>
                  <w:r>
                    <w:rPr>
                      <w:rFonts w:hint="eastAsia"/>
                      <w:color w:val="auto"/>
                      <w:sz w:val="18"/>
                      <w:szCs w:val="18"/>
                      <w:lang w:val="en-US" w:eastAsia="zh-CN"/>
                    </w:rPr>
                    <w:t>2</w:t>
                  </w:r>
                </w:p>
              </w:tc>
              <w:tc>
                <w:tcPr>
                  <w:tcW w:w="631" w:type="pct"/>
                  <w:tcBorders>
                    <w:tl2br w:val="nil"/>
                    <w:tr2bl w:val="nil"/>
                  </w:tcBorders>
                  <w:shd w:val="clear" w:color="auto" w:fill="auto"/>
                  <w:tcMar>
                    <w:top w:w="0" w:type="dxa"/>
                    <w:left w:w="0" w:type="dxa"/>
                    <w:bottom w:w="0" w:type="dxa"/>
                    <w:right w:w="0" w:type="dxa"/>
                  </w:tcMar>
                  <w:vAlign w:val="center"/>
                </w:tcPr>
                <w:p w14:paraId="3392CB27">
                  <w:pPr>
                    <w:pStyle w:val="15"/>
                    <w:bidi w:val="0"/>
                    <w:rPr>
                      <w:rFonts w:hint="eastAsia"/>
                      <w:color w:val="auto"/>
                      <w:sz w:val="18"/>
                      <w:szCs w:val="18"/>
                    </w:rPr>
                  </w:pPr>
                  <w:r>
                    <w:rPr>
                      <w:rFonts w:hint="eastAsia"/>
                      <w:color w:val="auto"/>
                      <w:sz w:val="18"/>
                      <w:szCs w:val="18"/>
                      <w:lang w:val="en-US" w:eastAsia="zh-CN"/>
                    </w:rPr>
                    <w:t>总硬度</w:t>
                  </w:r>
                </w:p>
              </w:tc>
              <w:tc>
                <w:tcPr>
                  <w:tcW w:w="465" w:type="pct"/>
                  <w:tcBorders>
                    <w:tl2br w:val="nil"/>
                    <w:tr2bl w:val="nil"/>
                  </w:tcBorders>
                  <w:shd w:val="clear" w:color="auto" w:fill="auto"/>
                  <w:tcMar>
                    <w:top w:w="0" w:type="dxa"/>
                    <w:left w:w="0" w:type="dxa"/>
                    <w:bottom w:w="0" w:type="dxa"/>
                    <w:right w:w="0" w:type="dxa"/>
                  </w:tcMar>
                  <w:vAlign w:val="center"/>
                </w:tcPr>
                <w:p w14:paraId="3DAAF4DA">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1CD8B275">
                  <w:pPr>
                    <w:pStyle w:val="15"/>
                    <w:bidi w:val="0"/>
                    <w:rPr>
                      <w:rFonts w:hint="eastAsia"/>
                      <w:color w:val="auto"/>
                      <w:sz w:val="18"/>
                      <w:szCs w:val="18"/>
                    </w:rPr>
                  </w:pPr>
                  <w:r>
                    <w:rPr>
                      <w:rFonts w:hint="eastAsia"/>
                      <w:color w:val="auto"/>
                      <w:sz w:val="18"/>
                      <w:szCs w:val="18"/>
                      <w:lang w:val="en-US" w:eastAsia="zh-CN"/>
                    </w:rPr>
                    <w:t>450</w:t>
                  </w:r>
                </w:p>
              </w:tc>
              <w:tc>
                <w:tcPr>
                  <w:tcW w:w="279" w:type="pct"/>
                  <w:tcBorders>
                    <w:tl2br w:val="nil"/>
                    <w:tr2bl w:val="nil"/>
                  </w:tcBorders>
                  <w:shd w:val="clear" w:color="auto" w:fill="auto"/>
                  <w:tcMar>
                    <w:top w:w="0" w:type="dxa"/>
                    <w:left w:w="0" w:type="dxa"/>
                    <w:bottom w:w="0" w:type="dxa"/>
                    <w:right w:w="0" w:type="dxa"/>
                  </w:tcMar>
                  <w:vAlign w:val="center"/>
                </w:tcPr>
                <w:p w14:paraId="0C901A50">
                  <w:pPr>
                    <w:pStyle w:val="15"/>
                    <w:bidi w:val="0"/>
                    <w:rPr>
                      <w:rFonts w:hint="eastAsia"/>
                      <w:color w:val="auto"/>
                      <w:sz w:val="18"/>
                      <w:szCs w:val="18"/>
                    </w:rPr>
                  </w:pPr>
                  <w:r>
                    <w:rPr>
                      <w:rFonts w:hint="eastAsia"/>
                      <w:color w:val="auto"/>
                      <w:sz w:val="18"/>
                      <w:szCs w:val="18"/>
                      <w:lang w:val="en-US" w:eastAsia="zh-CN"/>
                    </w:rPr>
                    <w:t>8890</w:t>
                  </w:r>
                </w:p>
              </w:tc>
              <w:tc>
                <w:tcPr>
                  <w:tcW w:w="220" w:type="pct"/>
                  <w:tcBorders>
                    <w:tl2br w:val="nil"/>
                    <w:tr2bl w:val="nil"/>
                  </w:tcBorders>
                  <w:shd w:val="clear" w:color="auto" w:fill="auto"/>
                  <w:tcMar>
                    <w:top w:w="0" w:type="dxa"/>
                    <w:left w:w="0" w:type="dxa"/>
                    <w:bottom w:w="0" w:type="dxa"/>
                    <w:right w:w="0" w:type="dxa"/>
                  </w:tcMar>
                  <w:vAlign w:val="center"/>
                </w:tcPr>
                <w:p w14:paraId="4CCA1373">
                  <w:pPr>
                    <w:pStyle w:val="15"/>
                    <w:bidi w:val="0"/>
                    <w:rPr>
                      <w:rFonts w:hint="eastAsia"/>
                      <w:color w:val="auto"/>
                      <w:sz w:val="18"/>
                      <w:szCs w:val="18"/>
                    </w:rPr>
                  </w:pPr>
                  <w:r>
                    <w:rPr>
                      <w:rFonts w:hint="eastAsia"/>
                      <w:color w:val="auto"/>
                      <w:sz w:val="18"/>
                      <w:szCs w:val="18"/>
                      <w:lang w:val="en-US" w:eastAsia="zh-CN"/>
                    </w:rPr>
                    <w:t>19.76</w:t>
                  </w:r>
                </w:p>
              </w:tc>
              <w:tc>
                <w:tcPr>
                  <w:tcW w:w="278" w:type="pct"/>
                  <w:tcBorders>
                    <w:tl2br w:val="nil"/>
                    <w:tr2bl w:val="nil"/>
                  </w:tcBorders>
                  <w:shd w:val="clear" w:color="auto" w:fill="auto"/>
                  <w:tcMar>
                    <w:top w:w="0" w:type="dxa"/>
                    <w:left w:w="0" w:type="dxa"/>
                    <w:bottom w:w="0" w:type="dxa"/>
                    <w:right w:w="0" w:type="dxa"/>
                  </w:tcMar>
                  <w:vAlign w:val="center"/>
                </w:tcPr>
                <w:p w14:paraId="4053E05B">
                  <w:pPr>
                    <w:pStyle w:val="15"/>
                    <w:bidi w:val="0"/>
                    <w:rPr>
                      <w:rFonts w:hint="eastAsia"/>
                      <w:color w:val="auto"/>
                      <w:sz w:val="18"/>
                      <w:szCs w:val="18"/>
                    </w:rPr>
                  </w:pPr>
                  <w:r>
                    <w:rPr>
                      <w:rFonts w:hint="eastAsia"/>
                      <w:color w:val="auto"/>
                      <w:sz w:val="18"/>
                      <w:szCs w:val="18"/>
                      <w:lang w:val="en-US" w:eastAsia="zh-CN"/>
                    </w:rPr>
                    <w:t>1876%</w:t>
                  </w:r>
                </w:p>
              </w:tc>
              <w:tc>
                <w:tcPr>
                  <w:tcW w:w="279" w:type="pct"/>
                  <w:tcBorders>
                    <w:tl2br w:val="nil"/>
                    <w:tr2bl w:val="nil"/>
                  </w:tcBorders>
                  <w:shd w:val="clear" w:color="auto" w:fill="auto"/>
                  <w:tcMar>
                    <w:top w:w="0" w:type="dxa"/>
                    <w:left w:w="0" w:type="dxa"/>
                    <w:bottom w:w="0" w:type="dxa"/>
                    <w:right w:w="0" w:type="dxa"/>
                  </w:tcMar>
                  <w:vAlign w:val="center"/>
                </w:tcPr>
                <w:p w14:paraId="1B80B1F6">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60EC95BF">
                  <w:pPr>
                    <w:pStyle w:val="15"/>
                    <w:bidi w:val="0"/>
                    <w:rPr>
                      <w:rFonts w:hint="eastAsia"/>
                      <w:color w:val="auto"/>
                      <w:sz w:val="18"/>
                      <w:szCs w:val="18"/>
                    </w:rPr>
                  </w:pPr>
                  <w:r>
                    <w:rPr>
                      <w:rFonts w:hint="eastAsia"/>
                      <w:color w:val="auto"/>
                      <w:sz w:val="18"/>
                      <w:szCs w:val="18"/>
                      <w:lang w:val="en-US" w:eastAsia="zh-CN"/>
                    </w:rPr>
                    <w:t>874</w:t>
                  </w:r>
                </w:p>
              </w:tc>
              <w:tc>
                <w:tcPr>
                  <w:tcW w:w="200" w:type="pct"/>
                  <w:tcBorders>
                    <w:tl2br w:val="nil"/>
                    <w:tr2bl w:val="nil"/>
                  </w:tcBorders>
                  <w:shd w:val="clear" w:color="auto" w:fill="auto"/>
                  <w:tcMar>
                    <w:top w:w="0" w:type="dxa"/>
                    <w:left w:w="0" w:type="dxa"/>
                    <w:bottom w:w="0" w:type="dxa"/>
                    <w:right w:w="0" w:type="dxa"/>
                  </w:tcMar>
                  <w:vAlign w:val="center"/>
                </w:tcPr>
                <w:p w14:paraId="48838001">
                  <w:pPr>
                    <w:pStyle w:val="15"/>
                    <w:bidi w:val="0"/>
                    <w:rPr>
                      <w:rFonts w:hint="eastAsia"/>
                      <w:color w:val="auto"/>
                      <w:sz w:val="18"/>
                      <w:szCs w:val="18"/>
                    </w:rPr>
                  </w:pPr>
                  <w:r>
                    <w:rPr>
                      <w:rFonts w:hint="eastAsia"/>
                      <w:color w:val="auto"/>
                      <w:sz w:val="18"/>
                      <w:szCs w:val="18"/>
                      <w:lang w:val="en-US" w:eastAsia="zh-CN"/>
                    </w:rPr>
                    <w:t>1.94</w:t>
                  </w:r>
                </w:p>
              </w:tc>
              <w:tc>
                <w:tcPr>
                  <w:tcW w:w="238" w:type="pct"/>
                  <w:tcBorders>
                    <w:tl2br w:val="nil"/>
                    <w:tr2bl w:val="nil"/>
                  </w:tcBorders>
                  <w:shd w:val="clear" w:color="auto" w:fill="auto"/>
                  <w:tcMar>
                    <w:top w:w="0" w:type="dxa"/>
                    <w:left w:w="0" w:type="dxa"/>
                    <w:bottom w:w="0" w:type="dxa"/>
                    <w:right w:w="0" w:type="dxa"/>
                  </w:tcMar>
                  <w:vAlign w:val="center"/>
                </w:tcPr>
                <w:p w14:paraId="51BC66C3">
                  <w:pPr>
                    <w:pStyle w:val="15"/>
                    <w:bidi w:val="0"/>
                    <w:rPr>
                      <w:rFonts w:hint="eastAsia"/>
                      <w:color w:val="auto"/>
                      <w:sz w:val="18"/>
                      <w:szCs w:val="18"/>
                    </w:rPr>
                  </w:pPr>
                  <w:r>
                    <w:rPr>
                      <w:rFonts w:hint="eastAsia"/>
                      <w:color w:val="auto"/>
                      <w:sz w:val="18"/>
                      <w:szCs w:val="18"/>
                      <w:lang w:val="en-US" w:eastAsia="zh-CN"/>
                    </w:rPr>
                    <w:t>94%</w:t>
                  </w:r>
                </w:p>
              </w:tc>
              <w:tc>
                <w:tcPr>
                  <w:tcW w:w="279" w:type="pct"/>
                  <w:tcBorders>
                    <w:tl2br w:val="nil"/>
                    <w:tr2bl w:val="nil"/>
                  </w:tcBorders>
                  <w:shd w:val="clear" w:color="auto" w:fill="auto"/>
                  <w:tcMar>
                    <w:top w:w="0" w:type="dxa"/>
                    <w:left w:w="0" w:type="dxa"/>
                    <w:bottom w:w="0" w:type="dxa"/>
                    <w:right w:w="0" w:type="dxa"/>
                  </w:tcMar>
                  <w:vAlign w:val="center"/>
                </w:tcPr>
                <w:p w14:paraId="77BBA9CD">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29368336">
                  <w:pPr>
                    <w:pStyle w:val="15"/>
                    <w:bidi w:val="0"/>
                    <w:rPr>
                      <w:rFonts w:hint="eastAsia"/>
                      <w:color w:val="auto"/>
                      <w:sz w:val="18"/>
                      <w:szCs w:val="18"/>
                    </w:rPr>
                  </w:pPr>
                  <w:r>
                    <w:rPr>
                      <w:rFonts w:hint="eastAsia"/>
                      <w:color w:val="auto"/>
                      <w:sz w:val="18"/>
                      <w:szCs w:val="18"/>
                      <w:lang w:val="en-US" w:eastAsia="zh-CN"/>
                    </w:rPr>
                    <w:t>1310</w:t>
                  </w:r>
                </w:p>
              </w:tc>
              <w:tc>
                <w:tcPr>
                  <w:tcW w:w="220" w:type="pct"/>
                  <w:tcBorders>
                    <w:tl2br w:val="nil"/>
                    <w:tr2bl w:val="nil"/>
                  </w:tcBorders>
                  <w:shd w:val="clear" w:color="auto" w:fill="auto"/>
                  <w:tcMar>
                    <w:top w:w="0" w:type="dxa"/>
                    <w:left w:w="0" w:type="dxa"/>
                    <w:bottom w:w="0" w:type="dxa"/>
                    <w:right w:w="0" w:type="dxa"/>
                  </w:tcMar>
                  <w:vAlign w:val="center"/>
                </w:tcPr>
                <w:p w14:paraId="5EE33846">
                  <w:pPr>
                    <w:pStyle w:val="15"/>
                    <w:bidi w:val="0"/>
                    <w:rPr>
                      <w:rFonts w:hint="eastAsia"/>
                      <w:color w:val="auto"/>
                      <w:sz w:val="18"/>
                      <w:szCs w:val="18"/>
                    </w:rPr>
                  </w:pPr>
                  <w:r>
                    <w:rPr>
                      <w:rFonts w:hint="eastAsia"/>
                      <w:color w:val="auto"/>
                      <w:sz w:val="18"/>
                      <w:szCs w:val="18"/>
                      <w:lang w:val="en-US" w:eastAsia="zh-CN"/>
                    </w:rPr>
                    <w:t>2.91</w:t>
                  </w:r>
                </w:p>
              </w:tc>
              <w:tc>
                <w:tcPr>
                  <w:tcW w:w="278" w:type="pct"/>
                  <w:tcBorders>
                    <w:tl2br w:val="nil"/>
                    <w:tr2bl w:val="nil"/>
                  </w:tcBorders>
                  <w:shd w:val="clear" w:color="auto" w:fill="auto"/>
                  <w:tcMar>
                    <w:top w:w="0" w:type="dxa"/>
                    <w:left w:w="0" w:type="dxa"/>
                    <w:bottom w:w="0" w:type="dxa"/>
                    <w:right w:w="0" w:type="dxa"/>
                  </w:tcMar>
                  <w:vAlign w:val="center"/>
                </w:tcPr>
                <w:p w14:paraId="4D939A07">
                  <w:pPr>
                    <w:pStyle w:val="15"/>
                    <w:bidi w:val="0"/>
                    <w:rPr>
                      <w:rFonts w:hint="eastAsia"/>
                      <w:color w:val="auto"/>
                      <w:sz w:val="18"/>
                      <w:szCs w:val="18"/>
                    </w:rPr>
                  </w:pPr>
                  <w:r>
                    <w:rPr>
                      <w:rFonts w:hint="eastAsia"/>
                      <w:color w:val="auto"/>
                      <w:sz w:val="18"/>
                      <w:szCs w:val="18"/>
                      <w:lang w:val="en-US" w:eastAsia="zh-CN"/>
                    </w:rPr>
                    <w:t>191%</w:t>
                  </w:r>
                </w:p>
              </w:tc>
              <w:tc>
                <w:tcPr>
                  <w:tcW w:w="279" w:type="pct"/>
                  <w:tcBorders>
                    <w:tl2br w:val="nil"/>
                    <w:tr2bl w:val="nil"/>
                  </w:tcBorders>
                  <w:shd w:val="clear" w:color="auto" w:fill="auto"/>
                  <w:tcMar>
                    <w:top w:w="0" w:type="dxa"/>
                    <w:left w:w="0" w:type="dxa"/>
                    <w:bottom w:w="0" w:type="dxa"/>
                    <w:right w:w="0" w:type="dxa"/>
                  </w:tcMar>
                  <w:vAlign w:val="center"/>
                </w:tcPr>
                <w:p w14:paraId="3D64185F">
                  <w:pPr>
                    <w:pStyle w:val="15"/>
                    <w:bidi w:val="0"/>
                    <w:rPr>
                      <w:rFonts w:hint="eastAsia"/>
                      <w:color w:val="auto"/>
                      <w:sz w:val="18"/>
                      <w:szCs w:val="18"/>
                    </w:rPr>
                  </w:pPr>
                  <w:r>
                    <w:rPr>
                      <w:rFonts w:hint="eastAsia"/>
                      <w:color w:val="auto"/>
                      <w:sz w:val="18"/>
                      <w:szCs w:val="18"/>
                      <w:lang w:val="en-US" w:eastAsia="zh-CN"/>
                    </w:rPr>
                    <w:t>不达标</w:t>
                  </w:r>
                </w:p>
              </w:tc>
              <w:tc>
                <w:tcPr>
                  <w:tcW w:w="305" w:type="pct"/>
                  <w:tcBorders>
                    <w:tl2br w:val="nil"/>
                    <w:tr2bl w:val="nil"/>
                  </w:tcBorders>
                  <w:shd w:val="clear" w:color="auto" w:fill="auto"/>
                  <w:tcMar>
                    <w:top w:w="0" w:type="dxa"/>
                    <w:left w:w="0" w:type="dxa"/>
                    <w:bottom w:w="0" w:type="dxa"/>
                    <w:right w:w="0" w:type="dxa"/>
                  </w:tcMar>
                  <w:vAlign w:val="center"/>
                </w:tcPr>
                <w:p w14:paraId="56128419">
                  <w:pPr>
                    <w:pStyle w:val="15"/>
                    <w:bidi w:val="0"/>
                    <w:rPr>
                      <w:rFonts w:hint="eastAsia"/>
                      <w:color w:val="auto"/>
                      <w:sz w:val="18"/>
                      <w:szCs w:val="18"/>
                    </w:rPr>
                  </w:pPr>
                  <w:r>
                    <w:rPr>
                      <w:rFonts w:hint="eastAsia"/>
                      <w:color w:val="auto"/>
                      <w:sz w:val="18"/>
                      <w:szCs w:val="18"/>
                      <w:lang w:val="en-US" w:eastAsia="zh-CN"/>
                    </w:rPr>
                    <w:t>5</w:t>
                  </w:r>
                </w:p>
              </w:tc>
            </w:tr>
            <w:tr w14:paraId="001EB5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0532DA6C">
                  <w:pPr>
                    <w:pStyle w:val="15"/>
                    <w:bidi w:val="0"/>
                    <w:rPr>
                      <w:rFonts w:hint="eastAsia"/>
                      <w:color w:val="auto"/>
                      <w:sz w:val="18"/>
                      <w:szCs w:val="18"/>
                    </w:rPr>
                  </w:pPr>
                  <w:r>
                    <w:rPr>
                      <w:rFonts w:hint="eastAsia"/>
                      <w:color w:val="auto"/>
                      <w:sz w:val="18"/>
                      <w:szCs w:val="18"/>
                      <w:lang w:val="en-US" w:eastAsia="zh-CN"/>
                    </w:rPr>
                    <w:t>3</w:t>
                  </w:r>
                </w:p>
              </w:tc>
              <w:tc>
                <w:tcPr>
                  <w:tcW w:w="631" w:type="pct"/>
                  <w:tcBorders>
                    <w:tl2br w:val="nil"/>
                    <w:tr2bl w:val="nil"/>
                  </w:tcBorders>
                  <w:shd w:val="clear" w:color="auto" w:fill="auto"/>
                  <w:tcMar>
                    <w:top w:w="0" w:type="dxa"/>
                    <w:left w:w="0" w:type="dxa"/>
                    <w:bottom w:w="0" w:type="dxa"/>
                    <w:right w:w="0" w:type="dxa"/>
                  </w:tcMar>
                  <w:vAlign w:val="center"/>
                </w:tcPr>
                <w:p w14:paraId="6D2EEF9F">
                  <w:pPr>
                    <w:pStyle w:val="15"/>
                    <w:bidi w:val="0"/>
                    <w:rPr>
                      <w:rFonts w:hint="eastAsia"/>
                      <w:color w:val="auto"/>
                      <w:sz w:val="18"/>
                      <w:szCs w:val="18"/>
                    </w:rPr>
                  </w:pPr>
                  <w:r>
                    <w:rPr>
                      <w:rFonts w:hint="eastAsia"/>
                      <w:color w:val="auto"/>
                      <w:sz w:val="18"/>
                      <w:szCs w:val="18"/>
                      <w:lang w:val="en-US" w:eastAsia="zh-CN"/>
                    </w:rPr>
                    <w:t>钙</w:t>
                  </w:r>
                </w:p>
              </w:tc>
              <w:tc>
                <w:tcPr>
                  <w:tcW w:w="465" w:type="pct"/>
                  <w:tcBorders>
                    <w:tl2br w:val="nil"/>
                    <w:tr2bl w:val="nil"/>
                  </w:tcBorders>
                  <w:shd w:val="clear" w:color="auto" w:fill="auto"/>
                  <w:tcMar>
                    <w:top w:w="0" w:type="dxa"/>
                    <w:left w:w="0" w:type="dxa"/>
                    <w:bottom w:w="0" w:type="dxa"/>
                    <w:right w:w="0" w:type="dxa"/>
                  </w:tcMar>
                  <w:vAlign w:val="center"/>
                </w:tcPr>
                <w:p w14:paraId="17D360D4">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4048B35C">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073C6515">
                  <w:pPr>
                    <w:pStyle w:val="15"/>
                    <w:bidi w:val="0"/>
                    <w:rPr>
                      <w:rFonts w:hint="eastAsia"/>
                      <w:color w:val="auto"/>
                      <w:sz w:val="18"/>
                      <w:szCs w:val="18"/>
                    </w:rPr>
                  </w:pPr>
                  <w:r>
                    <w:rPr>
                      <w:rFonts w:hint="eastAsia"/>
                      <w:color w:val="auto"/>
                      <w:sz w:val="18"/>
                      <w:szCs w:val="18"/>
                      <w:lang w:val="en-US" w:eastAsia="zh-CN"/>
                    </w:rPr>
                    <w:t>745</w:t>
                  </w:r>
                </w:p>
              </w:tc>
              <w:tc>
                <w:tcPr>
                  <w:tcW w:w="220" w:type="pct"/>
                  <w:tcBorders>
                    <w:tl2br w:val="nil"/>
                    <w:tr2bl w:val="nil"/>
                  </w:tcBorders>
                  <w:shd w:val="clear" w:color="auto" w:fill="auto"/>
                  <w:tcMar>
                    <w:top w:w="0" w:type="dxa"/>
                    <w:left w:w="0" w:type="dxa"/>
                    <w:bottom w:w="0" w:type="dxa"/>
                    <w:right w:w="0" w:type="dxa"/>
                  </w:tcMar>
                  <w:vAlign w:val="center"/>
                </w:tcPr>
                <w:p w14:paraId="66FD0398">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460D008">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3410D966">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031B3556">
                  <w:pPr>
                    <w:pStyle w:val="15"/>
                    <w:bidi w:val="0"/>
                    <w:rPr>
                      <w:rFonts w:hint="eastAsia"/>
                      <w:color w:val="auto"/>
                      <w:sz w:val="18"/>
                      <w:szCs w:val="18"/>
                    </w:rPr>
                  </w:pPr>
                  <w:r>
                    <w:rPr>
                      <w:rFonts w:hint="eastAsia"/>
                      <w:color w:val="auto"/>
                      <w:sz w:val="18"/>
                      <w:szCs w:val="18"/>
                      <w:lang w:val="en-US" w:eastAsia="zh-CN"/>
                    </w:rPr>
                    <w:t>261</w:t>
                  </w:r>
                </w:p>
              </w:tc>
              <w:tc>
                <w:tcPr>
                  <w:tcW w:w="200" w:type="pct"/>
                  <w:tcBorders>
                    <w:tl2br w:val="nil"/>
                    <w:tr2bl w:val="nil"/>
                  </w:tcBorders>
                  <w:shd w:val="clear" w:color="auto" w:fill="auto"/>
                  <w:tcMar>
                    <w:top w:w="0" w:type="dxa"/>
                    <w:left w:w="0" w:type="dxa"/>
                    <w:bottom w:w="0" w:type="dxa"/>
                    <w:right w:w="0" w:type="dxa"/>
                  </w:tcMar>
                  <w:vAlign w:val="center"/>
                </w:tcPr>
                <w:p w14:paraId="59A8AACB">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55FD670E">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5C420EB4">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67CA33F5">
                  <w:pPr>
                    <w:pStyle w:val="15"/>
                    <w:bidi w:val="0"/>
                    <w:rPr>
                      <w:rFonts w:hint="eastAsia"/>
                      <w:color w:val="auto"/>
                      <w:sz w:val="18"/>
                      <w:szCs w:val="18"/>
                    </w:rPr>
                  </w:pPr>
                  <w:r>
                    <w:rPr>
                      <w:rFonts w:hint="eastAsia"/>
                      <w:color w:val="auto"/>
                      <w:sz w:val="18"/>
                      <w:szCs w:val="18"/>
                      <w:lang w:val="en-US" w:eastAsia="zh-CN"/>
                    </w:rPr>
                    <w:t>757</w:t>
                  </w:r>
                </w:p>
              </w:tc>
              <w:tc>
                <w:tcPr>
                  <w:tcW w:w="220" w:type="pct"/>
                  <w:tcBorders>
                    <w:tl2br w:val="nil"/>
                    <w:tr2bl w:val="nil"/>
                  </w:tcBorders>
                  <w:shd w:val="clear" w:color="auto" w:fill="auto"/>
                  <w:tcMar>
                    <w:top w:w="0" w:type="dxa"/>
                    <w:left w:w="0" w:type="dxa"/>
                    <w:bottom w:w="0" w:type="dxa"/>
                    <w:right w:w="0" w:type="dxa"/>
                  </w:tcMar>
                  <w:vAlign w:val="center"/>
                </w:tcPr>
                <w:p w14:paraId="7208464D">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344DA536">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48FB1FBE">
                  <w:pPr>
                    <w:pStyle w:val="15"/>
                    <w:bidi w:val="0"/>
                    <w:rPr>
                      <w:rFonts w:hint="eastAsia"/>
                      <w:color w:val="auto"/>
                      <w:sz w:val="18"/>
                      <w:szCs w:val="18"/>
                    </w:rPr>
                  </w:pPr>
                  <w:r>
                    <w:rPr>
                      <w:rFonts w:hint="eastAsia"/>
                      <w:color w:val="auto"/>
                      <w:sz w:val="18"/>
                      <w:szCs w:val="18"/>
                      <w:lang w:val="en-US" w:eastAsia="zh-CN"/>
                    </w:rPr>
                    <w:t>/</w:t>
                  </w:r>
                </w:p>
              </w:tc>
              <w:tc>
                <w:tcPr>
                  <w:tcW w:w="305" w:type="pct"/>
                  <w:tcBorders>
                    <w:tl2br w:val="nil"/>
                    <w:tr2bl w:val="nil"/>
                  </w:tcBorders>
                  <w:shd w:val="clear" w:color="auto" w:fill="auto"/>
                  <w:tcMar>
                    <w:top w:w="0" w:type="dxa"/>
                    <w:left w:w="0" w:type="dxa"/>
                    <w:bottom w:w="0" w:type="dxa"/>
                    <w:right w:w="0" w:type="dxa"/>
                  </w:tcMar>
                  <w:vAlign w:val="center"/>
                </w:tcPr>
                <w:p w14:paraId="52D11565">
                  <w:pPr>
                    <w:pStyle w:val="15"/>
                    <w:bidi w:val="0"/>
                    <w:rPr>
                      <w:rFonts w:hint="eastAsia"/>
                      <w:color w:val="auto"/>
                      <w:sz w:val="18"/>
                      <w:szCs w:val="18"/>
                    </w:rPr>
                  </w:pPr>
                  <w:r>
                    <w:rPr>
                      <w:rFonts w:hint="eastAsia"/>
                      <w:color w:val="auto"/>
                      <w:sz w:val="18"/>
                      <w:szCs w:val="18"/>
                      <w:lang w:val="en-US" w:eastAsia="zh-CN"/>
                    </w:rPr>
                    <w:t>2</w:t>
                  </w:r>
                </w:p>
              </w:tc>
            </w:tr>
            <w:tr w14:paraId="0AA681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989FEE1">
                  <w:pPr>
                    <w:pStyle w:val="15"/>
                    <w:bidi w:val="0"/>
                    <w:rPr>
                      <w:rFonts w:hint="eastAsia"/>
                      <w:color w:val="auto"/>
                      <w:sz w:val="18"/>
                      <w:szCs w:val="18"/>
                    </w:rPr>
                  </w:pPr>
                  <w:r>
                    <w:rPr>
                      <w:rFonts w:hint="eastAsia"/>
                      <w:color w:val="auto"/>
                      <w:sz w:val="18"/>
                      <w:szCs w:val="18"/>
                      <w:lang w:val="en-US" w:eastAsia="zh-CN"/>
                    </w:rPr>
                    <w:t>4</w:t>
                  </w:r>
                </w:p>
              </w:tc>
              <w:tc>
                <w:tcPr>
                  <w:tcW w:w="631" w:type="pct"/>
                  <w:tcBorders>
                    <w:tl2br w:val="nil"/>
                    <w:tr2bl w:val="nil"/>
                  </w:tcBorders>
                  <w:shd w:val="clear" w:color="auto" w:fill="auto"/>
                  <w:tcMar>
                    <w:top w:w="0" w:type="dxa"/>
                    <w:left w:w="0" w:type="dxa"/>
                    <w:bottom w:w="0" w:type="dxa"/>
                    <w:right w:w="0" w:type="dxa"/>
                  </w:tcMar>
                  <w:vAlign w:val="center"/>
                </w:tcPr>
                <w:p w14:paraId="613BB27D">
                  <w:pPr>
                    <w:pStyle w:val="15"/>
                    <w:bidi w:val="0"/>
                    <w:rPr>
                      <w:rFonts w:hint="eastAsia"/>
                      <w:color w:val="auto"/>
                      <w:sz w:val="18"/>
                      <w:szCs w:val="18"/>
                    </w:rPr>
                  </w:pPr>
                  <w:r>
                    <w:rPr>
                      <w:rFonts w:hint="eastAsia"/>
                      <w:color w:val="auto"/>
                      <w:sz w:val="18"/>
                      <w:szCs w:val="18"/>
                      <w:lang w:val="en-US" w:eastAsia="zh-CN"/>
                    </w:rPr>
                    <w:t>镁</w:t>
                  </w:r>
                </w:p>
              </w:tc>
              <w:tc>
                <w:tcPr>
                  <w:tcW w:w="465" w:type="pct"/>
                  <w:tcBorders>
                    <w:tl2br w:val="nil"/>
                    <w:tr2bl w:val="nil"/>
                  </w:tcBorders>
                  <w:shd w:val="clear" w:color="auto" w:fill="auto"/>
                  <w:tcMar>
                    <w:top w:w="0" w:type="dxa"/>
                    <w:left w:w="0" w:type="dxa"/>
                    <w:bottom w:w="0" w:type="dxa"/>
                    <w:right w:w="0" w:type="dxa"/>
                  </w:tcMar>
                  <w:vAlign w:val="center"/>
                </w:tcPr>
                <w:p w14:paraId="03FD5FFB">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785F18E0">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61302094">
                  <w:pPr>
                    <w:pStyle w:val="15"/>
                    <w:bidi w:val="0"/>
                    <w:rPr>
                      <w:rFonts w:hint="eastAsia"/>
                      <w:color w:val="auto"/>
                      <w:sz w:val="18"/>
                      <w:szCs w:val="18"/>
                    </w:rPr>
                  </w:pPr>
                  <w:r>
                    <w:rPr>
                      <w:rFonts w:hint="eastAsia"/>
                      <w:color w:val="auto"/>
                      <w:sz w:val="18"/>
                      <w:szCs w:val="18"/>
                      <w:lang w:val="en-US" w:eastAsia="zh-CN"/>
                    </w:rPr>
                    <w:t>1710</w:t>
                  </w:r>
                </w:p>
              </w:tc>
              <w:tc>
                <w:tcPr>
                  <w:tcW w:w="220" w:type="pct"/>
                  <w:tcBorders>
                    <w:tl2br w:val="nil"/>
                    <w:tr2bl w:val="nil"/>
                  </w:tcBorders>
                  <w:shd w:val="clear" w:color="auto" w:fill="auto"/>
                  <w:tcMar>
                    <w:top w:w="0" w:type="dxa"/>
                    <w:left w:w="0" w:type="dxa"/>
                    <w:bottom w:w="0" w:type="dxa"/>
                    <w:right w:w="0" w:type="dxa"/>
                  </w:tcMar>
                  <w:vAlign w:val="center"/>
                </w:tcPr>
                <w:p w14:paraId="625A6958">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22305A3">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1F3D91FD">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5E8C0F0A">
                  <w:pPr>
                    <w:pStyle w:val="15"/>
                    <w:bidi w:val="0"/>
                    <w:rPr>
                      <w:rFonts w:hint="eastAsia"/>
                      <w:color w:val="auto"/>
                      <w:sz w:val="18"/>
                      <w:szCs w:val="18"/>
                    </w:rPr>
                  </w:pPr>
                  <w:r>
                    <w:rPr>
                      <w:rFonts w:hint="eastAsia"/>
                      <w:color w:val="auto"/>
                      <w:sz w:val="18"/>
                      <w:szCs w:val="18"/>
                      <w:lang w:val="en-US" w:eastAsia="zh-CN"/>
                    </w:rPr>
                    <w:t>54</w:t>
                  </w:r>
                </w:p>
              </w:tc>
              <w:tc>
                <w:tcPr>
                  <w:tcW w:w="200" w:type="pct"/>
                  <w:tcBorders>
                    <w:tl2br w:val="nil"/>
                    <w:tr2bl w:val="nil"/>
                  </w:tcBorders>
                  <w:shd w:val="clear" w:color="auto" w:fill="auto"/>
                  <w:tcMar>
                    <w:top w:w="0" w:type="dxa"/>
                    <w:left w:w="0" w:type="dxa"/>
                    <w:bottom w:w="0" w:type="dxa"/>
                    <w:right w:w="0" w:type="dxa"/>
                  </w:tcMar>
                  <w:vAlign w:val="center"/>
                </w:tcPr>
                <w:p w14:paraId="6D04552F">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6787754E">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571804A7">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141E3677">
                  <w:pPr>
                    <w:pStyle w:val="15"/>
                    <w:bidi w:val="0"/>
                    <w:rPr>
                      <w:rFonts w:hint="eastAsia"/>
                      <w:color w:val="auto"/>
                      <w:sz w:val="18"/>
                      <w:szCs w:val="18"/>
                    </w:rPr>
                  </w:pPr>
                  <w:r>
                    <w:rPr>
                      <w:rFonts w:hint="eastAsia"/>
                      <w:color w:val="auto"/>
                      <w:sz w:val="18"/>
                      <w:szCs w:val="18"/>
                      <w:lang w:val="en-US" w:eastAsia="zh-CN"/>
                    </w:rPr>
                    <w:t>2720</w:t>
                  </w:r>
                </w:p>
              </w:tc>
              <w:tc>
                <w:tcPr>
                  <w:tcW w:w="220" w:type="pct"/>
                  <w:tcBorders>
                    <w:tl2br w:val="nil"/>
                    <w:tr2bl w:val="nil"/>
                  </w:tcBorders>
                  <w:shd w:val="clear" w:color="auto" w:fill="auto"/>
                  <w:tcMar>
                    <w:top w:w="0" w:type="dxa"/>
                    <w:left w:w="0" w:type="dxa"/>
                    <w:bottom w:w="0" w:type="dxa"/>
                    <w:right w:w="0" w:type="dxa"/>
                  </w:tcMar>
                  <w:vAlign w:val="center"/>
                </w:tcPr>
                <w:p w14:paraId="35BB5975">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4E3FC28">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28DB853D">
                  <w:pPr>
                    <w:pStyle w:val="15"/>
                    <w:bidi w:val="0"/>
                    <w:rPr>
                      <w:rFonts w:hint="eastAsia"/>
                      <w:color w:val="auto"/>
                      <w:sz w:val="18"/>
                      <w:szCs w:val="18"/>
                    </w:rPr>
                  </w:pPr>
                  <w:r>
                    <w:rPr>
                      <w:rFonts w:hint="eastAsia"/>
                      <w:color w:val="auto"/>
                      <w:sz w:val="18"/>
                      <w:szCs w:val="18"/>
                      <w:lang w:val="en-US" w:eastAsia="zh-CN"/>
                    </w:rPr>
                    <w:t>/</w:t>
                  </w:r>
                </w:p>
              </w:tc>
              <w:tc>
                <w:tcPr>
                  <w:tcW w:w="305" w:type="pct"/>
                  <w:tcBorders>
                    <w:tl2br w:val="nil"/>
                    <w:tr2bl w:val="nil"/>
                  </w:tcBorders>
                  <w:shd w:val="clear" w:color="auto" w:fill="auto"/>
                  <w:tcMar>
                    <w:top w:w="0" w:type="dxa"/>
                    <w:left w:w="0" w:type="dxa"/>
                    <w:bottom w:w="0" w:type="dxa"/>
                    <w:right w:w="0" w:type="dxa"/>
                  </w:tcMar>
                  <w:vAlign w:val="center"/>
                </w:tcPr>
                <w:p w14:paraId="0625266D">
                  <w:pPr>
                    <w:pStyle w:val="15"/>
                    <w:bidi w:val="0"/>
                    <w:rPr>
                      <w:rFonts w:hint="eastAsia"/>
                      <w:color w:val="auto"/>
                      <w:sz w:val="18"/>
                      <w:szCs w:val="18"/>
                    </w:rPr>
                  </w:pPr>
                  <w:r>
                    <w:rPr>
                      <w:rFonts w:hint="eastAsia"/>
                      <w:color w:val="auto"/>
                      <w:sz w:val="18"/>
                      <w:szCs w:val="18"/>
                      <w:lang w:val="en-US" w:eastAsia="zh-CN"/>
                    </w:rPr>
                    <w:t>-</w:t>
                  </w:r>
                </w:p>
              </w:tc>
            </w:tr>
            <w:tr w14:paraId="46619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D9EEDAC">
                  <w:pPr>
                    <w:pStyle w:val="15"/>
                    <w:bidi w:val="0"/>
                    <w:rPr>
                      <w:rFonts w:hint="eastAsia"/>
                      <w:color w:val="auto"/>
                      <w:sz w:val="18"/>
                      <w:szCs w:val="18"/>
                    </w:rPr>
                  </w:pPr>
                  <w:r>
                    <w:rPr>
                      <w:rFonts w:hint="eastAsia"/>
                      <w:color w:val="auto"/>
                      <w:sz w:val="18"/>
                      <w:szCs w:val="18"/>
                      <w:lang w:val="en-US" w:eastAsia="zh-CN"/>
                    </w:rPr>
                    <w:t>5</w:t>
                  </w:r>
                </w:p>
              </w:tc>
              <w:tc>
                <w:tcPr>
                  <w:tcW w:w="631" w:type="pct"/>
                  <w:tcBorders>
                    <w:tl2br w:val="nil"/>
                    <w:tr2bl w:val="nil"/>
                  </w:tcBorders>
                  <w:shd w:val="clear" w:color="auto" w:fill="auto"/>
                  <w:tcMar>
                    <w:top w:w="0" w:type="dxa"/>
                    <w:left w:w="0" w:type="dxa"/>
                    <w:bottom w:w="0" w:type="dxa"/>
                    <w:right w:w="0" w:type="dxa"/>
                  </w:tcMar>
                  <w:vAlign w:val="center"/>
                </w:tcPr>
                <w:p w14:paraId="27927E3B">
                  <w:pPr>
                    <w:pStyle w:val="15"/>
                    <w:bidi w:val="0"/>
                    <w:rPr>
                      <w:rFonts w:hint="eastAsia"/>
                      <w:color w:val="auto"/>
                      <w:sz w:val="18"/>
                      <w:szCs w:val="18"/>
                    </w:rPr>
                  </w:pPr>
                  <w:r>
                    <w:rPr>
                      <w:rFonts w:hint="eastAsia"/>
                      <w:color w:val="auto"/>
                      <w:sz w:val="18"/>
                      <w:szCs w:val="18"/>
                      <w:lang w:val="en-US" w:eastAsia="zh-CN"/>
                    </w:rPr>
                    <w:t>溶解性总固体</w:t>
                  </w:r>
                </w:p>
              </w:tc>
              <w:tc>
                <w:tcPr>
                  <w:tcW w:w="465" w:type="pct"/>
                  <w:tcBorders>
                    <w:tl2br w:val="nil"/>
                    <w:tr2bl w:val="nil"/>
                  </w:tcBorders>
                  <w:shd w:val="clear" w:color="auto" w:fill="auto"/>
                  <w:tcMar>
                    <w:top w:w="0" w:type="dxa"/>
                    <w:left w:w="0" w:type="dxa"/>
                    <w:bottom w:w="0" w:type="dxa"/>
                    <w:right w:w="0" w:type="dxa"/>
                  </w:tcMar>
                  <w:vAlign w:val="center"/>
                </w:tcPr>
                <w:p w14:paraId="647509DC">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041040A6">
                  <w:pPr>
                    <w:pStyle w:val="15"/>
                    <w:bidi w:val="0"/>
                    <w:rPr>
                      <w:rFonts w:hint="eastAsia"/>
                      <w:color w:val="auto"/>
                      <w:sz w:val="18"/>
                      <w:szCs w:val="18"/>
                    </w:rPr>
                  </w:pPr>
                  <w:r>
                    <w:rPr>
                      <w:rFonts w:hint="eastAsia"/>
                      <w:color w:val="auto"/>
                      <w:sz w:val="18"/>
                      <w:szCs w:val="18"/>
                      <w:lang w:val="en-US" w:eastAsia="zh-CN"/>
                    </w:rPr>
                    <w:t>1000</w:t>
                  </w:r>
                </w:p>
              </w:tc>
              <w:tc>
                <w:tcPr>
                  <w:tcW w:w="279" w:type="pct"/>
                  <w:tcBorders>
                    <w:tl2br w:val="nil"/>
                    <w:tr2bl w:val="nil"/>
                  </w:tcBorders>
                  <w:shd w:val="clear" w:color="auto" w:fill="auto"/>
                  <w:tcMar>
                    <w:top w:w="0" w:type="dxa"/>
                    <w:left w:w="0" w:type="dxa"/>
                    <w:bottom w:w="0" w:type="dxa"/>
                    <w:right w:w="0" w:type="dxa"/>
                  </w:tcMar>
                  <w:vAlign w:val="center"/>
                </w:tcPr>
                <w:p w14:paraId="1A928F86">
                  <w:pPr>
                    <w:pStyle w:val="15"/>
                    <w:bidi w:val="0"/>
                    <w:rPr>
                      <w:rFonts w:hint="eastAsia"/>
                      <w:color w:val="auto"/>
                      <w:sz w:val="18"/>
                      <w:szCs w:val="18"/>
                    </w:rPr>
                  </w:pPr>
                  <w:r>
                    <w:rPr>
                      <w:rFonts w:hint="eastAsia"/>
                      <w:color w:val="auto"/>
                      <w:sz w:val="18"/>
                      <w:szCs w:val="18"/>
                      <w:lang w:val="en-US" w:eastAsia="zh-CN"/>
                    </w:rPr>
                    <w:t>20900</w:t>
                  </w:r>
                </w:p>
              </w:tc>
              <w:tc>
                <w:tcPr>
                  <w:tcW w:w="220" w:type="pct"/>
                  <w:tcBorders>
                    <w:tl2br w:val="nil"/>
                    <w:tr2bl w:val="nil"/>
                  </w:tcBorders>
                  <w:shd w:val="clear" w:color="auto" w:fill="auto"/>
                  <w:tcMar>
                    <w:top w:w="0" w:type="dxa"/>
                    <w:left w:w="0" w:type="dxa"/>
                    <w:bottom w:w="0" w:type="dxa"/>
                    <w:right w:w="0" w:type="dxa"/>
                  </w:tcMar>
                  <w:vAlign w:val="center"/>
                </w:tcPr>
                <w:p w14:paraId="57E3C7A4">
                  <w:pPr>
                    <w:pStyle w:val="15"/>
                    <w:bidi w:val="0"/>
                    <w:rPr>
                      <w:rFonts w:hint="eastAsia"/>
                      <w:color w:val="auto"/>
                      <w:sz w:val="18"/>
                      <w:szCs w:val="18"/>
                    </w:rPr>
                  </w:pPr>
                  <w:r>
                    <w:rPr>
                      <w:rFonts w:hint="eastAsia"/>
                      <w:color w:val="auto"/>
                      <w:sz w:val="18"/>
                      <w:szCs w:val="18"/>
                      <w:lang w:val="en-US" w:eastAsia="zh-CN"/>
                    </w:rPr>
                    <w:t>20.90</w:t>
                  </w:r>
                </w:p>
              </w:tc>
              <w:tc>
                <w:tcPr>
                  <w:tcW w:w="278" w:type="pct"/>
                  <w:tcBorders>
                    <w:tl2br w:val="nil"/>
                    <w:tr2bl w:val="nil"/>
                  </w:tcBorders>
                  <w:shd w:val="clear" w:color="auto" w:fill="auto"/>
                  <w:tcMar>
                    <w:top w:w="0" w:type="dxa"/>
                    <w:left w:w="0" w:type="dxa"/>
                    <w:bottom w:w="0" w:type="dxa"/>
                    <w:right w:w="0" w:type="dxa"/>
                  </w:tcMar>
                  <w:vAlign w:val="center"/>
                </w:tcPr>
                <w:p w14:paraId="5FA99F35">
                  <w:pPr>
                    <w:pStyle w:val="15"/>
                    <w:bidi w:val="0"/>
                    <w:rPr>
                      <w:rFonts w:hint="eastAsia"/>
                      <w:color w:val="auto"/>
                      <w:sz w:val="18"/>
                      <w:szCs w:val="18"/>
                    </w:rPr>
                  </w:pPr>
                  <w:r>
                    <w:rPr>
                      <w:rFonts w:hint="eastAsia"/>
                      <w:color w:val="auto"/>
                      <w:sz w:val="18"/>
                      <w:szCs w:val="18"/>
                      <w:lang w:val="en-US" w:eastAsia="zh-CN"/>
                    </w:rPr>
                    <w:t>1990%</w:t>
                  </w:r>
                </w:p>
              </w:tc>
              <w:tc>
                <w:tcPr>
                  <w:tcW w:w="279" w:type="pct"/>
                  <w:tcBorders>
                    <w:tl2br w:val="nil"/>
                    <w:tr2bl w:val="nil"/>
                  </w:tcBorders>
                  <w:shd w:val="clear" w:color="auto" w:fill="auto"/>
                  <w:tcMar>
                    <w:top w:w="0" w:type="dxa"/>
                    <w:left w:w="0" w:type="dxa"/>
                    <w:bottom w:w="0" w:type="dxa"/>
                    <w:right w:w="0" w:type="dxa"/>
                  </w:tcMar>
                  <w:vAlign w:val="center"/>
                </w:tcPr>
                <w:p w14:paraId="05578C61">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0A7C096E">
                  <w:pPr>
                    <w:pStyle w:val="15"/>
                    <w:bidi w:val="0"/>
                    <w:rPr>
                      <w:rFonts w:hint="eastAsia"/>
                      <w:color w:val="auto"/>
                      <w:sz w:val="18"/>
                      <w:szCs w:val="18"/>
                    </w:rPr>
                  </w:pPr>
                  <w:r>
                    <w:rPr>
                      <w:rFonts w:hint="eastAsia"/>
                      <w:color w:val="auto"/>
                      <w:sz w:val="18"/>
                      <w:szCs w:val="18"/>
                      <w:lang w:val="en-US" w:eastAsia="zh-CN"/>
                    </w:rPr>
                    <w:t>2310</w:t>
                  </w:r>
                </w:p>
              </w:tc>
              <w:tc>
                <w:tcPr>
                  <w:tcW w:w="200" w:type="pct"/>
                  <w:tcBorders>
                    <w:tl2br w:val="nil"/>
                    <w:tr2bl w:val="nil"/>
                  </w:tcBorders>
                  <w:shd w:val="clear" w:color="auto" w:fill="auto"/>
                  <w:tcMar>
                    <w:top w:w="0" w:type="dxa"/>
                    <w:left w:w="0" w:type="dxa"/>
                    <w:bottom w:w="0" w:type="dxa"/>
                    <w:right w:w="0" w:type="dxa"/>
                  </w:tcMar>
                  <w:vAlign w:val="center"/>
                </w:tcPr>
                <w:p w14:paraId="5F8A6C76">
                  <w:pPr>
                    <w:pStyle w:val="15"/>
                    <w:bidi w:val="0"/>
                    <w:rPr>
                      <w:rFonts w:hint="eastAsia"/>
                      <w:color w:val="auto"/>
                      <w:sz w:val="18"/>
                      <w:szCs w:val="18"/>
                    </w:rPr>
                  </w:pPr>
                  <w:r>
                    <w:rPr>
                      <w:rFonts w:hint="eastAsia"/>
                      <w:color w:val="auto"/>
                      <w:sz w:val="18"/>
                      <w:szCs w:val="18"/>
                      <w:lang w:val="en-US" w:eastAsia="zh-CN"/>
                    </w:rPr>
                    <w:t>2.31</w:t>
                  </w:r>
                </w:p>
              </w:tc>
              <w:tc>
                <w:tcPr>
                  <w:tcW w:w="238" w:type="pct"/>
                  <w:tcBorders>
                    <w:tl2br w:val="nil"/>
                    <w:tr2bl w:val="nil"/>
                  </w:tcBorders>
                  <w:shd w:val="clear" w:color="auto" w:fill="auto"/>
                  <w:tcMar>
                    <w:top w:w="0" w:type="dxa"/>
                    <w:left w:w="0" w:type="dxa"/>
                    <w:bottom w:w="0" w:type="dxa"/>
                    <w:right w:w="0" w:type="dxa"/>
                  </w:tcMar>
                  <w:vAlign w:val="center"/>
                </w:tcPr>
                <w:p w14:paraId="4FDA19C9">
                  <w:pPr>
                    <w:pStyle w:val="15"/>
                    <w:bidi w:val="0"/>
                    <w:rPr>
                      <w:rFonts w:hint="eastAsia"/>
                      <w:color w:val="auto"/>
                      <w:sz w:val="18"/>
                      <w:szCs w:val="18"/>
                    </w:rPr>
                  </w:pPr>
                  <w:r>
                    <w:rPr>
                      <w:rFonts w:hint="eastAsia"/>
                      <w:color w:val="auto"/>
                      <w:sz w:val="18"/>
                      <w:szCs w:val="18"/>
                      <w:lang w:val="en-US" w:eastAsia="zh-CN"/>
                    </w:rPr>
                    <w:t>131%</w:t>
                  </w:r>
                </w:p>
              </w:tc>
              <w:tc>
                <w:tcPr>
                  <w:tcW w:w="279" w:type="pct"/>
                  <w:tcBorders>
                    <w:tl2br w:val="nil"/>
                    <w:tr2bl w:val="nil"/>
                  </w:tcBorders>
                  <w:shd w:val="clear" w:color="auto" w:fill="auto"/>
                  <w:tcMar>
                    <w:top w:w="0" w:type="dxa"/>
                    <w:left w:w="0" w:type="dxa"/>
                    <w:bottom w:w="0" w:type="dxa"/>
                    <w:right w:w="0" w:type="dxa"/>
                  </w:tcMar>
                  <w:vAlign w:val="center"/>
                </w:tcPr>
                <w:p w14:paraId="56C91E3D">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214985F1">
                  <w:pPr>
                    <w:pStyle w:val="15"/>
                    <w:bidi w:val="0"/>
                    <w:rPr>
                      <w:rFonts w:hint="eastAsia"/>
                      <w:color w:val="auto"/>
                      <w:sz w:val="18"/>
                      <w:szCs w:val="18"/>
                    </w:rPr>
                  </w:pPr>
                  <w:r>
                    <w:rPr>
                      <w:rFonts w:hint="eastAsia"/>
                      <w:color w:val="auto"/>
                      <w:sz w:val="18"/>
                      <w:szCs w:val="18"/>
                      <w:lang w:val="en-US" w:eastAsia="zh-CN"/>
                    </w:rPr>
                    <w:t>26600</w:t>
                  </w:r>
                </w:p>
              </w:tc>
              <w:tc>
                <w:tcPr>
                  <w:tcW w:w="220" w:type="pct"/>
                  <w:tcBorders>
                    <w:tl2br w:val="nil"/>
                    <w:tr2bl w:val="nil"/>
                  </w:tcBorders>
                  <w:shd w:val="clear" w:color="auto" w:fill="auto"/>
                  <w:tcMar>
                    <w:top w:w="0" w:type="dxa"/>
                    <w:left w:w="0" w:type="dxa"/>
                    <w:bottom w:w="0" w:type="dxa"/>
                    <w:right w:w="0" w:type="dxa"/>
                  </w:tcMar>
                  <w:vAlign w:val="center"/>
                </w:tcPr>
                <w:p w14:paraId="3FF5390D">
                  <w:pPr>
                    <w:pStyle w:val="15"/>
                    <w:bidi w:val="0"/>
                    <w:rPr>
                      <w:rFonts w:hint="eastAsia"/>
                      <w:color w:val="auto"/>
                      <w:sz w:val="18"/>
                      <w:szCs w:val="18"/>
                    </w:rPr>
                  </w:pPr>
                  <w:r>
                    <w:rPr>
                      <w:rFonts w:hint="eastAsia"/>
                      <w:color w:val="auto"/>
                      <w:sz w:val="18"/>
                      <w:szCs w:val="18"/>
                      <w:lang w:val="en-US" w:eastAsia="zh-CN"/>
                    </w:rPr>
                    <w:t>26.60</w:t>
                  </w:r>
                </w:p>
              </w:tc>
              <w:tc>
                <w:tcPr>
                  <w:tcW w:w="278" w:type="pct"/>
                  <w:tcBorders>
                    <w:tl2br w:val="nil"/>
                    <w:tr2bl w:val="nil"/>
                  </w:tcBorders>
                  <w:shd w:val="clear" w:color="auto" w:fill="auto"/>
                  <w:tcMar>
                    <w:top w:w="0" w:type="dxa"/>
                    <w:left w:w="0" w:type="dxa"/>
                    <w:bottom w:w="0" w:type="dxa"/>
                    <w:right w:w="0" w:type="dxa"/>
                  </w:tcMar>
                  <w:vAlign w:val="center"/>
                </w:tcPr>
                <w:p w14:paraId="39F19529">
                  <w:pPr>
                    <w:pStyle w:val="15"/>
                    <w:bidi w:val="0"/>
                    <w:rPr>
                      <w:rFonts w:hint="eastAsia"/>
                      <w:color w:val="auto"/>
                      <w:sz w:val="18"/>
                      <w:szCs w:val="18"/>
                    </w:rPr>
                  </w:pPr>
                  <w:r>
                    <w:rPr>
                      <w:rFonts w:hint="eastAsia"/>
                      <w:color w:val="auto"/>
                      <w:sz w:val="18"/>
                      <w:szCs w:val="18"/>
                      <w:lang w:val="en-US" w:eastAsia="zh-CN"/>
                    </w:rPr>
                    <w:t>2560%</w:t>
                  </w:r>
                </w:p>
              </w:tc>
              <w:tc>
                <w:tcPr>
                  <w:tcW w:w="279" w:type="pct"/>
                  <w:tcBorders>
                    <w:tl2br w:val="nil"/>
                    <w:tr2bl w:val="nil"/>
                  </w:tcBorders>
                  <w:shd w:val="clear" w:color="auto" w:fill="auto"/>
                  <w:tcMar>
                    <w:top w:w="0" w:type="dxa"/>
                    <w:left w:w="0" w:type="dxa"/>
                    <w:bottom w:w="0" w:type="dxa"/>
                    <w:right w:w="0" w:type="dxa"/>
                  </w:tcMar>
                  <w:vAlign w:val="center"/>
                </w:tcPr>
                <w:p w14:paraId="23039D5B">
                  <w:pPr>
                    <w:pStyle w:val="15"/>
                    <w:bidi w:val="0"/>
                    <w:rPr>
                      <w:rFonts w:hint="eastAsia"/>
                      <w:color w:val="auto"/>
                      <w:sz w:val="18"/>
                      <w:szCs w:val="18"/>
                    </w:rPr>
                  </w:pPr>
                  <w:r>
                    <w:rPr>
                      <w:rFonts w:hint="eastAsia"/>
                      <w:color w:val="auto"/>
                      <w:sz w:val="18"/>
                      <w:szCs w:val="18"/>
                      <w:lang w:val="en-US" w:eastAsia="zh-CN"/>
                    </w:rPr>
                    <w:t>不达标</w:t>
                  </w:r>
                </w:p>
              </w:tc>
              <w:tc>
                <w:tcPr>
                  <w:tcW w:w="305" w:type="pct"/>
                  <w:tcBorders>
                    <w:tl2br w:val="nil"/>
                    <w:tr2bl w:val="nil"/>
                  </w:tcBorders>
                  <w:shd w:val="clear" w:color="auto" w:fill="auto"/>
                  <w:tcMar>
                    <w:top w:w="0" w:type="dxa"/>
                    <w:left w:w="0" w:type="dxa"/>
                    <w:bottom w:w="0" w:type="dxa"/>
                    <w:right w:w="0" w:type="dxa"/>
                  </w:tcMar>
                  <w:vAlign w:val="center"/>
                </w:tcPr>
                <w:p w14:paraId="4E25AFC6">
                  <w:pPr>
                    <w:pStyle w:val="15"/>
                    <w:bidi w:val="0"/>
                    <w:rPr>
                      <w:rFonts w:hint="eastAsia"/>
                      <w:color w:val="auto"/>
                      <w:sz w:val="18"/>
                      <w:szCs w:val="18"/>
                    </w:rPr>
                  </w:pPr>
                  <w:r>
                    <w:rPr>
                      <w:rFonts w:hint="eastAsia"/>
                      <w:color w:val="auto"/>
                      <w:sz w:val="18"/>
                      <w:szCs w:val="18"/>
                      <w:lang w:val="en-US" w:eastAsia="zh-CN"/>
                    </w:rPr>
                    <w:t>-</w:t>
                  </w:r>
                </w:p>
              </w:tc>
            </w:tr>
            <w:tr w14:paraId="68C0AB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077F275E">
                  <w:pPr>
                    <w:pStyle w:val="15"/>
                    <w:bidi w:val="0"/>
                    <w:rPr>
                      <w:rFonts w:hint="eastAsia"/>
                      <w:color w:val="auto"/>
                      <w:sz w:val="18"/>
                      <w:szCs w:val="18"/>
                    </w:rPr>
                  </w:pPr>
                  <w:r>
                    <w:rPr>
                      <w:rFonts w:hint="eastAsia"/>
                      <w:color w:val="auto"/>
                      <w:sz w:val="18"/>
                      <w:szCs w:val="18"/>
                      <w:lang w:val="en-US" w:eastAsia="zh-CN"/>
                    </w:rPr>
                    <w:t>6</w:t>
                  </w:r>
                </w:p>
              </w:tc>
              <w:tc>
                <w:tcPr>
                  <w:tcW w:w="631" w:type="pct"/>
                  <w:tcBorders>
                    <w:tl2br w:val="nil"/>
                    <w:tr2bl w:val="nil"/>
                  </w:tcBorders>
                  <w:shd w:val="clear" w:color="auto" w:fill="auto"/>
                  <w:tcMar>
                    <w:top w:w="0" w:type="dxa"/>
                    <w:left w:w="0" w:type="dxa"/>
                    <w:bottom w:w="0" w:type="dxa"/>
                    <w:right w:w="0" w:type="dxa"/>
                  </w:tcMar>
                  <w:vAlign w:val="center"/>
                </w:tcPr>
                <w:p w14:paraId="252EC763">
                  <w:pPr>
                    <w:pStyle w:val="15"/>
                    <w:bidi w:val="0"/>
                    <w:rPr>
                      <w:rFonts w:hint="eastAsia"/>
                      <w:color w:val="auto"/>
                      <w:sz w:val="18"/>
                      <w:szCs w:val="18"/>
                    </w:rPr>
                  </w:pPr>
                  <w:r>
                    <w:rPr>
                      <w:rFonts w:hint="eastAsia"/>
                      <w:color w:val="auto"/>
                      <w:sz w:val="18"/>
                      <w:szCs w:val="18"/>
                      <w:lang w:val="en-US" w:eastAsia="zh-CN"/>
                    </w:rPr>
                    <w:t>耗氧量</w:t>
                  </w:r>
                </w:p>
              </w:tc>
              <w:tc>
                <w:tcPr>
                  <w:tcW w:w="465" w:type="pct"/>
                  <w:tcBorders>
                    <w:tl2br w:val="nil"/>
                    <w:tr2bl w:val="nil"/>
                  </w:tcBorders>
                  <w:shd w:val="clear" w:color="auto" w:fill="auto"/>
                  <w:tcMar>
                    <w:top w:w="0" w:type="dxa"/>
                    <w:left w:w="0" w:type="dxa"/>
                    <w:bottom w:w="0" w:type="dxa"/>
                    <w:right w:w="0" w:type="dxa"/>
                  </w:tcMar>
                  <w:vAlign w:val="center"/>
                </w:tcPr>
                <w:p w14:paraId="5874BB49">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55E711C7">
                  <w:pPr>
                    <w:pStyle w:val="15"/>
                    <w:bidi w:val="0"/>
                    <w:rPr>
                      <w:rFonts w:hint="eastAsia"/>
                      <w:color w:val="auto"/>
                      <w:sz w:val="18"/>
                      <w:szCs w:val="18"/>
                    </w:rPr>
                  </w:pPr>
                  <w:r>
                    <w:rPr>
                      <w:rFonts w:hint="eastAsia"/>
                      <w:color w:val="auto"/>
                      <w:sz w:val="18"/>
                      <w:szCs w:val="18"/>
                      <w:lang w:val="en-US" w:eastAsia="zh-CN"/>
                    </w:rPr>
                    <w:t>3</w:t>
                  </w:r>
                </w:p>
              </w:tc>
              <w:tc>
                <w:tcPr>
                  <w:tcW w:w="279" w:type="pct"/>
                  <w:tcBorders>
                    <w:tl2br w:val="nil"/>
                    <w:tr2bl w:val="nil"/>
                  </w:tcBorders>
                  <w:shd w:val="clear" w:color="auto" w:fill="auto"/>
                  <w:tcMar>
                    <w:top w:w="0" w:type="dxa"/>
                    <w:left w:w="0" w:type="dxa"/>
                    <w:bottom w:w="0" w:type="dxa"/>
                    <w:right w:w="0" w:type="dxa"/>
                  </w:tcMar>
                  <w:vAlign w:val="center"/>
                </w:tcPr>
                <w:p w14:paraId="2DD05B99">
                  <w:pPr>
                    <w:pStyle w:val="15"/>
                    <w:bidi w:val="0"/>
                    <w:rPr>
                      <w:rFonts w:hint="eastAsia"/>
                      <w:color w:val="auto"/>
                      <w:sz w:val="18"/>
                      <w:szCs w:val="18"/>
                    </w:rPr>
                  </w:pPr>
                  <w:r>
                    <w:rPr>
                      <w:rFonts w:hint="eastAsia"/>
                      <w:color w:val="auto"/>
                      <w:sz w:val="18"/>
                      <w:szCs w:val="18"/>
                      <w:lang w:val="en-US" w:eastAsia="zh-CN"/>
                    </w:rPr>
                    <w:t>2.9</w:t>
                  </w:r>
                </w:p>
              </w:tc>
              <w:tc>
                <w:tcPr>
                  <w:tcW w:w="220" w:type="pct"/>
                  <w:tcBorders>
                    <w:tl2br w:val="nil"/>
                    <w:tr2bl w:val="nil"/>
                  </w:tcBorders>
                  <w:shd w:val="clear" w:color="auto" w:fill="auto"/>
                  <w:tcMar>
                    <w:top w:w="0" w:type="dxa"/>
                    <w:left w:w="0" w:type="dxa"/>
                    <w:bottom w:w="0" w:type="dxa"/>
                    <w:right w:w="0" w:type="dxa"/>
                  </w:tcMar>
                  <w:vAlign w:val="center"/>
                </w:tcPr>
                <w:p w14:paraId="1917FAED">
                  <w:pPr>
                    <w:pStyle w:val="15"/>
                    <w:bidi w:val="0"/>
                    <w:rPr>
                      <w:rFonts w:hint="eastAsia"/>
                      <w:color w:val="auto"/>
                      <w:sz w:val="18"/>
                      <w:szCs w:val="18"/>
                    </w:rPr>
                  </w:pPr>
                  <w:r>
                    <w:rPr>
                      <w:rFonts w:hint="eastAsia"/>
                      <w:color w:val="auto"/>
                      <w:sz w:val="18"/>
                      <w:szCs w:val="18"/>
                      <w:lang w:val="en-US" w:eastAsia="zh-CN"/>
                    </w:rPr>
                    <w:t>0.97</w:t>
                  </w:r>
                </w:p>
              </w:tc>
              <w:tc>
                <w:tcPr>
                  <w:tcW w:w="278" w:type="pct"/>
                  <w:tcBorders>
                    <w:tl2br w:val="nil"/>
                    <w:tr2bl w:val="nil"/>
                  </w:tcBorders>
                  <w:shd w:val="clear" w:color="auto" w:fill="auto"/>
                  <w:tcMar>
                    <w:top w:w="0" w:type="dxa"/>
                    <w:left w:w="0" w:type="dxa"/>
                    <w:bottom w:w="0" w:type="dxa"/>
                    <w:right w:w="0" w:type="dxa"/>
                  </w:tcMar>
                  <w:vAlign w:val="center"/>
                </w:tcPr>
                <w:p w14:paraId="718A0E75">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6959F60">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196D15D">
                  <w:pPr>
                    <w:pStyle w:val="15"/>
                    <w:bidi w:val="0"/>
                    <w:rPr>
                      <w:rFonts w:hint="eastAsia"/>
                      <w:color w:val="auto"/>
                      <w:sz w:val="18"/>
                      <w:szCs w:val="18"/>
                    </w:rPr>
                  </w:pPr>
                  <w:r>
                    <w:rPr>
                      <w:rFonts w:hint="eastAsia"/>
                      <w:color w:val="auto"/>
                      <w:sz w:val="18"/>
                      <w:szCs w:val="18"/>
                      <w:lang w:val="en-US" w:eastAsia="zh-CN"/>
                    </w:rPr>
                    <w:t>1.4</w:t>
                  </w:r>
                </w:p>
              </w:tc>
              <w:tc>
                <w:tcPr>
                  <w:tcW w:w="200" w:type="pct"/>
                  <w:tcBorders>
                    <w:tl2br w:val="nil"/>
                    <w:tr2bl w:val="nil"/>
                  </w:tcBorders>
                  <w:shd w:val="clear" w:color="auto" w:fill="auto"/>
                  <w:tcMar>
                    <w:top w:w="0" w:type="dxa"/>
                    <w:left w:w="0" w:type="dxa"/>
                    <w:bottom w:w="0" w:type="dxa"/>
                    <w:right w:w="0" w:type="dxa"/>
                  </w:tcMar>
                  <w:vAlign w:val="center"/>
                </w:tcPr>
                <w:p w14:paraId="1287F8A7">
                  <w:pPr>
                    <w:pStyle w:val="15"/>
                    <w:bidi w:val="0"/>
                    <w:rPr>
                      <w:rFonts w:hint="eastAsia"/>
                      <w:color w:val="auto"/>
                      <w:sz w:val="18"/>
                      <w:szCs w:val="18"/>
                    </w:rPr>
                  </w:pPr>
                  <w:r>
                    <w:rPr>
                      <w:rFonts w:hint="eastAsia"/>
                      <w:color w:val="auto"/>
                      <w:sz w:val="18"/>
                      <w:szCs w:val="18"/>
                      <w:lang w:val="en-US" w:eastAsia="zh-CN"/>
                    </w:rPr>
                    <w:t>0.47</w:t>
                  </w:r>
                </w:p>
              </w:tc>
              <w:tc>
                <w:tcPr>
                  <w:tcW w:w="238" w:type="pct"/>
                  <w:tcBorders>
                    <w:tl2br w:val="nil"/>
                    <w:tr2bl w:val="nil"/>
                  </w:tcBorders>
                  <w:shd w:val="clear" w:color="auto" w:fill="auto"/>
                  <w:tcMar>
                    <w:top w:w="0" w:type="dxa"/>
                    <w:left w:w="0" w:type="dxa"/>
                    <w:bottom w:w="0" w:type="dxa"/>
                    <w:right w:w="0" w:type="dxa"/>
                  </w:tcMar>
                  <w:vAlign w:val="center"/>
                </w:tcPr>
                <w:p w14:paraId="2356B64D">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7A94B41">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51ECAB66">
                  <w:pPr>
                    <w:pStyle w:val="15"/>
                    <w:bidi w:val="0"/>
                    <w:rPr>
                      <w:rFonts w:hint="eastAsia"/>
                      <w:color w:val="auto"/>
                      <w:sz w:val="18"/>
                      <w:szCs w:val="18"/>
                    </w:rPr>
                  </w:pPr>
                  <w:r>
                    <w:rPr>
                      <w:rFonts w:hint="eastAsia"/>
                      <w:color w:val="auto"/>
                      <w:sz w:val="18"/>
                      <w:szCs w:val="18"/>
                      <w:lang w:val="en-US" w:eastAsia="zh-CN"/>
                    </w:rPr>
                    <w:t>2.8</w:t>
                  </w:r>
                </w:p>
              </w:tc>
              <w:tc>
                <w:tcPr>
                  <w:tcW w:w="220" w:type="pct"/>
                  <w:tcBorders>
                    <w:tl2br w:val="nil"/>
                    <w:tr2bl w:val="nil"/>
                  </w:tcBorders>
                  <w:shd w:val="clear" w:color="auto" w:fill="auto"/>
                  <w:tcMar>
                    <w:top w:w="0" w:type="dxa"/>
                    <w:left w:w="0" w:type="dxa"/>
                    <w:bottom w:w="0" w:type="dxa"/>
                    <w:right w:w="0" w:type="dxa"/>
                  </w:tcMar>
                  <w:vAlign w:val="center"/>
                </w:tcPr>
                <w:p w14:paraId="372D9A54">
                  <w:pPr>
                    <w:pStyle w:val="15"/>
                    <w:bidi w:val="0"/>
                    <w:rPr>
                      <w:rFonts w:hint="eastAsia"/>
                      <w:color w:val="auto"/>
                      <w:sz w:val="18"/>
                      <w:szCs w:val="18"/>
                    </w:rPr>
                  </w:pPr>
                  <w:r>
                    <w:rPr>
                      <w:rFonts w:hint="eastAsia"/>
                      <w:color w:val="auto"/>
                      <w:sz w:val="18"/>
                      <w:szCs w:val="18"/>
                      <w:lang w:val="en-US" w:eastAsia="zh-CN"/>
                    </w:rPr>
                    <w:t>0.93</w:t>
                  </w:r>
                </w:p>
              </w:tc>
              <w:tc>
                <w:tcPr>
                  <w:tcW w:w="278" w:type="pct"/>
                  <w:tcBorders>
                    <w:tl2br w:val="nil"/>
                    <w:tr2bl w:val="nil"/>
                  </w:tcBorders>
                  <w:shd w:val="clear" w:color="auto" w:fill="auto"/>
                  <w:tcMar>
                    <w:top w:w="0" w:type="dxa"/>
                    <w:left w:w="0" w:type="dxa"/>
                    <w:bottom w:w="0" w:type="dxa"/>
                    <w:right w:w="0" w:type="dxa"/>
                  </w:tcMar>
                  <w:vAlign w:val="center"/>
                </w:tcPr>
                <w:p w14:paraId="6EEB7A7E">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892FBEB">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56DAF1FA">
                  <w:pPr>
                    <w:pStyle w:val="15"/>
                    <w:bidi w:val="0"/>
                    <w:rPr>
                      <w:rFonts w:hint="eastAsia"/>
                      <w:color w:val="auto"/>
                      <w:sz w:val="18"/>
                      <w:szCs w:val="18"/>
                    </w:rPr>
                  </w:pPr>
                  <w:r>
                    <w:rPr>
                      <w:rFonts w:hint="eastAsia"/>
                      <w:color w:val="auto"/>
                      <w:sz w:val="18"/>
                      <w:szCs w:val="18"/>
                      <w:lang w:val="en-US" w:eastAsia="zh-CN"/>
                    </w:rPr>
                    <w:t>0.5</w:t>
                  </w:r>
                </w:p>
              </w:tc>
            </w:tr>
            <w:tr w14:paraId="41DC72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20A7BD86">
                  <w:pPr>
                    <w:pStyle w:val="15"/>
                    <w:bidi w:val="0"/>
                    <w:rPr>
                      <w:rFonts w:hint="eastAsia"/>
                      <w:color w:val="auto"/>
                      <w:sz w:val="18"/>
                      <w:szCs w:val="18"/>
                    </w:rPr>
                  </w:pPr>
                  <w:r>
                    <w:rPr>
                      <w:rFonts w:hint="eastAsia"/>
                      <w:color w:val="auto"/>
                      <w:sz w:val="18"/>
                      <w:szCs w:val="18"/>
                      <w:lang w:val="en-US" w:eastAsia="zh-CN"/>
                    </w:rPr>
                    <w:t>7</w:t>
                  </w:r>
                </w:p>
              </w:tc>
              <w:tc>
                <w:tcPr>
                  <w:tcW w:w="631" w:type="pct"/>
                  <w:tcBorders>
                    <w:tl2br w:val="nil"/>
                    <w:tr2bl w:val="nil"/>
                  </w:tcBorders>
                  <w:shd w:val="clear" w:color="auto" w:fill="auto"/>
                  <w:tcMar>
                    <w:top w:w="0" w:type="dxa"/>
                    <w:left w:w="0" w:type="dxa"/>
                    <w:bottom w:w="0" w:type="dxa"/>
                    <w:right w:w="0" w:type="dxa"/>
                  </w:tcMar>
                  <w:vAlign w:val="center"/>
                </w:tcPr>
                <w:p w14:paraId="002A82C9">
                  <w:pPr>
                    <w:pStyle w:val="15"/>
                    <w:bidi w:val="0"/>
                    <w:rPr>
                      <w:rFonts w:hint="eastAsia"/>
                      <w:color w:val="auto"/>
                      <w:sz w:val="18"/>
                      <w:szCs w:val="18"/>
                    </w:rPr>
                  </w:pPr>
                  <w:r>
                    <w:rPr>
                      <w:rFonts w:hint="eastAsia"/>
                      <w:color w:val="auto"/>
                      <w:sz w:val="18"/>
                      <w:szCs w:val="18"/>
                      <w:lang w:val="en-US" w:eastAsia="zh-CN"/>
                    </w:rPr>
                    <w:t>氯化物</w:t>
                  </w:r>
                </w:p>
              </w:tc>
              <w:tc>
                <w:tcPr>
                  <w:tcW w:w="465" w:type="pct"/>
                  <w:tcBorders>
                    <w:tl2br w:val="nil"/>
                    <w:tr2bl w:val="nil"/>
                  </w:tcBorders>
                  <w:shd w:val="clear" w:color="auto" w:fill="auto"/>
                  <w:tcMar>
                    <w:top w:w="0" w:type="dxa"/>
                    <w:left w:w="0" w:type="dxa"/>
                    <w:bottom w:w="0" w:type="dxa"/>
                    <w:right w:w="0" w:type="dxa"/>
                  </w:tcMar>
                  <w:vAlign w:val="center"/>
                </w:tcPr>
                <w:p w14:paraId="7E20B734">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7ED85AF4">
                  <w:pPr>
                    <w:pStyle w:val="15"/>
                    <w:bidi w:val="0"/>
                    <w:rPr>
                      <w:rFonts w:hint="eastAsia"/>
                      <w:color w:val="auto"/>
                      <w:sz w:val="18"/>
                      <w:szCs w:val="18"/>
                    </w:rPr>
                  </w:pPr>
                  <w:r>
                    <w:rPr>
                      <w:rFonts w:hint="eastAsia"/>
                      <w:color w:val="auto"/>
                      <w:sz w:val="18"/>
                      <w:szCs w:val="18"/>
                      <w:lang w:val="en-US" w:eastAsia="zh-CN"/>
                    </w:rPr>
                    <w:t>250</w:t>
                  </w:r>
                </w:p>
              </w:tc>
              <w:tc>
                <w:tcPr>
                  <w:tcW w:w="279" w:type="pct"/>
                  <w:tcBorders>
                    <w:tl2br w:val="nil"/>
                    <w:tr2bl w:val="nil"/>
                  </w:tcBorders>
                  <w:shd w:val="clear" w:color="auto" w:fill="auto"/>
                  <w:tcMar>
                    <w:top w:w="0" w:type="dxa"/>
                    <w:left w:w="0" w:type="dxa"/>
                    <w:bottom w:w="0" w:type="dxa"/>
                    <w:right w:w="0" w:type="dxa"/>
                  </w:tcMar>
                  <w:vAlign w:val="center"/>
                </w:tcPr>
                <w:p w14:paraId="2816F217">
                  <w:pPr>
                    <w:pStyle w:val="15"/>
                    <w:bidi w:val="0"/>
                    <w:rPr>
                      <w:rFonts w:hint="eastAsia"/>
                      <w:color w:val="auto"/>
                      <w:sz w:val="18"/>
                      <w:szCs w:val="18"/>
                    </w:rPr>
                  </w:pPr>
                  <w:r>
                    <w:rPr>
                      <w:rFonts w:hint="eastAsia"/>
                      <w:color w:val="auto"/>
                      <w:sz w:val="18"/>
                      <w:szCs w:val="18"/>
                      <w:lang w:val="en-US" w:eastAsia="zh-CN"/>
                    </w:rPr>
                    <w:t>4980</w:t>
                  </w:r>
                </w:p>
              </w:tc>
              <w:tc>
                <w:tcPr>
                  <w:tcW w:w="220" w:type="pct"/>
                  <w:tcBorders>
                    <w:tl2br w:val="nil"/>
                    <w:tr2bl w:val="nil"/>
                  </w:tcBorders>
                  <w:shd w:val="clear" w:color="auto" w:fill="auto"/>
                  <w:tcMar>
                    <w:top w:w="0" w:type="dxa"/>
                    <w:left w:w="0" w:type="dxa"/>
                    <w:bottom w:w="0" w:type="dxa"/>
                    <w:right w:w="0" w:type="dxa"/>
                  </w:tcMar>
                  <w:vAlign w:val="center"/>
                </w:tcPr>
                <w:p w14:paraId="5BA236C1">
                  <w:pPr>
                    <w:pStyle w:val="15"/>
                    <w:bidi w:val="0"/>
                    <w:rPr>
                      <w:rFonts w:hint="eastAsia"/>
                      <w:color w:val="auto"/>
                      <w:sz w:val="18"/>
                      <w:szCs w:val="18"/>
                    </w:rPr>
                  </w:pPr>
                  <w:r>
                    <w:rPr>
                      <w:rFonts w:hint="eastAsia"/>
                      <w:color w:val="auto"/>
                      <w:sz w:val="18"/>
                      <w:szCs w:val="18"/>
                      <w:lang w:val="en-US" w:eastAsia="zh-CN"/>
                    </w:rPr>
                    <w:t>19.92</w:t>
                  </w:r>
                </w:p>
              </w:tc>
              <w:tc>
                <w:tcPr>
                  <w:tcW w:w="278" w:type="pct"/>
                  <w:tcBorders>
                    <w:tl2br w:val="nil"/>
                    <w:tr2bl w:val="nil"/>
                  </w:tcBorders>
                  <w:shd w:val="clear" w:color="auto" w:fill="auto"/>
                  <w:tcMar>
                    <w:top w:w="0" w:type="dxa"/>
                    <w:left w:w="0" w:type="dxa"/>
                    <w:bottom w:w="0" w:type="dxa"/>
                    <w:right w:w="0" w:type="dxa"/>
                  </w:tcMar>
                  <w:vAlign w:val="center"/>
                </w:tcPr>
                <w:p w14:paraId="5C15044A">
                  <w:pPr>
                    <w:pStyle w:val="15"/>
                    <w:bidi w:val="0"/>
                    <w:rPr>
                      <w:rFonts w:hint="eastAsia"/>
                      <w:color w:val="auto"/>
                      <w:sz w:val="18"/>
                      <w:szCs w:val="18"/>
                    </w:rPr>
                  </w:pPr>
                  <w:r>
                    <w:rPr>
                      <w:rFonts w:hint="eastAsia"/>
                      <w:color w:val="auto"/>
                      <w:sz w:val="18"/>
                      <w:szCs w:val="18"/>
                      <w:lang w:val="en-US" w:eastAsia="zh-CN"/>
                    </w:rPr>
                    <w:t>1892%</w:t>
                  </w:r>
                </w:p>
              </w:tc>
              <w:tc>
                <w:tcPr>
                  <w:tcW w:w="279" w:type="pct"/>
                  <w:tcBorders>
                    <w:tl2br w:val="nil"/>
                    <w:tr2bl w:val="nil"/>
                  </w:tcBorders>
                  <w:shd w:val="clear" w:color="auto" w:fill="auto"/>
                  <w:tcMar>
                    <w:top w:w="0" w:type="dxa"/>
                    <w:left w:w="0" w:type="dxa"/>
                    <w:bottom w:w="0" w:type="dxa"/>
                    <w:right w:w="0" w:type="dxa"/>
                  </w:tcMar>
                  <w:vAlign w:val="center"/>
                </w:tcPr>
                <w:p w14:paraId="40C7FF99">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465779D3">
                  <w:pPr>
                    <w:pStyle w:val="15"/>
                    <w:bidi w:val="0"/>
                    <w:rPr>
                      <w:rFonts w:hint="eastAsia"/>
                      <w:color w:val="auto"/>
                      <w:sz w:val="18"/>
                      <w:szCs w:val="18"/>
                    </w:rPr>
                  </w:pPr>
                  <w:r>
                    <w:rPr>
                      <w:rFonts w:hint="eastAsia"/>
                      <w:color w:val="auto"/>
                      <w:sz w:val="18"/>
                      <w:szCs w:val="18"/>
                      <w:lang w:val="en-US" w:eastAsia="zh-CN"/>
                    </w:rPr>
                    <w:t>650</w:t>
                  </w:r>
                </w:p>
              </w:tc>
              <w:tc>
                <w:tcPr>
                  <w:tcW w:w="200" w:type="pct"/>
                  <w:tcBorders>
                    <w:tl2br w:val="nil"/>
                    <w:tr2bl w:val="nil"/>
                  </w:tcBorders>
                  <w:shd w:val="clear" w:color="auto" w:fill="auto"/>
                  <w:tcMar>
                    <w:top w:w="0" w:type="dxa"/>
                    <w:left w:w="0" w:type="dxa"/>
                    <w:bottom w:w="0" w:type="dxa"/>
                    <w:right w:w="0" w:type="dxa"/>
                  </w:tcMar>
                  <w:vAlign w:val="center"/>
                </w:tcPr>
                <w:p w14:paraId="1B5A9297">
                  <w:pPr>
                    <w:pStyle w:val="15"/>
                    <w:bidi w:val="0"/>
                    <w:rPr>
                      <w:rFonts w:hint="eastAsia"/>
                      <w:color w:val="auto"/>
                      <w:sz w:val="18"/>
                      <w:szCs w:val="18"/>
                    </w:rPr>
                  </w:pPr>
                  <w:r>
                    <w:rPr>
                      <w:rFonts w:hint="eastAsia"/>
                      <w:color w:val="auto"/>
                      <w:sz w:val="18"/>
                      <w:szCs w:val="18"/>
                      <w:lang w:val="en-US" w:eastAsia="zh-CN"/>
                    </w:rPr>
                    <w:t>2.60</w:t>
                  </w:r>
                </w:p>
              </w:tc>
              <w:tc>
                <w:tcPr>
                  <w:tcW w:w="238" w:type="pct"/>
                  <w:tcBorders>
                    <w:tl2br w:val="nil"/>
                    <w:tr2bl w:val="nil"/>
                  </w:tcBorders>
                  <w:shd w:val="clear" w:color="auto" w:fill="auto"/>
                  <w:tcMar>
                    <w:top w:w="0" w:type="dxa"/>
                    <w:left w:w="0" w:type="dxa"/>
                    <w:bottom w:w="0" w:type="dxa"/>
                    <w:right w:w="0" w:type="dxa"/>
                  </w:tcMar>
                  <w:vAlign w:val="center"/>
                </w:tcPr>
                <w:p w14:paraId="3802DB08">
                  <w:pPr>
                    <w:pStyle w:val="15"/>
                    <w:bidi w:val="0"/>
                    <w:rPr>
                      <w:rFonts w:hint="eastAsia"/>
                      <w:color w:val="auto"/>
                      <w:sz w:val="18"/>
                      <w:szCs w:val="18"/>
                    </w:rPr>
                  </w:pPr>
                  <w:r>
                    <w:rPr>
                      <w:rFonts w:hint="eastAsia"/>
                      <w:color w:val="auto"/>
                      <w:sz w:val="18"/>
                      <w:szCs w:val="18"/>
                      <w:lang w:val="en-US" w:eastAsia="zh-CN"/>
                    </w:rPr>
                    <w:t>160%</w:t>
                  </w:r>
                </w:p>
              </w:tc>
              <w:tc>
                <w:tcPr>
                  <w:tcW w:w="279" w:type="pct"/>
                  <w:tcBorders>
                    <w:tl2br w:val="nil"/>
                    <w:tr2bl w:val="nil"/>
                  </w:tcBorders>
                  <w:shd w:val="clear" w:color="auto" w:fill="auto"/>
                  <w:tcMar>
                    <w:top w:w="0" w:type="dxa"/>
                    <w:left w:w="0" w:type="dxa"/>
                    <w:bottom w:w="0" w:type="dxa"/>
                    <w:right w:w="0" w:type="dxa"/>
                  </w:tcMar>
                  <w:vAlign w:val="center"/>
                </w:tcPr>
                <w:p w14:paraId="75D02A22">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34DC9737">
                  <w:pPr>
                    <w:pStyle w:val="15"/>
                    <w:bidi w:val="0"/>
                    <w:rPr>
                      <w:rFonts w:hint="eastAsia"/>
                      <w:color w:val="auto"/>
                      <w:sz w:val="18"/>
                      <w:szCs w:val="18"/>
                    </w:rPr>
                  </w:pPr>
                  <w:r>
                    <w:rPr>
                      <w:rFonts w:hint="eastAsia"/>
                      <w:color w:val="auto"/>
                      <w:sz w:val="18"/>
                      <w:szCs w:val="18"/>
                      <w:lang w:val="en-US" w:eastAsia="zh-CN"/>
                    </w:rPr>
                    <w:t>6890</w:t>
                  </w:r>
                </w:p>
              </w:tc>
              <w:tc>
                <w:tcPr>
                  <w:tcW w:w="220" w:type="pct"/>
                  <w:tcBorders>
                    <w:tl2br w:val="nil"/>
                    <w:tr2bl w:val="nil"/>
                  </w:tcBorders>
                  <w:shd w:val="clear" w:color="auto" w:fill="auto"/>
                  <w:tcMar>
                    <w:top w:w="0" w:type="dxa"/>
                    <w:left w:w="0" w:type="dxa"/>
                    <w:bottom w:w="0" w:type="dxa"/>
                    <w:right w:w="0" w:type="dxa"/>
                  </w:tcMar>
                  <w:vAlign w:val="center"/>
                </w:tcPr>
                <w:p w14:paraId="083E0917">
                  <w:pPr>
                    <w:pStyle w:val="15"/>
                    <w:bidi w:val="0"/>
                    <w:rPr>
                      <w:rFonts w:hint="eastAsia"/>
                      <w:color w:val="auto"/>
                      <w:sz w:val="18"/>
                      <w:szCs w:val="18"/>
                    </w:rPr>
                  </w:pPr>
                  <w:r>
                    <w:rPr>
                      <w:rFonts w:hint="eastAsia"/>
                      <w:color w:val="auto"/>
                      <w:sz w:val="18"/>
                      <w:szCs w:val="18"/>
                      <w:lang w:val="en-US" w:eastAsia="zh-CN"/>
                    </w:rPr>
                    <w:t>27.56</w:t>
                  </w:r>
                </w:p>
              </w:tc>
              <w:tc>
                <w:tcPr>
                  <w:tcW w:w="278" w:type="pct"/>
                  <w:tcBorders>
                    <w:tl2br w:val="nil"/>
                    <w:tr2bl w:val="nil"/>
                  </w:tcBorders>
                  <w:shd w:val="clear" w:color="auto" w:fill="auto"/>
                  <w:tcMar>
                    <w:top w:w="0" w:type="dxa"/>
                    <w:left w:w="0" w:type="dxa"/>
                    <w:bottom w:w="0" w:type="dxa"/>
                    <w:right w:w="0" w:type="dxa"/>
                  </w:tcMar>
                  <w:vAlign w:val="center"/>
                </w:tcPr>
                <w:p w14:paraId="5D43BA97">
                  <w:pPr>
                    <w:pStyle w:val="15"/>
                    <w:bidi w:val="0"/>
                    <w:rPr>
                      <w:rFonts w:hint="eastAsia"/>
                      <w:color w:val="auto"/>
                      <w:sz w:val="18"/>
                      <w:szCs w:val="18"/>
                    </w:rPr>
                  </w:pPr>
                  <w:r>
                    <w:rPr>
                      <w:rFonts w:hint="eastAsia"/>
                      <w:color w:val="auto"/>
                      <w:sz w:val="18"/>
                      <w:szCs w:val="18"/>
                      <w:lang w:val="en-US" w:eastAsia="zh-CN"/>
                    </w:rPr>
                    <w:t>2656%</w:t>
                  </w:r>
                </w:p>
              </w:tc>
              <w:tc>
                <w:tcPr>
                  <w:tcW w:w="279" w:type="pct"/>
                  <w:tcBorders>
                    <w:tl2br w:val="nil"/>
                    <w:tr2bl w:val="nil"/>
                  </w:tcBorders>
                  <w:shd w:val="clear" w:color="auto" w:fill="auto"/>
                  <w:tcMar>
                    <w:top w:w="0" w:type="dxa"/>
                    <w:left w:w="0" w:type="dxa"/>
                    <w:bottom w:w="0" w:type="dxa"/>
                    <w:right w:w="0" w:type="dxa"/>
                  </w:tcMar>
                  <w:vAlign w:val="center"/>
                </w:tcPr>
                <w:p w14:paraId="684B982D">
                  <w:pPr>
                    <w:pStyle w:val="15"/>
                    <w:bidi w:val="0"/>
                    <w:rPr>
                      <w:rFonts w:hint="eastAsia"/>
                      <w:color w:val="auto"/>
                      <w:sz w:val="18"/>
                      <w:szCs w:val="18"/>
                    </w:rPr>
                  </w:pPr>
                  <w:r>
                    <w:rPr>
                      <w:rFonts w:hint="eastAsia"/>
                      <w:color w:val="auto"/>
                      <w:sz w:val="18"/>
                      <w:szCs w:val="18"/>
                      <w:lang w:val="en-US" w:eastAsia="zh-CN"/>
                    </w:rPr>
                    <w:t>不达标</w:t>
                  </w:r>
                </w:p>
              </w:tc>
              <w:tc>
                <w:tcPr>
                  <w:tcW w:w="305" w:type="pct"/>
                  <w:tcBorders>
                    <w:tl2br w:val="nil"/>
                    <w:tr2bl w:val="nil"/>
                  </w:tcBorders>
                  <w:shd w:val="clear" w:color="auto" w:fill="auto"/>
                  <w:tcMar>
                    <w:top w:w="0" w:type="dxa"/>
                    <w:left w:w="0" w:type="dxa"/>
                    <w:bottom w:w="0" w:type="dxa"/>
                    <w:right w:w="0" w:type="dxa"/>
                  </w:tcMar>
                  <w:vAlign w:val="center"/>
                </w:tcPr>
                <w:p w14:paraId="3843BAD2">
                  <w:pPr>
                    <w:pStyle w:val="15"/>
                    <w:bidi w:val="0"/>
                    <w:rPr>
                      <w:rFonts w:hint="eastAsia"/>
                      <w:color w:val="auto"/>
                      <w:sz w:val="18"/>
                      <w:szCs w:val="18"/>
                    </w:rPr>
                  </w:pPr>
                  <w:r>
                    <w:rPr>
                      <w:rFonts w:hint="eastAsia"/>
                      <w:color w:val="auto"/>
                      <w:sz w:val="18"/>
                      <w:szCs w:val="18"/>
                      <w:lang w:val="en-US" w:eastAsia="zh-CN"/>
                    </w:rPr>
                    <w:t>10</w:t>
                  </w:r>
                </w:p>
              </w:tc>
            </w:tr>
            <w:tr w14:paraId="79895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EA31A35">
                  <w:pPr>
                    <w:pStyle w:val="15"/>
                    <w:bidi w:val="0"/>
                    <w:rPr>
                      <w:rFonts w:hint="eastAsia"/>
                      <w:color w:val="auto"/>
                      <w:sz w:val="18"/>
                      <w:szCs w:val="18"/>
                    </w:rPr>
                  </w:pPr>
                  <w:r>
                    <w:rPr>
                      <w:rFonts w:hint="eastAsia"/>
                      <w:color w:val="auto"/>
                      <w:sz w:val="18"/>
                      <w:szCs w:val="18"/>
                      <w:lang w:val="en-US" w:eastAsia="zh-CN"/>
                    </w:rPr>
                    <w:t>8</w:t>
                  </w:r>
                </w:p>
              </w:tc>
              <w:tc>
                <w:tcPr>
                  <w:tcW w:w="631" w:type="pct"/>
                  <w:tcBorders>
                    <w:tl2br w:val="nil"/>
                    <w:tr2bl w:val="nil"/>
                  </w:tcBorders>
                  <w:shd w:val="clear" w:color="auto" w:fill="auto"/>
                  <w:tcMar>
                    <w:top w:w="0" w:type="dxa"/>
                    <w:left w:w="0" w:type="dxa"/>
                    <w:bottom w:w="0" w:type="dxa"/>
                    <w:right w:w="0" w:type="dxa"/>
                  </w:tcMar>
                  <w:vAlign w:val="center"/>
                </w:tcPr>
                <w:p w14:paraId="10BF9CE9">
                  <w:pPr>
                    <w:pStyle w:val="15"/>
                    <w:bidi w:val="0"/>
                    <w:rPr>
                      <w:rFonts w:hint="eastAsia"/>
                      <w:color w:val="auto"/>
                      <w:sz w:val="18"/>
                      <w:szCs w:val="18"/>
                    </w:rPr>
                  </w:pPr>
                  <w:r>
                    <w:rPr>
                      <w:rFonts w:hint="eastAsia"/>
                      <w:color w:val="auto"/>
                      <w:sz w:val="18"/>
                      <w:szCs w:val="18"/>
                      <w:lang w:val="en-US" w:eastAsia="zh-CN"/>
                    </w:rPr>
                    <w:t>总大肠菌群</w:t>
                  </w:r>
                </w:p>
              </w:tc>
              <w:tc>
                <w:tcPr>
                  <w:tcW w:w="465" w:type="pct"/>
                  <w:tcBorders>
                    <w:tl2br w:val="nil"/>
                    <w:tr2bl w:val="nil"/>
                  </w:tcBorders>
                  <w:shd w:val="clear" w:color="auto" w:fill="auto"/>
                  <w:tcMar>
                    <w:top w:w="0" w:type="dxa"/>
                    <w:left w:w="0" w:type="dxa"/>
                    <w:bottom w:w="0" w:type="dxa"/>
                    <w:right w:w="0" w:type="dxa"/>
                  </w:tcMar>
                  <w:vAlign w:val="center"/>
                </w:tcPr>
                <w:p w14:paraId="12FE0221">
                  <w:pPr>
                    <w:pStyle w:val="15"/>
                    <w:bidi w:val="0"/>
                    <w:rPr>
                      <w:rFonts w:hint="eastAsia"/>
                      <w:color w:val="auto"/>
                      <w:sz w:val="18"/>
                      <w:szCs w:val="18"/>
                    </w:rPr>
                  </w:pPr>
                  <w:r>
                    <w:rPr>
                      <w:rFonts w:hint="eastAsia"/>
                      <w:color w:val="auto"/>
                      <w:sz w:val="18"/>
                      <w:szCs w:val="18"/>
                      <w:lang w:val="en-US" w:eastAsia="zh-CN"/>
                    </w:rPr>
                    <w:t>MPN/100mL</w:t>
                  </w:r>
                </w:p>
              </w:tc>
              <w:tc>
                <w:tcPr>
                  <w:tcW w:w="279" w:type="pct"/>
                  <w:tcBorders>
                    <w:tl2br w:val="nil"/>
                    <w:tr2bl w:val="nil"/>
                  </w:tcBorders>
                  <w:shd w:val="clear" w:color="auto" w:fill="auto"/>
                  <w:tcMar>
                    <w:top w:w="0" w:type="dxa"/>
                    <w:left w:w="0" w:type="dxa"/>
                    <w:bottom w:w="0" w:type="dxa"/>
                    <w:right w:w="0" w:type="dxa"/>
                  </w:tcMar>
                  <w:vAlign w:val="center"/>
                </w:tcPr>
                <w:p w14:paraId="39A22F1D">
                  <w:pPr>
                    <w:pStyle w:val="15"/>
                    <w:bidi w:val="0"/>
                    <w:rPr>
                      <w:rFonts w:hint="eastAsia"/>
                      <w:color w:val="auto"/>
                      <w:sz w:val="18"/>
                      <w:szCs w:val="18"/>
                    </w:rPr>
                  </w:pPr>
                  <w:r>
                    <w:rPr>
                      <w:rFonts w:hint="eastAsia"/>
                      <w:color w:val="auto"/>
                      <w:sz w:val="18"/>
                      <w:szCs w:val="18"/>
                      <w:lang w:val="en-US" w:eastAsia="zh-CN"/>
                    </w:rPr>
                    <w:t>3</w:t>
                  </w:r>
                </w:p>
              </w:tc>
              <w:tc>
                <w:tcPr>
                  <w:tcW w:w="279" w:type="pct"/>
                  <w:tcBorders>
                    <w:tl2br w:val="nil"/>
                    <w:tr2bl w:val="nil"/>
                  </w:tcBorders>
                  <w:shd w:val="clear" w:color="auto" w:fill="auto"/>
                  <w:tcMar>
                    <w:top w:w="0" w:type="dxa"/>
                    <w:left w:w="0" w:type="dxa"/>
                    <w:bottom w:w="0" w:type="dxa"/>
                    <w:right w:w="0" w:type="dxa"/>
                  </w:tcMar>
                  <w:vAlign w:val="center"/>
                </w:tcPr>
                <w:p w14:paraId="76F5648F">
                  <w:pPr>
                    <w:pStyle w:val="15"/>
                    <w:bidi w:val="0"/>
                    <w:rPr>
                      <w:rFonts w:hint="eastAsia"/>
                      <w:color w:val="auto"/>
                      <w:sz w:val="18"/>
                      <w:szCs w:val="18"/>
                    </w:rPr>
                  </w:pPr>
                  <w:r>
                    <w:rPr>
                      <w:rFonts w:hint="eastAsia"/>
                      <w:color w:val="auto"/>
                      <w:sz w:val="18"/>
                      <w:szCs w:val="18"/>
                      <w:lang w:val="en-US" w:eastAsia="zh-CN"/>
                    </w:rPr>
                    <w:t>未检出</w:t>
                  </w:r>
                </w:p>
              </w:tc>
              <w:tc>
                <w:tcPr>
                  <w:tcW w:w="220" w:type="pct"/>
                  <w:tcBorders>
                    <w:tl2br w:val="nil"/>
                    <w:tr2bl w:val="nil"/>
                  </w:tcBorders>
                  <w:shd w:val="clear" w:color="auto" w:fill="auto"/>
                  <w:tcMar>
                    <w:top w:w="0" w:type="dxa"/>
                    <w:left w:w="0" w:type="dxa"/>
                    <w:bottom w:w="0" w:type="dxa"/>
                    <w:right w:w="0" w:type="dxa"/>
                  </w:tcMar>
                  <w:vAlign w:val="center"/>
                </w:tcPr>
                <w:p w14:paraId="410B49CC">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66CDE19B">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744A64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A5DFD5D">
                  <w:pPr>
                    <w:pStyle w:val="15"/>
                    <w:bidi w:val="0"/>
                    <w:rPr>
                      <w:rFonts w:hint="eastAsia"/>
                      <w:color w:val="auto"/>
                      <w:sz w:val="18"/>
                      <w:szCs w:val="18"/>
                    </w:rPr>
                  </w:pPr>
                  <w:r>
                    <w:rPr>
                      <w:rFonts w:hint="eastAsia"/>
                      <w:color w:val="auto"/>
                      <w:sz w:val="18"/>
                      <w:szCs w:val="18"/>
                      <w:lang w:val="en-US" w:eastAsia="zh-CN"/>
                    </w:rPr>
                    <w:t>未检出</w:t>
                  </w:r>
                </w:p>
              </w:tc>
              <w:tc>
                <w:tcPr>
                  <w:tcW w:w="200" w:type="pct"/>
                  <w:tcBorders>
                    <w:tl2br w:val="nil"/>
                    <w:tr2bl w:val="nil"/>
                  </w:tcBorders>
                  <w:shd w:val="clear" w:color="auto" w:fill="auto"/>
                  <w:tcMar>
                    <w:top w:w="0" w:type="dxa"/>
                    <w:left w:w="0" w:type="dxa"/>
                    <w:bottom w:w="0" w:type="dxa"/>
                    <w:right w:w="0" w:type="dxa"/>
                  </w:tcMar>
                  <w:vAlign w:val="center"/>
                </w:tcPr>
                <w:p w14:paraId="40F949B2">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70B6B6DC">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C5B4A43">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83CE912">
                  <w:pPr>
                    <w:pStyle w:val="15"/>
                    <w:bidi w:val="0"/>
                    <w:rPr>
                      <w:rFonts w:hint="eastAsia"/>
                      <w:color w:val="auto"/>
                      <w:sz w:val="18"/>
                      <w:szCs w:val="18"/>
                    </w:rPr>
                  </w:pPr>
                  <w:r>
                    <w:rPr>
                      <w:rFonts w:hint="eastAsia"/>
                      <w:color w:val="auto"/>
                      <w:sz w:val="18"/>
                      <w:szCs w:val="18"/>
                      <w:lang w:val="en-US" w:eastAsia="zh-CN"/>
                    </w:rPr>
                    <w:t>未检出</w:t>
                  </w:r>
                </w:p>
              </w:tc>
              <w:tc>
                <w:tcPr>
                  <w:tcW w:w="220" w:type="pct"/>
                  <w:tcBorders>
                    <w:tl2br w:val="nil"/>
                    <w:tr2bl w:val="nil"/>
                  </w:tcBorders>
                  <w:shd w:val="clear" w:color="auto" w:fill="auto"/>
                  <w:tcMar>
                    <w:top w:w="0" w:type="dxa"/>
                    <w:left w:w="0" w:type="dxa"/>
                    <w:bottom w:w="0" w:type="dxa"/>
                    <w:right w:w="0" w:type="dxa"/>
                  </w:tcMar>
                  <w:vAlign w:val="center"/>
                </w:tcPr>
                <w:p w14:paraId="7147B432">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A3907A3">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8E465DA">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7A1CE82E">
                  <w:pPr>
                    <w:pStyle w:val="15"/>
                    <w:bidi w:val="0"/>
                    <w:rPr>
                      <w:rFonts w:hint="eastAsia"/>
                      <w:color w:val="auto"/>
                      <w:sz w:val="18"/>
                      <w:szCs w:val="18"/>
                    </w:rPr>
                  </w:pPr>
                  <w:r>
                    <w:rPr>
                      <w:rFonts w:hint="eastAsia"/>
                      <w:color w:val="auto"/>
                      <w:sz w:val="18"/>
                      <w:szCs w:val="18"/>
                      <w:lang w:val="en-US" w:eastAsia="zh-CN"/>
                    </w:rPr>
                    <w:t>-</w:t>
                  </w:r>
                </w:p>
              </w:tc>
            </w:tr>
            <w:tr w14:paraId="0900AC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0124E45D">
                  <w:pPr>
                    <w:pStyle w:val="15"/>
                    <w:bidi w:val="0"/>
                    <w:rPr>
                      <w:rFonts w:hint="eastAsia"/>
                      <w:color w:val="auto"/>
                      <w:sz w:val="18"/>
                      <w:szCs w:val="18"/>
                    </w:rPr>
                  </w:pPr>
                  <w:r>
                    <w:rPr>
                      <w:rFonts w:hint="eastAsia"/>
                      <w:color w:val="auto"/>
                      <w:sz w:val="18"/>
                      <w:szCs w:val="18"/>
                      <w:lang w:val="en-US" w:eastAsia="zh-CN"/>
                    </w:rPr>
                    <w:t>9</w:t>
                  </w:r>
                </w:p>
              </w:tc>
              <w:tc>
                <w:tcPr>
                  <w:tcW w:w="631" w:type="pct"/>
                  <w:tcBorders>
                    <w:tl2br w:val="nil"/>
                    <w:tr2bl w:val="nil"/>
                  </w:tcBorders>
                  <w:shd w:val="clear" w:color="auto" w:fill="auto"/>
                  <w:tcMar>
                    <w:top w:w="0" w:type="dxa"/>
                    <w:left w:w="0" w:type="dxa"/>
                    <w:bottom w:w="0" w:type="dxa"/>
                    <w:right w:w="0" w:type="dxa"/>
                  </w:tcMar>
                  <w:vAlign w:val="center"/>
                </w:tcPr>
                <w:p w14:paraId="0637E4BA">
                  <w:pPr>
                    <w:pStyle w:val="15"/>
                    <w:bidi w:val="0"/>
                    <w:rPr>
                      <w:rFonts w:hint="eastAsia"/>
                      <w:color w:val="auto"/>
                      <w:sz w:val="18"/>
                      <w:szCs w:val="18"/>
                    </w:rPr>
                  </w:pPr>
                  <w:r>
                    <w:rPr>
                      <w:rFonts w:hint="eastAsia"/>
                      <w:color w:val="auto"/>
                      <w:sz w:val="18"/>
                      <w:szCs w:val="18"/>
                      <w:lang w:val="en-US" w:eastAsia="zh-CN"/>
                    </w:rPr>
                    <w:t>菌落总数</w:t>
                  </w:r>
                </w:p>
              </w:tc>
              <w:tc>
                <w:tcPr>
                  <w:tcW w:w="465" w:type="pct"/>
                  <w:tcBorders>
                    <w:tl2br w:val="nil"/>
                    <w:tr2bl w:val="nil"/>
                  </w:tcBorders>
                  <w:shd w:val="clear" w:color="auto" w:fill="auto"/>
                  <w:tcMar>
                    <w:top w:w="0" w:type="dxa"/>
                    <w:left w:w="0" w:type="dxa"/>
                    <w:bottom w:w="0" w:type="dxa"/>
                    <w:right w:w="0" w:type="dxa"/>
                  </w:tcMar>
                  <w:vAlign w:val="center"/>
                </w:tcPr>
                <w:p w14:paraId="42B36C0B">
                  <w:pPr>
                    <w:pStyle w:val="15"/>
                    <w:bidi w:val="0"/>
                    <w:rPr>
                      <w:rFonts w:hint="eastAsia"/>
                      <w:color w:val="auto"/>
                      <w:sz w:val="18"/>
                      <w:szCs w:val="18"/>
                    </w:rPr>
                  </w:pPr>
                  <w:r>
                    <w:rPr>
                      <w:rFonts w:hint="eastAsia"/>
                      <w:color w:val="auto"/>
                      <w:sz w:val="18"/>
                      <w:szCs w:val="18"/>
                      <w:lang w:val="en-US" w:eastAsia="zh-CN"/>
                    </w:rPr>
                    <w:t>CFU/mL</w:t>
                  </w:r>
                </w:p>
              </w:tc>
              <w:tc>
                <w:tcPr>
                  <w:tcW w:w="279" w:type="pct"/>
                  <w:tcBorders>
                    <w:tl2br w:val="nil"/>
                    <w:tr2bl w:val="nil"/>
                  </w:tcBorders>
                  <w:shd w:val="clear" w:color="auto" w:fill="auto"/>
                  <w:tcMar>
                    <w:top w:w="0" w:type="dxa"/>
                    <w:left w:w="0" w:type="dxa"/>
                    <w:bottom w:w="0" w:type="dxa"/>
                    <w:right w:w="0" w:type="dxa"/>
                  </w:tcMar>
                  <w:vAlign w:val="center"/>
                </w:tcPr>
                <w:p w14:paraId="4A447739">
                  <w:pPr>
                    <w:pStyle w:val="15"/>
                    <w:bidi w:val="0"/>
                    <w:rPr>
                      <w:rFonts w:hint="eastAsia"/>
                      <w:color w:val="auto"/>
                      <w:sz w:val="18"/>
                      <w:szCs w:val="18"/>
                    </w:rPr>
                  </w:pPr>
                  <w:r>
                    <w:rPr>
                      <w:rFonts w:hint="eastAsia"/>
                      <w:color w:val="auto"/>
                      <w:sz w:val="18"/>
                      <w:szCs w:val="18"/>
                      <w:lang w:val="en-US" w:eastAsia="zh-CN"/>
                    </w:rPr>
                    <w:t>100</w:t>
                  </w:r>
                </w:p>
              </w:tc>
              <w:tc>
                <w:tcPr>
                  <w:tcW w:w="279" w:type="pct"/>
                  <w:tcBorders>
                    <w:tl2br w:val="nil"/>
                    <w:tr2bl w:val="nil"/>
                  </w:tcBorders>
                  <w:shd w:val="clear" w:color="auto" w:fill="auto"/>
                  <w:tcMar>
                    <w:top w:w="0" w:type="dxa"/>
                    <w:left w:w="0" w:type="dxa"/>
                    <w:bottom w:w="0" w:type="dxa"/>
                    <w:right w:w="0" w:type="dxa"/>
                  </w:tcMar>
                  <w:vAlign w:val="center"/>
                </w:tcPr>
                <w:p w14:paraId="07AFE6ED">
                  <w:pPr>
                    <w:pStyle w:val="15"/>
                    <w:bidi w:val="0"/>
                    <w:rPr>
                      <w:rFonts w:hint="eastAsia"/>
                      <w:color w:val="auto"/>
                      <w:sz w:val="18"/>
                      <w:szCs w:val="18"/>
                    </w:rPr>
                  </w:pPr>
                  <w:r>
                    <w:rPr>
                      <w:rFonts w:hint="eastAsia"/>
                      <w:color w:val="auto"/>
                      <w:sz w:val="18"/>
                      <w:szCs w:val="18"/>
                      <w:lang w:val="en-US" w:eastAsia="zh-CN"/>
                    </w:rPr>
                    <w:t>10</w:t>
                  </w:r>
                </w:p>
              </w:tc>
              <w:tc>
                <w:tcPr>
                  <w:tcW w:w="220" w:type="pct"/>
                  <w:tcBorders>
                    <w:tl2br w:val="nil"/>
                    <w:tr2bl w:val="nil"/>
                  </w:tcBorders>
                  <w:shd w:val="clear" w:color="auto" w:fill="auto"/>
                  <w:tcMar>
                    <w:top w:w="0" w:type="dxa"/>
                    <w:left w:w="0" w:type="dxa"/>
                    <w:bottom w:w="0" w:type="dxa"/>
                    <w:right w:w="0" w:type="dxa"/>
                  </w:tcMar>
                  <w:vAlign w:val="center"/>
                </w:tcPr>
                <w:p w14:paraId="13DFC5E0">
                  <w:pPr>
                    <w:pStyle w:val="15"/>
                    <w:bidi w:val="0"/>
                    <w:rPr>
                      <w:rFonts w:hint="eastAsia"/>
                      <w:color w:val="auto"/>
                      <w:sz w:val="18"/>
                      <w:szCs w:val="18"/>
                    </w:rPr>
                  </w:pPr>
                  <w:r>
                    <w:rPr>
                      <w:rFonts w:hint="eastAsia"/>
                      <w:color w:val="auto"/>
                      <w:sz w:val="18"/>
                      <w:szCs w:val="18"/>
                      <w:lang w:val="en-US" w:eastAsia="zh-CN"/>
                    </w:rPr>
                    <w:t>0.10</w:t>
                  </w:r>
                </w:p>
              </w:tc>
              <w:tc>
                <w:tcPr>
                  <w:tcW w:w="278" w:type="pct"/>
                  <w:tcBorders>
                    <w:tl2br w:val="nil"/>
                    <w:tr2bl w:val="nil"/>
                  </w:tcBorders>
                  <w:shd w:val="clear" w:color="auto" w:fill="auto"/>
                  <w:tcMar>
                    <w:top w:w="0" w:type="dxa"/>
                    <w:left w:w="0" w:type="dxa"/>
                    <w:bottom w:w="0" w:type="dxa"/>
                    <w:right w:w="0" w:type="dxa"/>
                  </w:tcMar>
                  <w:vAlign w:val="center"/>
                </w:tcPr>
                <w:p w14:paraId="71F70505">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D6F488E">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EAB864F">
                  <w:pPr>
                    <w:pStyle w:val="15"/>
                    <w:bidi w:val="0"/>
                    <w:rPr>
                      <w:rFonts w:hint="eastAsia"/>
                      <w:color w:val="auto"/>
                      <w:sz w:val="18"/>
                      <w:szCs w:val="18"/>
                    </w:rPr>
                  </w:pPr>
                  <w:r>
                    <w:rPr>
                      <w:rFonts w:hint="eastAsia"/>
                      <w:color w:val="auto"/>
                      <w:sz w:val="18"/>
                      <w:szCs w:val="18"/>
                      <w:lang w:val="en-US" w:eastAsia="zh-CN"/>
                    </w:rPr>
                    <w:t>13</w:t>
                  </w:r>
                </w:p>
              </w:tc>
              <w:tc>
                <w:tcPr>
                  <w:tcW w:w="200" w:type="pct"/>
                  <w:tcBorders>
                    <w:tl2br w:val="nil"/>
                    <w:tr2bl w:val="nil"/>
                  </w:tcBorders>
                  <w:shd w:val="clear" w:color="auto" w:fill="auto"/>
                  <w:tcMar>
                    <w:top w:w="0" w:type="dxa"/>
                    <w:left w:w="0" w:type="dxa"/>
                    <w:bottom w:w="0" w:type="dxa"/>
                    <w:right w:w="0" w:type="dxa"/>
                  </w:tcMar>
                  <w:vAlign w:val="center"/>
                </w:tcPr>
                <w:p w14:paraId="0D2EDA63">
                  <w:pPr>
                    <w:pStyle w:val="15"/>
                    <w:bidi w:val="0"/>
                    <w:rPr>
                      <w:rFonts w:hint="eastAsia"/>
                      <w:color w:val="auto"/>
                      <w:sz w:val="18"/>
                      <w:szCs w:val="18"/>
                    </w:rPr>
                  </w:pPr>
                  <w:r>
                    <w:rPr>
                      <w:rFonts w:hint="eastAsia"/>
                      <w:color w:val="auto"/>
                      <w:sz w:val="18"/>
                      <w:szCs w:val="18"/>
                      <w:lang w:val="en-US" w:eastAsia="zh-CN"/>
                    </w:rPr>
                    <w:t>0.13</w:t>
                  </w:r>
                </w:p>
              </w:tc>
              <w:tc>
                <w:tcPr>
                  <w:tcW w:w="238" w:type="pct"/>
                  <w:tcBorders>
                    <w:tl2br w:val="nil"/>
                    <w:tr2bl w:val="nil"/>
                  </w:tcBorders>
                  <w:shd w:val="clear" w:color="auto" w:fill="auto"/>
                  <w:tcMar>
                    <w:top w:w="0" w:type="dxa"/>
                    <w:left w:w="0" w:type="dxa"/>
                    <w:bottom w:w="0" w:type="dxa"/>
                    <w:right w:w="0" w:type="dxa"/>
                  </w:tcMar>
                  <w:vAlign w:val="center"/>
                </w:tcPr>
                <w:p w14:paraId="06EE2969">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EEAB71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18183732">
                  <w:pPr>
                    <w:pStyle w:val="15"/>
                    <w:bidi w:val="0"/>
                    <w:rPr>
                      <w:rFonts w:hint="eastAsia"/>
                      <w:color w:val="auto"/>
                      <w:sz w:val="18"/>
                      <w:szCs w:val="18"/>
                    </w:rPr>
                  </w:pPr>
                  <w:r>
                    <w:rPr>
                      <w:rFonts w:hint="eastAsia"/>
                      <w:color w:val="auto"/>
                      <w:sz w:val="18"/>
                      <w:szCs w:val="18"/>
                      <w:lang w:val="en-US" w:eastAsia="zh-CN"/>
                    </w:rPr>
                    <w:t>4</w:t>
                  </w:r>
                </w:p>
              </w:tc>
              <w:tc>
                <w:tcPr>
                  <w:tcW w:w="220" w:type="pct"/>
                  <w:tcBorders>
                    <w:tl2br w:val="nil"/>
                    <w:tr2bl w:val="nil"/>
                  </w:tcBorders>
                  <w:shd w:val="clear" w:color="auto" w:fill="auto"/>
                  <w:tcMar>
                    <w:top w:w="0" w:type="dxa"/>
                    <w:left w:w="0" w:type="dxa"/>
                    <w:bottom w:w="0" w:type="dxa"/>
                    <w:right w:w="0" w:type="dxa"/>
                  </w:tcMar>
                  <w:vAlign w:val="center"/>
                </w:tcPr>
                <w:p w14:paraId="256AFC59">
                  <w:pPr>
                    <w:pStyle w:val="15"/>
                    <w:bidi w:val="0"/>
                    <w:rPr>
                      <w:rFonts w:hint="eastAsia"/>
                      <w:color w:val="auto"/>
                      <w:sz w:val="18"/>
                      <w:szCs w:val="18"/>
                    </w:rPr>
                  </w:pPr>
                  <w:r>
                    <w:rPr>
                      <w:rFonts w:hint="eastAsia"/>
                      <w:color w:val="auto"/>
                      <w:sz w:val="18"/>
                      <w:szCs w:val="18"/>
                      <w:lang w:val="en-US" w:eastAsia="zh-CN"/>
                    </w:rPr>
                    <w:t>0.04</w:t>
                  </w:r>
                </w:p>
              </w:tc>
              <w:tc>
                <w:tcPr>
                  <w:tcW w:w="278" w:type="pct"/>
                  <w:tcBorders>
                    <w:tl2br w:val="nil"/>
                    <w:tr2bl w:val="nil"/>
                  </w:tcBorders>
                  <w:shd w:val="clear" w:color="auto" w:fill="auto"/>
                  <w:tcMar>
                    <w:top w:w="0" w:type="dxa"/>
                    <w:left w:w="0" w:type="dxa"/>
                    <w:bottom w:w="0" w:type="dxa"/>
                    <w:right w:w="0" w:type="dxa"/>
                  </w:tcMar>
                  <w:vAlign w:val="center"/>
                </w:tcPr>
                <w:p w14:paraId="61A7A24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A69EDF5">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12CE3443">
                  <w:pPr>
                    <w:pStyle w:val="15"/>
                    <w:bidi w:val="0"/>
                    <w:rPr>
                      <w:rFonts w:hint="eastAsia"/>
                      <w:color w:val="auto"/>
                      <w:sz w:val="18"/>
                      <w:szCs w:val="18"/>
                    </w:rPr>
                  </w:pPr>
                  <w:r>
                    <w:rPr>
                      <w:rFonts w:hint="eastAsia"/>
                      <w:color w:val="auto"/>
                      <w:sz w:val="18"/>
                      <w:szCs w:val="18"/>
                      <w:lang w:val="en-US" w:eastAsia="zh-CN"/>
                    </w:rPr>
                    <w:t>-</w:t>
                  </w:r>
                </w:p>
              </w:tc>
            </w:tr>
            <w:tr w14:paraId="7EC21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A944E42">
                  <w:pPr>
                    <w:pStyle w:val="15"/>
                    <w:bidi w:val="0"/>
                    <w:rPr>
                      <w:rFonts w:hint="eastAsia"/>
                      <w:color w:val="auto"/>
                      <w:sz w:val="18"/>
                      <w:szCs w:val="18"/>
                    </w:rPr>
                  </w:pPr>
                  <w:r>
                    <w:rPr>
                      <w:rFonts w:hint="eastAsia"/>
                      <w:color w:val="auto"/>
                      <w:sz w:val="18"/>
                      <w:szCs w:val="18"/>
                      <w:lang w:val="en-US" w:eastAsia="zh-CN"/>
                    </w:rPr>
                    <w:t>10</w:t>
                  </w:r>
                </w:p>
              </w:tc>
              <w:tc>
                <w:tcPr>
                  <w:tcW w:w="631" w:type="pct"/>
                  <w:tcBorders>
                    <w:tl2br w:val="nil"/>
                    <w:tr2bl w:val="nil"/>
                  </w:tcBorders>
                  <w:shd w:val="clear" w:color="auto" w:fill="auto"/>
                  <w:tcMar>
                    <w:top w:w="0" w:type="dxa"/>
                    <w:left w:w="0" w:type="dxa"/>
                    <w:bottom w:w="0" w:type="dxa"/>
                    <w:right w:w="0" w:type="dxa"/>
                  </w:tcMar>
                  <w:vAlign w:val="center"/>
                </w:tcPr>
                <w:p w14:paraId="252219AB">
                  <w:pPr>
                    <w:pStyle w:val="15"/>
                    <w:bidi w:val="0"/>
                    <w:rPr>
                      <w:rFonts w:hint="eastAsia"/>
                      <w:color w:val="auto"/>
                      <w:sz w:val="18"/>
                      <w:szCs w:val="18"/>
                    </w:rPr>
                  </w:pPr>
                  <w:r>
                    <w:rPr>
                      <w:rFonts w:hint="eastAsia"/>
                      <w:color w:val="auto"/>
                      <w:sz w:val="18"/>
                      <w:szCs w:val="18"/>
                      <w:lang w:val="en-US" w:eastAsia="zh-CN"/>
                    </w:rPr>
                    <w:t>氨氮</w:t>
                  </w:r>
                </w:p>
              </w:tc>
              <w:tc>
                <w:tcPr>
                  <w:tcW w:w="465" w:type="pct"/>
                  <w:tcBorders>
                    <w:tl2br w:val="nil"/>
                    <w:tr2bl w:val="nil"/>
                  </w:tcBorders>
                  <w:shd w:val="clear" w:color="auto" w:fill="auto"/>
                  <w:tcMar>
                    <w:top w:w="0" w:type="dxa"/>
                    <w:left w:w="0" w:type="dxa"/>
                    <w:bottom w:w="0" w:type="dxa"/>
                    <w:right w:w="0" w:type="dxa"/>
                  </w:tcMar>
                  <w:vAlign w:val="center"/>
                </w:tcPr>
                <w:p w14:paraId="4015D5CF">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35F115C1">
                  <w:pPr>
                    <w:pStyle w:val="15"/>
                    <w:bidi w:val="0"/>
                    <w:rPr>
                      <w:rFonts w:hint="eastAsia"/>
                      <w:color w:val="auto"/>
                      <w:sz w:val="18"/>
                      <w:szCs w:val="18"/>
                    </w:rPr>
                  </w:pPr>
                  <w:r>
                    <w:rPr>
                      <w:rFonts w:hint="eastAsia"/>
                      <w:color w:val="auto"/>
                      <w:sz w:val="18"/>
                      <w:szCs w:val="18"/>
                      <w:lang w:val="en-US" w:eastAsia="zh-CN"/>
                    </w:rPr>
                    <w:t>0.5</w:t>
                  </w:r>
                </w:p>
              </w:tc>
              <w:tc>
                <w:tcPr>
                  <w:tcW w:w="279" w:type="pct"/>
                  <w:tcBorders>
                    <w:tl2br w:val="nil"/>
                    <w:tr2bl w:val="nil"/>
                  </w:tcBorders>
                  <w:shd w:val="clear" w:color="auto" w:fill="auto"/>
                  <w:tcMar>
                    <w:top w:w="0" w:type="dxa"/>
                    <w:left w:w="0" w:type="dxa"/>
                    <w:bottom w:w="0" w:type="dxa"/>
                    <w:right w:w="0" w:type="dxa"/>
                  </w:tcMar>
                  <w:vAlign w:val="center"/>
                </w:tcPr>
                <w:p w14:paraId="4AC743A3">
                  <w:pPr>
                    <w:pStyle w:val="15"/>
                    <w:bidi w:val="0"/>
                    <w:rPr>
                      <w:rFonts w:hint="eastAsia"/>
                      <w:color w:val="auto"/>
                      <w:sz w:val="18"/>
                      <w:szCs w:val="18"/>
                    </w:rPr>
                  </w:pPr>
                  <w:r>
                    <w:rPr>
                      <w:rFonts w:hint="eastAsia"/>
                      <w:color w:val="auto"/>
                      <w:sz w:val="18"/>
                      <w:szCs w:val="18"/>
                      <w:lang w:val="en-US" w:eastAsia="zh-CN"/>
                    </w:rPr>
                    <w:t>0.327</w:t>
                  </w:r>
                </w:p>
              </w:tc>
              <w:tc>
                <w:tcPr>
                  <w:tcW w:w="220" w:type="pct"/>
                  <w:tcBorders>
                    <w:tl2br w:val="nil"/>
                    <w:tr2bl w:val="nil"/>
                  </w:tcBorders>
                  <w:shd w:val="clear" w:color="auto" w:fill="auto"/>
                  <w:tcMar>
                    <w:top w:w="0" w:type="dxa"/>
                    <w:left w:w="0" w:type="dxa"/>
                    <w:bottom w:w="0" w:type="dxa"/>
                    <w:right w:w="0" w:type="dxa"/>
                  </w:tcMar>
                  <w:vAlign w:val="center"/>
                </w:tcPr>
                <w:p w14:paraId="2C9BAA9E">
                  <w:pPr>
                    <w:pStyle w:val="15"/>
                    <w:bidi w:val="0"/>
                    <w:rPr>
                      <w:rFonts w:hint="eastAsia"/>
                      <w:color w:val="auto"/>
                      <w:sz w:val="18"/>
                      <w:szCs w:val="18"/>
                    </w:rPr>
                  </w:pPr>
                  <w:r>
                    <w:rPr>
                      <w:rFonts w:hint="eastAsia"/>
                      <w:color w:val="auto"/>
                      <w:sz w:val="18"/>
                      <w:szCs w:val="18"/>
                      <w:lang w:val="en-US" w:eastAsia="zh-CN"/>
                    </w:rPr>
                    <w:t>0.65</w:t>
                  </w:r>
                </w:p>
              </w:tc>
              <w:tc>
                <w:tcPr>
                  <w:tcW w:w="278" w:type="pct"/>
                  <w:tcBorders>
                    <w:tl2br w:val="nil"/>
                    <w:tr2bl w:val="nil"/>
                  </w:tcBorders>
                  <w:shd w:val="clear" w:color="auto" w:fill="auto"/>
                  <w:tcMar>
                    <w:top w:w="0" w:type="dxa"/>
                    <w:left w:w="0" w:type="dxa"/>
                    <w:bottom w:w="0" w:type="dxa"/>
                    <w:right w:w="0" w:type="dxa"/>
                  </w:tcMar>
                  <w:vAlign w:val="center"/>
                </w:tcPr>
                <w:p w14:paraId="405869F3">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5F6D5FC">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78569628">
                  <w:pPr>
                    <w:pStyle w:val="15"/>
                    <w:bidi w:val="0"/>
                    <w:rPr>
                      <w:rFonts w:hint="eastAsia"/>
                      <w:color w:val="auto"/>
                      <w:sz w:val="18"/>
                      <w:szCs w:val="18"/>
                    </w:rPr>
                  </w:pPr>
                  <w:r>
                    <w:rPr>
                      <w:rFonts w:hint="eastAsia"/>
                      <w:color w:val="auto"/>
                      <w:sz w:val="18"/>
                      <w:szCs w:val="18"/>
                      <w:lang w:val="en-US" w:eastAsia="zh-CN"/>
                    </w:rPr>
                    <w:t>0.285</w:t>
                  </w:r>
                </w:p>
              </w:tc>
              <w:tc>
                <w:tcPr>
                  <w:tcW w:w="200" w:type="pct"/>
                  <w:tcBorders>
                    <w:tl2br w:val="nil"/>
                    <w:tr2bl w:val="nil"/>
                  </w:tcBorders>
                  <w:shd w:val="clear" w:color="auto" w:fill="auto"/>
                  <w:tcMar>
                    <w:top w:w="0" w:type="dxa"/>
                    <w:left w:w="0" w:type="dxa"/>
                    <w:bottom w:w="0" w:type="dxa"/>
                    <w:right w:w="0" w:type="dxa"/>
                  </w:tcMar>
                  <w:vAlign w:val="center"/>
                </w:tcPr>
                <w:p w14:paraId="2F648F7B">
                  <w:pPr>
                    <w:pStyle w:val="15"/>
                    <w:bidi w:val="0"/>
                    <w:rPr>
                      <w:rFonts w:hint="eastAsia"/>
                      <w:color w:val="auto"/>
                      <w:sz w:val="18"/>
                      <w:szCs w:val="18"/>
                    </w:rPr>
                  </w:pPr>
                  <w:r>
                    <w:rPr>
                      <w:rFonts w:hint="eastAsia"/>
                      <w:color w:val="auto"/>
                      <w:sz w:val="18"/>
                      <w:szCs w:val="18"/>
                      <w:lang w:val="en-US" w:eastAsia="zh-CN"/>
                    </w:rPr>
                    <w:t>0.57</w:t>
                  </w:r>
                </w:p>
              </w:tc>
              <w:tc>
                <w:tcPr>
                  <w:tcW w:w="238" w:type="pct"/>
                  <w:tcBorders>
                    <w:tl2br w:val="nil"/>
                    <w:tr2bl w:val="nil"/>
                  </w:tcBorders>
                  <w:shd w:val="clear" w:color="auto" w:fill="auto"/>
                  <w:tcMar>
                    <w:top w:w="0" w:type="dxa"/>
                    <w:left w:w="0" w:type="dxa"/>
                    <w:bottom w:w="0" w:type="dxa"/>
                    <w:right w:w="0" w:type="dxa"/>
                  </w:tcMar>
                  <w:vAlign w:val="center"/>
                </w:tcPr>
                <w:p w14:paraId="48E6BD9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A45664B">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3D1FEF7F">
                  <w:pPr>
                    <w:pStyle w:val="15"/>
                    <w:bidi w:val="0"/>
                    <w:rPr>
                      <w:rFonts w:hint="eastAsia"/>
                      <w:color w:val="auto"/>
                      <w:sz w:val="18"/>
                      <w:szCs w:val="18"/>
                    </w:rPr>
                  </w:pPr>
                  <w:r>
                    <w:rPr>
                      <w:rFonts w:hint="eastAsia"/>
                      <w:color w:val="auto"/>
                      <w:sz w:val="18"/>
                      <w:szCs w:val="18"/>
                      <w:lang w:val="en-US" w:eastAsia="zh-CN"/>
                    </w:rPr>
                    <w:t>0.298</w:t>
                  </w:r>
                </w:p>
              </w:tc>
              <w:tc>
                <w:tcPr>
                  <w:tcW w:w="220" w:type="pct"/>
                  <w:tcBorders>
                    <w:tl2br w:val="nil"/>
                    <w:tr2bl w:val="nil"/>
                  </w:tcBorders>
                  <w:shd w:val="clear" w:color="auto" w:fill="auto"/>
                  <w:tcMar>
                    <w:top w:w="0" w:type="dxa"/>
                    <w:left w:w="0" w:type="dxa"/>
                    <w:bottom w:w="0" w:type="dxa"/>
                    <w:right w:w="0" w:type="dxa"/>
                  </w:tcMar>
                  <w:vAlign w:val="center"/>
                </w:tcPr>
                <w:p w14:paraId="4D84559C">
                  <w:pPr>
                    <w:pStyle w:val="15"/>
                    <w:bidi w:val="0"/>
                    <w:rPr>
                      <w:rFonts w:hint="eastAsia"/>
                      <w:color w:val="auto"/>
                      <w:sz w:val="18"/>
                      <w:szCs w:val="18"/>
                    </w:rPr>
                  </w:pPr>
                  <w:r>
                    <w:rPr>
                      <w:rFonts w:hint="eastAsia"/>
                      <w:color w:val="auto"/>
                      <w:sz w:val="18"/>
                      <w:szCs w:val="18"/>
                      <w:lang w:val="en-US" w:eastAsia="zh-CN"/>
                    </w:rPr>
                    <w:t>0.60</w:t>
                  </w:r>
                </w:p>
              </w:tc>
              <w:tc>
                <w:tcPr>
                  <w:tcW w:w="278" w:type="pct"/>
                  <w:tcBorders>
                    <w:tl2br w:val="nil"/>
                    <w:tr2bl w:val="nil"/>
                  </w:tcBorders>
                  <w:shd w:val="clear" w:color="auto" w:fill="auto"/>
                  <w:tcMar>
                    <w:top w:w="0" w:type="dxa"/>
                    <w:left w:w="0" w:type="dxa"/>
                    <w:bottom w:w="0" w:type="dxa"/>
                    <w:right w:w="0" w:type="dxa"/>
                  </w:tcMar>
                  <w:vAlign w:val="center"/>
                </w:tcPr>
                <w:p w14:paraId="02252B2C">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8140326">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2A50E084">
                  <w:pPr>
                    <w:pStyle w:val="15"/>
                    <w:bidi w:val="0"/>
                    <w:rPr>
                      <w:rFonts w:hint="eastAsia"/>
                      <w:color w:val="auto"/>
                      <w:sz w:val="18"/>
                      <w:szCs w:val="18"/>
                    </w:rPr>
                  </w:pPr>
                  <w:r>
                    <w:rPr>
                      <w:rFonts w:hint="eastAsia"/>
                      <w:color w:val="auto"/>
                      <w:sz w:val="18"/>
                      <w:szCs w:val="18"/>
                      <w:lang w:val="en-US" w:eastAsia="zh-CN"/>
                    </w:rPr>
                    <w:t>0.025</w:t>
                  </w:r>
                </w:p>
              </w:tc>
            </w:tr>
            <w:tr w14:paraId="3F078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B1A32B0">
                  <w:pPr>
                    <w:pStyle w:val="15"/>
                    <w:bidi w:val="0"/>
                    <w:rPr>
                      <w:rFonts w:hint="eastAsia"/>
                      <w:color w:val="auto"/>
                      <w:sz w:val="18"/>
                      <w:szCs w:val="18"/>
                    </w:rPr>
                  </w:pPr>
                  <w:r>
                    <w:rPr>
                      <w:rFonts w:hint="eastAsia"/>
                      <w:color w:val="auto"/>
                      <w:sz w:val="18"/>
                      <w:szCs w:val="18"/>
                      <w:lang w:val="en-US" w:eastAsia="zh-CN"/>
                    </w:rPr>
                    <w:t>11</w:t>
                  </w:r>
                </w:p>
              </w:tc>
              <w:tc>
                <w:tcPr>
                  <w:tcW w:w="631" w:type="pct"/>
                  <w:tcBorders>
                    <w:tl2br w:val="nil"/>
                    <w:tr2bl w:val="nil"/>
                  </w:tcBorders>
                  <w:shd w:val="clear" w:color="auto" w:fill="auto"/>
                  <w:tcMar>
                    <w:top w:w="0" w:type="dxa"/>
                    <w:left w:w="0" w:type="dxa"/>
                    <w:bottom w:w="0" w:type="dxa"/>
                    <w:right w:w="0" w:type="dxa"/>
                  </w:tcMar>
                  <w:vAlign w:val="center"/>
                </w:tcPr>
                <w:p w14:paraId="5C166C19">
                  <w:pPr>
                    <w:pStyle w:val="15"/>
                    <w:bidi w:val="0"/>
                    <w:rPr>
                      <w:rFonts w:hint="eastAsia"/>
                      <w:color w:val="auto"/>
                      <w:sz w:val="18"/>
                      <w:szCs w:val="18"/>
                    </w:rPr>
                  </w:pPr>
                  <w:r>
                    <w:rPr>
                      <w:rFonts w:hint="eastAsia"/>
                      <w:color w:val="auto"/>
                      <w:sz w:val="18"/>
                      <w:szCs w:val="18"/>
                      <w:lang w:val="en-US" w:eastAsia="zh-CN"/>
                    </w:rPr>
                    <w:t>硝酸盐氮</w:t>
                  </w:r>
                </w:p>
              </w:tc>
              <w:tc>
                <w:tcPr>
                  <w:tcW w:w="465" w:type="pct"/>
                  <w:tcBorders>
                    <w:tl2br w:val="nil"/>
                    <w:tr2bl w:val="nil"/>
                  </w:tcBorders>
                  <w:shd w:val="clear" w:color="auto" w:fill="auto"/>
                  <w:tcMar>
                    <w:top w:w="0" w:type="dxa"/>
                    <w:left w:w="0" w:type="dxa"/>
                    <w:bottom w:w="0" w:type="dxa"/>
                    <w:right w:w="0" w:type="dxa"/>
                  </w:tcMar>
                  <w:vAlign w:val="center"/>
                </w:tcPr>
                <w:p w14:paraId="6208885C">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78F55138">
                  <w:pPr>
                    <w:pStyle w:val="15"/>
                    <w:bidi w:val="0"/>
                    <w:rPr>
                      <w:rFonts w:hint="eastAsia"/>
                      <w:color w:val="auto"/>
                      <w:sz w:val="18"/>
                      <w:szCs w:val="18"/>
                    </w:rPr>
                  </w:pPr>
                  <w:r>
                    <w:rPr>
                      <w:rFonts w:hint="eastAsia"/>
                      <w:color w:val="auto"/>
                      <w:sz w:val="18"/>
                      <w:szCs w:val="18"/>
                      <w:lang w:val="en-US" w:eastAsia="zh-CN"/>
                    </w:rPr>
                    <w:t>20</w:t>
                  </w:r>
                </w:p>
              </w:tc>
              <w:tc>
                <w:tcPr>
                  <w:tcW w:w="279" w:type="pct"/>
                  <w:tcBorders>
                    <w:tl2br w:val="nil"/>
                    <w:tr2bl w:val="nil"/>
                  </w:tcBorders>
                  <w:shd w:val="clear" w:color="auto" w:fill="auto"/>
                  <w:tcMar>
                    <w:top w:w="0" w:type="dxa"/>
                    <w:left w:w="0" w:type="dxa"/>
                    <w:bottom w:w="0" w:type="dxa"/>
                    <w:right w:w="0" w:type="dxa"/>
                  </w:tcMar>
                  <w:vAlign w:val="center"/>
                </w:tcPr>
                <w:p w14:paraId="54FC45C7">
                  <w:pPr>
                    <w:pStyle w:val="15"/>
                    <w:bidi w:val="0"/>
                    <w:rPr>
                      <w:rFonts w:hint="eastAsia"/>
                      <w:color w:val="auto"/>
                      <w:sz w:val="18"/>
                      <w:szCs w:val="18"/>
                    </w:rPr>
                  </w:pPr>
                  <w:r>
                    <w:rPr>
                      <w:rFonts w:hint="eastAsia"/>
                      <w:color w:val="auto"/>
                      <w:sz w:val="18"/>
                      <w:szCs w:val="18"/>
                      <w:lang w:val="en-US" w:eastAsia="zh-CN"/>
                    </w:rPr>
                    <w:t>0.83</w:t>
                  </w:r>
                </w:p>
              </w:tc>
              <w:tc>
                <w:tcPr>
                  <w:tcW w:w="220" w:type="pct"/>
                  <w:tcBorders>
                    <w:tl2br w:val="nil"/>
                    <w:tr2bl w:val="nil"/>
                  </w:tcBorders>
                  <w:shd w:val="clear" w:color="auto" w:fill="auto"/>
                  <w:tcMar>
                    <w:top w:w="0" w:type="dxa"/>
                    <w:left w:w="0" w:type="dxa"/>
                    <w:bottom w:w="0" w:type="dxa"/>
                    <w:right w:w="0" w:type="dxa"/>
                  </w:tcMar>
                  <w:vAlign w:val="center"/>
                </w:tcPr>
                <w:p w14:paraId="7FC80175">
                  <w:pPr>
                    <w:pStyle w:val="15"/>
                    <w:bidi w:val="0"/>
                    <w:rPr>
                      <w:rFonts w:hint="eastAsia"/>
                      <w:color w:val="auto"/>
                      <w:sz w:val="18"/>
                      <w:szCs w:val="18"/>
                    </w:rPr>
                  </w:pPr>
                  <w:r>
                    <w:rPr>
                      <w:rFonts w:hint="eastAsia"/>
                      <w:color w:val="auto"/>
                      <w:sz w:val="18"/>
                      <w:szCs w:val="18"/>
                      <w:lang w:val="en-US" w:eastAsia="zh-CN"/>
                    </w:rPr>
                    <w:t>0.04</w:t>
                  </w:r>
                </w:p>
              </w:tc>
              <w:tc>
                <w:tcPr>
                  <w:tcW w:w="278" w:type="pct"/>
                  <w:tcBorders>
                    <w:tl2br w:val="nil"/>
                    <w:tr2bl w:val="nil"/>
                  </w:tcBorders>
                  <w:shd w:val="clear" w:color="auto" w:fill="auto"/>
                  <w:tcMar>
                    <w:top w:w="0" w:type="dxa"/>
                    <w:left w:w="0" w:type="dxa"/>
                    <w:bottom w:w="0" w:type="dxa"/>
                    <w:right w:w="0" w:type="dxa"/>
                  </w:tcMar>
                  <w:vAlign w:val="center"/>
                </w:tcPr>
                <w:p w14:paraId="6A21FF3C">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55AE6B0">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74A5C39">
                  <w:pPr>
                    <w:pStyle w:val="15"/>
                    <w:bidi w:val="0"/>
                    <w:rPr>
                      <w:rFonts w:hint="eastAsia"/>
                      <w:color w:val="auto"/>
                      <w:sz w:val="18"/>
                      <w:szCs w:val="18"/>
                    </w:rPr>
                  </w:pPr>
                  <w:r>
                    <w:rPr>
                      <w:rFonts w:hint="eastAsia"/>
                      <w:color w:val="auto"/>
                      <w:sz w:val="18"/>
                      <w:szCs w:val="18"/>
                      <w:lang w:val="en-US" w:eastAsia="zh-CN"/>
                    </w:rPr>
                    <w:t>0.49</w:t>
                  </w:r>
                </w:p>
              </w:tc>
              <w:tc>
                <w:tcPr>
                  <w:tcW w:w="200" w:type="pct"/>
                  <w:tcBorders>
                    <w:tl2br w:val="nil"/>
                    <w:tr2bl w:val="nil"/>
                  </w:tcBorders>
                  <w:shd w:val="clear" w:color="auto" w:fill="auto"/>
                  <w:tcMar>
                    <w:top w:w="0" w:type="dxa"/>
                    <w:left w:w="0" w:type="dxa"/>
                    <w:bottom w:w="0" w:type="dxa"/>
                    <w:right w:w="0" w:type="dxa"/>
                  </w:tcMar>
                  <w:vAlign w:val="center"/>
                </w:tcPr>
                <w:p w14:paraId="1E63B96C">
                  <w:pPr>
                    <w:pStyle w:val="15"/>
                    <w:bidi w:val="0"/>
                    <w:rPr>
                      <w:rFonts w:hint="eastAsia"/>
                      <w:color w:val="auto"/>
                      <w:sz w:val="18"/>
                      <w:szCs w:val="18"/>
                    </w:rPr>
                  </w:pPr>
                  <w:r>
                    <w:rPr>
                      <w:rFonts w:hint="eastAsia"/>
                      <w:color w:val="auto"/>
                      <w:sz w:val="18"/>
                      <w:szCs w:val="18"/>
                      <w:lang w:val="en-US" w:eastAsia="zh-CN"/>
                    </w:rPr>
                    <w:t>0.02</w:t>
                  </w:r>
                </w:p>
              </w:tc>
              <w:tc>
                <w:tcPr>
                  <w:tcW w:w="238" w:type="pct"/>
                  <w:tcBorders>
                    <w:tl2br w:val="nil"/>
                    <w:tr2bl w:val="nil"/>
                  </w:tcBorders>
                  <w:shd w:val="clear" w:color="auto" w:fill="auto"/>
                  <w:tcMar>
                    <w:top w:w="0" w:type="dxa"/>
                    <w:left w:w="0" w:type="dxa"/>
                    <w:bottom w:w="0" w:type="dxa"/>
                    <w:right w:w="0" w:type="dxa"/>
                  </w:tcMar>
                  <w:vAlign w:val="center"/>
                </w:tcPr>
                <w:p w14:paraId="1AA2A36C">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705F09E">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228B1ED1">
                  <w:pPr>
                    <w:pStyle w:val="15"/>
                    <w:bidi w:val="0"/>
                    <w:rPr>
                      <w:rFonts w:hint="eastAsia"/>
                      <w:color w:val="auto"/>
                      <w:sz w:val="18"/>
                      <w:szCs w:val="18"/>
                    </w:rPr>
                  </w:pPr>
                  <w:r>
                    <w:rPr>
                      <w:rFonts w:hint="eastAsia"/>
                      <w:color w:val="auto"/>
                      <w:sz w:val="18"/>
                      <w:szCs w:val="18"/>
                      <w:lang w:val="en-US" w:eastAsia="zh-CN"/>
                    </w:rPr>
                    <w:t>0.05</w:t>
                  </w:r>
                </w:p>
              </w:tc>
              <w:tc>
                <w:tcPr>
                  <w:tcW w:w="220" w:type="pct"/>
                  <w:tcBorders>
                    <w:tl2br w:val="nil"/>
                    <w:tr2bl w:val="nil"/>
                  </w:tcBorders>
                  <w:shd w:val="clear" w:color="auto" w:fill="auto"/>
                  <w:tcMar>
                    <w:top w:w="0" w:type="dxa"/>
                    <w:left w:w="0" w:type="dxa"/>
                    <w:bottom w:w="0" w:type="dxa"/>
                    <w:right w:w="0" w:type="dxa"/>
                  </w:tcMar>
                  <w:vAlign w:val="center"/>
                </w:tcPr>
                <w:p w14:paraId="0E51DE12">
                  <w:pPr>
                    <w:pStyle w:val="15"/>
                    <w:bidi w:val="0"/>
                    <w:rPr>
                      <w:rFonts w:hint="eastAsia"/>
                      <w:color w:val="auto"/>
                      <w:sz w:val="18"/>
                      <w:szCs w:val="18"/>
                    </w:rPr>
                  </w:pPr>
                  <w:r>
                    <w:rPr>
                      <w:rFonts w:hint="eastAsia"/>
                      <w:color w:val="auto"/>
                      <w:sz w:val="18"/>
                      <w:szCs w:val="18"/>
                      <w:lang w:val="en-US" w:eastAsia="zh-CN"/>
                    </w:rPr>
                    <w:t>0.00</w:t>
                  </w:r>
                </w:p>
              </w:tc>
              <w:tc>
                <w:tcPr>
                  <w:tcW w:w="278" w:type="pct"/>
                  <w:tcBorders>
                    <w:tl2br w:val="nil"/>
                    <w:tr2bl w:val="nil"/>
                  </w:tcBorders>
                  <w:shd w:val="clear" w:color="auto" w:fill="auto"/>
                  <w:tcMar>
                    <w:top w:w="0" w:type="dxa"/>
                    <w:left w:w="0" w:type="dxa"/>
                    <w:bottom w:w="0" w:type="dxa"/>
                    <w:right w:w="0" w:type="dxa"/>
                  </w:tcMar>
                  <w:vAlign w:val="center"/>
                </w:tcPr>
                <w:p w14:paraId="7841A828">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8910BA5">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7A0292A8">
                  <w:pPr>
                    <w:pStyle w:val="15"/>
                    <w:bidi w:val="0"/>
                    <w:rPr>
                      <w:rFonts w:hint="eastAsia"/>
                      <w:color w:val="auto"/>
                      <w:sz w:val="18"/>
                      <w:szCs w:val="18"/>
                    </w:rPr>
                  </w:pPr>
                  <w:r>
                    <w:rPr>
                      <w:rFonts w:hint="eastAsia"/>
                      <w:color w:val="auto"/>
                      <w:sz w:val="18"/>
                      <w:szCs w:val="18"/>
                      <w:lang w:val="en-US" w:eastAsia="zh-CN"/>
                    </w:rPr>
                    <w:t>0.02</w:t>
                  </w:r>
                </w:p>
              </w:tc>
            </w:tr>
            <w:tr w14:paraId="470756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43BE757">
                  <w:pPr>
                    <w:pStyle w:val="15"/>
                    <w:bidi w:val="0"/>
                    <w:rPr>
                      <w:rFonts w:hint="eastAsia"/>
                      <w:color w:val="auto"/>
                      <w:sz w:val="18"/>
                      <w:szCs w:val="18"/>
                    </w:rPr>
                  </w:pPr>
                  <w:r>
                    <w:rPr>
                      <w:rFonts w:hint="eastAsia"/>
                      <w:color w:val="auto"/>
                      <w:sz w:val="18"/>
                      <w:szCs w:val="18"/>
                      <w:lang w:val="en-US" w:eastAsia="zh-CN"/>
                    </w:rPr>
                    <w:t>12</w:t>
                  </w:r>
                </w:p>
              </w:tc>
              <w:tc>
                <w:tcPr>
                  <w:tcW w:w="631" w:type="pct"/>
                  <w:tcBorders>
                    <w:tl2br w:val="nil"/>
                    <w:tr2bl w:val="nil"/>
                  </w:tcBorders>
                  <w:shd w:val="clear" w:color="auto" w:fill="auto"/>
                  <w:tcMar>
                    <w:top w:w="0" w:type="dxa"/>
                    <w:left w:w="0" w:type="dxa"/>
                    <w:bottom w:w="0" w:type="dxa"/>
                    <w:right w:w="0" w:type="dxa"/>
                  </w:tcMar>
                  <w:vAlign w:val="center"/>
                </w:tcPr>
                <w:p w14:paraId="24E379F7">
                  <w:pPr>
                    <w:pStyle w:val="15"/>
                    <w:bidi w:val="0"/>
                    <w:rPr>
                      <w:rFonts w:hint="eastAsia"/>
                      <w:color w:val="auto"/>
                      <w:sz w:val="18"/>
                      <w:szCs w:val="18"/>
                    </w:rPr>
                  </w:pPr>
                  <w:r>
                    <w:rPr>
                      <w:rFonts w:hint="eastAsia"/>
                      <w:color w:val="auto"/>
                      <w:sz w:val="18"/>
                      <w:szCs w:val="18"/>
                      <w:lang w:val="en-US" w:eastAsia="zh-CN"/>
                    </w:rPr>
                    <w:t>亚硝酸盐氮</w:t>
                  </w:r>
                </w:p>
              </w:tc>
              <w:tc>
                <w:tcPr>
                  <w:tcW w:w="465" w:type="pct"/>
                  <w:tcBorders>
                    <w:tl2br w:val="nil"/>
                    <w:tr2bl w:val="nil"/>
                  </w:tcBorders>
                  <w:shd w:val="clear" w:color="auto" w:fill="auto"/>
                  <w:tcMar>
                    <w:top w:w="0" w:type="dxa"/>
                    <w:left w:w="0" w:type="dxa"/>
                    <w:bottom w:w="0" w:type="dxa"/>
                    <w:right w:w="0" w:type="dxa"/>
                  </w:tcMar>
                  <w:vAlign w:val="center"/>
                </w:tcPr>
                <w:p w14:paraId="02F4F772">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36AA7EAE">
                  <w:pPr>
                    <w:pStyle w:val="15"/>
                    <w:bidi w:val="0"/>
                    <w:rPr>
                      <w:rFonts w:hint="eastAsia"/>
                      <w:color w:val="auto"/>
                      <w:sz w:val="18"/>
                      <w:szCs w:val="18"/>
                    </w:rPr>
                  </w:pPr>
                  <w:r>
                    <w:rPr>
                      <w:rFonts w:hint="eastAsia"/>
                      <w:color w:val="auto"/>
                      <w:sz w:val="18"/>
                      <w:szCs w:val="18"/>
                      <w:lang w:val="en-US" w:eastAsia="zh-CN"/>
                    </w:rPr>
                    <w:t>1</w:t>
                  </w:r>
                </w:p>
              </w:tc>
              <w:tc>
                <w:tcPr>
                  <w:tcW w:w="279" w:type="pct"/>
                  <w:tcBorders>
                    <w:tl2br w:val="nil"/>
                    <w:tr2bl w:val="nil"/>
                  </w:tcBorders>
                  <w:shd w:val="clear" w:color="auto" w:fill="auto"/>
                  <w:tcMar>
                    <w:top w:w="0" w:type="dxa"/>
                    <w:left w:w="0" w:type="dxa"/>
                    <w:bottom w:w="0" w:type="dxa"/>
                    <w:right w:w="0" w:type="dxa"/>
                  </w:tcMar>
                  <w:vAlign w:val="center"/>
                </w:tcPr>
                <w:p w14:paraId="1FCB6A7F">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2B5A4524">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163AA033">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4E024705">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77CABE9C">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1A11A141">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429401A2">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981611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52FD4C34">
                  <w:pPr>
                    <w:pStyle w:val="15"/>
                    <w:bidi w:val="0"/>
                    <w:rPr>
                      <w:rFonts w:hint="eastAsia"/>
                      <w:color w:val="auto"/>
                      <w:sz w:val="18"/>
                      <w:szCs w:val="18"/>
                    </w:rPr>
                  </w:pPr>
                  <w:r>
                    <w:rPr>
                      <w:rFonts w:hint="eastAsia"/>
                      <w:color w:val="auto"/>
                      <w:sz w:val="18"/>
                      <w:szCs w:val="18"/>
                      <w:lang w:val="en-US" w:eastAsia="zh-CN"/>
                    </w:rPr>
                    <w:t>0.003</w:t>
                  </w:r>
                </w:p>
              </w:tc>
              <w:tc>
                <w:tcPr>
                  <w:tcW w:w="220" w:type="pct"/>
                  <w:tcBorders>
                    <w:tl2br w:val="nil"/>
                    <w:tr2bl w:val="nil"/>
                  </w:tcBorders>
                  <w:shd w:val="clear" w:color="auto" w:fill="auto"/>
                  <w:tcMar>
                    <w:top w:w="0" w:type="dxa"/>
                    <w:left w:w="0" w:type="dxa"/>
                    <w:bottom w:w="0" w:type="dxa"/>
                    <w:right w:w="0" w:type="dxa"/>
                  </w:tcMar>
                  <w:vAlign w:val="center"/>
                </w:tcPr>
                <w:p w14:paraId="551AC28E">
                  <w:pPr>
                    <w:pStyle w:val="15"/>
                    <w:bidi w:val="0"/>
                    <w:rPr>
                      <w:rFonts w:hint="eastAsia"/>
                      <w:color w:val="auto"/>
                      <w:sz w:val="18"/>
                      <w:szCs w:val="18"/>
                    </w:rPr>
                  </w:pPr>
                  <w:r>
                    <w:rPr>
                      <w:rFonts w:hint="eastAsia"/>
                      <w:color w:val="auto"/>
                      <w:sz w:val="18"/>
                      <w:szCs w:val="18"/>
                      <w:lang w:val="en-US" w:eastAsia="zh-CN"/>
                    </w:rPr>
                    <w:t>0.00</w:t>
                  </w:r>
                </w:p>
              </w:tc>
              <w:tc>
                <w:tcPr>
                  <w:tcW w:w="278" w:type="pct"/>
                  <w:tcBorders>
                    <w:tl2br w:val="nil"/>
                    <w:tr2bl w:val="nil"/>
                  </w:tcBorders>
                  <w:shd w:val="clear" w:color="auto" w:fill="auto"/>
                  <w:tcMar>
                    <w:top w:w="0" w:type="dxa"/>
                    <w:left w:w="0" w:type="dxa"/>
                    <w:bottom w:w="0" w:type="dxa"/>
                    <w:right w:w="0" w:type="dxa"/>
                  </w:tcMar>
                  <w:vAlign w:val="center"/>
                </w:tcPr>
                <w:p w14:paraId="2DAC64A5">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E3E19E3">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51F302E0">
                  <w:pPr>
                    <w:pStyle w:val="15"/>
                    <w:bidi w:val="0"/>
                    <w:rPr>
                      <w:rFonts w:hint="eastAsia"/>
                      <w:color w:val="auto"/>
                      <w:sz w:val="18"/>
                      <w:szCs w:val="18"/>
                    </w:rPr>
                  </w:pPr>
                  <w:r>
                    <w:rPr>
                      <w:rFonts w:hint="eastAsia"/>
                      <w:color w:val="auto"/>
                      <w:sz w:val="18"/>
                      <w:szCs w:val="18"/>
                      <w:lang w:val="en-US" w:eastAsia="zh-CN"/>
                    </w:rPr>
                    <w:t>0.003</w:t>
                  </w:r>
                </w:p>
              </w:tc>
            </w:tr>
            <w:tr w14:paraId="071CD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575ED039">
                  <w:pPr>
                    <w:pStyle w:val="15"/>
                    <w:bidi w:val="0"/>
                    <w:rPr>
                      <w:rFonts w:hint="eastAsia"/>
                      <w:color w:val="auto"/>
                      <w:sz w:val="18"/>
                      <w:szCs w:val="18"/>
                    </w:rPr>
                  </w:pPr>
                  <w:r>
                    <w:rPr>
                      <w:rFonts w:hint="eastAsia"/>
                      <w:color w:val="auto"/>
                      <w:sz w:val="18"/>
                      <w:szCs w:val="18"/>
                      <w:lang w:val="en-US" w:eastAsia="zh-CN"/>
                    </w:rPr>
                    <w:t>13</w:t>
                  </w:r>
                </w:p>
              </w:tc>
              <w:tc>
                <w:tcPr>
                  <w:tcW w:w="631" w:type="pct"/>
                  <w:tcBorders>
                    <w:tl2br w:val="nil"/>
                    <w:tr2bl w:val="nil"/>
                  </w:tcBorders>
                  <w:shd w:val="clear" w:color="auto" w:fill="auto"/>
                  <w:tcMar>
                    <w:top w:w="0" w:type="dxa"/>
                    <w:left w:w="0" w:type="dxa"/>
                    <w:bottom w:w="0" w:type="dxa"/>
                    <w:right w:w="0" w:type="dxa"/>
                  </w:tcMar>
                  <w:vAlign w:val="center"/>
                </w:tcPr>
                <w:p w14:paraId="3422098E">
                  <w:pPr>
                    <w:pStyle w:val="15"/>
                    <w:bidi w:val="0"/>
                    <w:rPr>
                      <w:rFonts w:hint="eastAsia"/>
                      <w:color w:val="auto"/>
                      <w:sz w:val="18"/>
                      <w:szCs w:val="18"/>
                    </w:rPr>
                  </w:pPr>
                  <w:r>
                    <w:rPr>
                      <w:rFonts w:hint="eastAsia"/>
                      <w:color w:val="auto"/>
                      <w:sz w:val="18"/>
                      <w:szCs w:val="18"/>
                      <w:lang w:val="en-US" w:eastAsia="zh-CN"/>
                    </w:rPr>
                    <w:t>氰化物</w:t>
                  </w:r>
                </w:p>
              </w:tc>
              <w:tc>
                <w:tcPr>
                  <w:tcW w:w="465" w:type="pct"/>
                  <w:tcBorders>
                    <w:tl2br w:val="nil"/>
                    <w:tr2bl w:val="nil"/>
                  </w:tcBorders>
                  <w:shd w:val="clear" w:color="auto" w:fill="auto"/>
                  <w:tcMar>
                    <w:top w:w="0" w:type="dxa"/>
                    <w:left w:w="0" w:type="dxa"/>
                    <w:bottom w:w="0" w:type="dxa"/>
                    <w:right w:w="0" w:type="dxa"/>
                  </w:tcMar>
                  <w:vAlign w:val="center"/>
                </w:tcPr>
                <w:p w14:paraId="09E2F534">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37AB56BE">
                  <w:pPr>
                    <w:pStyle w:val="15"/>
                    <w:bidi w:val="0"/>
                    <w:rPr>
                      <w:rFonts w:hint="eastAsia"/>
                      <w:color w:val="auto"/>
                      <w:sz w:val="18"/>
                      <w:szCs w:val="18"/>
                    </w:rPr>
                  </w:pPr>
                  <w:r>
                    <w:rPr>
                      <w:rFonts w:hint="eastAsia"/>
                      <w:color w:val="auto"/>
                      <w:sz w:val="18"/>
                      <w:szCs w:val="18"/>
                      <w:lang w:val="en-US" w:eastAsia="zh-CN"/>
                    </w:rPr>
                    <w:t>0.05</w:t>
                  </w:r>
                </w:p>
              </w:tc>
              <w:tc>
                <w:tcPr>
                  <w:tcW w:w="279" w:type="pct"/>
                  <w:tcBorders>
                    <w:tl2br w:val="nil"/>
                    <w:tr2bl w:val="nil"/>
                  </w:tcBorders>
                  <w:shd w:val="clear" w:color="auto" w:fill="auto"/>
                  <w:tcMar>
                    <w:top w:w="0" w:type="dxa"/>
                    <w:left w:w="0" w:type="dxa"/>
                    <w:bottom w:w="0" w:type="dxa"/>
                    <w:right w:w="0" w:type="dxa"/>
                  </w:tcMar>
                  <w:vAlign w:val="center"/>
                </w:tcPr>
                <w:p w14:paraId="45DEB141">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8271E80">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29A0D9D">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748AC8E">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8D35336">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01ED17A5">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7BBF3944">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2093225">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1154377">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AE3EA89">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6B1E832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55474E8">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4561A4BA">
                  <w:pPr>
                    <w:pStyle w:val="15"/>
                    <w:bidi w:val="0"/>
                    <w:rPr>
                      <w:rFonts w:hint="eastAsia"/>
                      <w:color w:val="auto"/>
                      <w:sz w:val="18"/>
                      <w:szCs w:val="18"/>
                    </w:rPr>
                  </w:pPr>
                  <w:r>
                    <w:rPr>
                      <w:rFonts w:hint="eastAsia"/>
                      <w:color w:val="auto"/>
                      <w:sz w:val="18"/>
                      <w:szCs w:val="18"/>
                      <w:lang w:val="en-US" w:eastAsia="zh-CN"/>
                    </w:rPr>
                    <w:t>0.002</w:t>
                  </w:r>
                </w:p>
              </w:tc>
            </w:tr>
            <w:tr w14:paraId="05666C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12BD33E0">
                  <w:pPr>
                    <w:pStyle w:val="15"/>
                    <w:bidi w:val="0"/>
                    <w:rPr>
                      <w:rFonts w:hint="eastAsia"/>
                      <w:color w:val="auto"/>
                      <w:sz w:val="18"/>
                      <w:szCs w:val="18"/>
                    </w:rPr>
                  </w:pPr>
                  <w:r>
                    <w:rPr>
                      <w:rFonts w:hint="eastAsia"/>
                      <w:color w:val="auto"/>
                      <w:sz w:val="18"/>
                      <w:szCs w:val="18"/>
                      <w:lang w:val="en-US" w:eastAsia="zh-CN"/>
                    </w:rPr>
                    <w:t>14</w:t>
                  </w:r>
                </w:p>
              </w:tc>
              <w:tc>
                <w:tcPr>
                  <w:tcW w:w="631" w:type="pct"/>
                  <w:tcBorders>
                    <w:tl2br w:val="nil"/>
                    <w:tr2bl w:val="nil"/>
                  </w:tcBorders>
                  <w:shd w:val="clear" w:color="auto" w:fill="auto"/>
                  <w:tcMar>
                    <w:top w:w="0" w:type="dxa"/>
                    <w:left w:w="0" w:type="dxa"/>
                    <w:bottom w:w="0" w:type="dxa"/>
                    <w:right w:w="0" w:type="dxa"/>
                  </w:tcMar>
                  <w:vAlign w:val="center"/>
                </w:tcPr>
                <w:p w14:paraId="39F49B62">
                  <w:pPr>
                    <w:pStyle w:val="15"/>
                    <w:bidi w:val="0"/>
                    <w:rPr>
                      <w:rFonts w:hint="eastAsia"/>
                      <w:color w:val="auto"/>
                      <w:sz w:val="18"/>
                      <w:szCs w:val="18"/>
                    </w:rPr>
                  </w:pPr>
                  <w:r>
                    <w:rPr>
                      <w:rFonts w:hint="eastAsia"/>
                      <w:color w:val="auto"/>
                      <w:sz w:val="18"/>
                      <w:szCs w:val="18"/>
                      <w:lang w:val="en-US" w:eastAsia="zh-CN"/>
                    </w:rPr>
                    <w:t>六价铬</w:t>
                  </w:r>
                </w:p>
              </w:tc>
              <w:tc>
                <w:tcPr>
                  <w:tcW w:w="465" w:type="pct"/>
                  <w:tcBorders>
                    <w:tl2br w:val="nil"/>
                    <w:tr2bl w:val="nil"/>
                  </w:tcBorders>
                  <w:shd w:val="clear" w:color="auto" w:fill="auto"/>
                  <w:tcMar>
                    <w:top w:w="0" w:type="dxa"/>
                    <w:left w:w="0" w:type="dxa"/>
                    <w:bottom w:w="0" w:type="dxa"/>
                    <w:right w:w="0" w:type="dxa"/>
                  </w:tcMar>
                  <w:vAlign w:val="center"/>
                </w:tcPr>
                <w:p w14:paraId="507AB987">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20843498">
                  <w:pPr>
                    <w:pStyle w:val="15"/>
                    <w:bidi w:val="0"/>
                    <w:rPr>
                      <w:rFonts w:hint="eastAsia"/>
                      <w:color w:val="auto"/>
                      <w:sz w:val="18"/>
                      <w:szCs w:val="18"/>
                    </w:rPr>
                  </w:pPr>
                  <w:r>
                    <w:rPr>
                      <w:rFonts w:hint="eastAsia"/>
                      <w:color w:val="auto"/>
                      <w:sz w:val="18"/>
                      <w:szCs w:val="18"/>
                      <w:lang w:val="en-US" w:eastAsia="zh-CN"/>
                    </w:rPr>
                    <w:t>0.05</w:t>
                  </w:r>
                </w:p>
              </w:tc>
              <w:tc>
                <w:tcPr>
                  <w:tcW w:w="279" w:type="pct"/>
                  <w:tcBorders>
                    <w:tl2br w:val="nil"/>
                    <w:tr2bl w:val="nil"/>
                  </w:tcBorders>
                  <w:shd w:val="clear" w:color="auto" w:fill="auto"/>
                  <w:tcMar>
                    <w:top w:w="0" w:type="dxa"/>
                    <w:left w:w="0" w:type="dxa"/>
                    <w:bottom w:w="0" w:type="dxa"/>
                    <w:right w:w="0" w:type="dxa"/>
                  </w:tcMar>
                  <w:vAlign w:val="center"/>
                </w:tcPr>
                <w:p w14:paraId="0D0AE519">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7D16D503">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3CC780E5">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0FF72DD">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45D183C">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283CCF83">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4267FCC9">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A02F7E8">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22FEE42A">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712644B7">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9D55528">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6CCAAC3">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66D78484">
                  <w:pPr>
                    <w:pStyle w:val="15"/>
                    <w:bidi w:val="0"/>
                    <w:rPr>
                      <w:rFonts w:hint="eastAsia"/>
                      <w:color w:val="auto"/>
                      <w:sz w:val="18"/>
                      <w:szCs w:val="18"/>
                    </w:rPr>
                  </w:pPr>
                  <w:r>
                    <w:rPr>
                      <w:rFonts w:hint="eastAsia"/>
                      <w:color w:val="auto"/>
                      <w:sz w:val="18"/>
                      <w:szCs w:val="18"/>
                      <w:lang w:val="en-US" w:eastAsia="zh-CN"/>
                    </w:rPr>
                    <w:t>0.004</w:t>
                  </w:r>
                </w:p>
              </w:tc>
            </w:tr>
            <w:tr w14:paraId="2860F6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2E1398AA">
                  <w:pPr>
                    <w:pStyle w:val="15"/>
                    <w:bidi w:val="0"/>
                    <w:rPr>
                      <w:rFonts w:hint="eastAsia"/>
                      <w:color w:val="auto"/>
                      <w:sz w:val="18"/>
                      <w:szCs w:val="18"/>
                    </w:rPr>
                  </w:pPr>
                  <w:r>
                    <w:rPr>
                      <w:rFonts w:hint="eastAsia"/>
                      <w:color w:val="auto"/>
                      <w:sz w:val="18"/>
                      <w:szCs w:val="18"/>
                      <w:lang w:val="en-US" w:eastAsia="zh-CN"/>
                    </w:rPr>
                    <w:t>15</w:t>
                  </w:r>
                </w:p>
              </w:tc>
              <w:tc>
                <w:tcPr>
                  <w:tcW w:w="631" w:type="pct"/>
                  <w:tcBorders>
                    <w:tl2br w:val="nil"/>
                    <w:tr2bl w:val="nil"/>
                  </w:tcBorders>
                  <w:shd w:val="clear" w:color="auto" w:fill="auto"/>
                  <w:tcMar>
                    <w:top w:w="0" w:type="dxa"/>
                    <w:left w:w="0" w:type="dxa"/>
                    <w:bottom w:w="0" w:type="dxa"/>
                    <w:right w:w="0" w:type="dxa"/>
                  </w:tcMar>
                  <w:vAlign w:val="center"/>
                </w:tcPr>
                <w:p w14:paraId="331419B8">
                  <w:pPr>
                    <w:pStyle w:val="15"/>
                    <w:bidi w:val="0"/>
                    <w:rPr>
                      <w:rFonts w:hint="eastAsia"/>
                      <w:color w:val="auto"/>
                      <w:sz w:val="18"/>
                      <w:szCs w:val="18"/>
                    </w:rPr>
                  </w:pPr>
                  <w:r>
                    <w:rPr>
                      <w:rFonts w:hint="eastAsia"/>
                      <w:color w:val="auto"/>
                      <w:sz w:val="18"/>
                      <w:szCs w:val="18"/>
                      <w:lang w:val="en-US" w:eastAsia="zh-CN"/>
                    </w:rPr>
                    <w:t>氟化物</w:t>
                  </w:r>
                </w:p>
              </w:tc>
              <w:tc>
                <w:tcPr>
                  <w:tcW w:w="465" w:type="pct"/>
                  <w:tcBorders>
                    <w:tl2br w:val="nil"/>
                    <w:tr2bl w:val="nil"/>
                  </w:tcBorders>
                  <w:shd w:val="clear" w:color="auto" w:fill="auto"/>
                  <w:tcMar>
                    <w:top w:w="0" w:type="dxa"/>
                    <w:left w:w="0" w:type="dxa"/>
                    <w:bottom w:w="0" w:type="dxa"/>
                    <w:right w:w="0" w:type="dxa"/>
                  </w:tcMar>
                  <w:vAlign w:val="center"/>
                </w:tcPr>
                <w:p w14:paraId="4A55C620">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54B398B9">
                  <w:pPr>
                    <w:pStyle w:val="15"/>
                    <w:bidi w:val="0"/>
                    <w:rPr>
                      <w:rFonts w:hint="eastAsia"/>
                      <w:color w:val="auto"/>
                      <w:sz w:val="18"/>
                      <w:szCs w:val="18"/>
                    </w:rPr>
                  </w:pPr>
                  <w:r>
                    <w:rPr>
                      <w:rFonts w:hint="eastAsia"/>
                      <w:color w:val="auto"/>
                      <w:sz w:val="18"/>
                      <w:szCs w:val="18"/>
                      <w:lang w:val="en-US" w:eastAsia="zh-CN"/>
                    </w:rPr>
                    <w:t>1</w:t>
                  </w:r>
                </w:p>
              </w:tc>
              <w:tc>
                <w:tcPr>
                  <w:tcW w:w="279" w:type="pct"/>
                  <w:tcBorders>
                    <w:tl2br w:val="nil"/>
                    <w:tr2bl w:val="nil"/>
                  </w:tcBorders>
                  <w:shd w:val="clear" w:color="auto" w:fill="auto"/>
                  <w:tcMar>
                    <w:top w:w="0" w:type="dxa"/>
                    <w:left w:w="0" w:type="dxa"/>
                    <w:bottom w:w="0" w:type="dxa"/>
                    <w:right w:w="0" w:type="dxa"/>
                  </w:tcMar>
                  <w:vAlign w:val="center"/>
                </w:tcPr>
                <w:p w14:paraId="09C5C477">
                  <w:pPr>
                    <w:pStyle w:val="15"/>
                    <w:bidi w:val="0"/>
                    <w:rPr>
                      <w:rFonts w:hint="eastAsia"/>
                      <w:color w:val="auto"/>
                      <w:sz w:val="18"/>
                      <w:szCs w:val="18"/>
                    </w:rPr>
                  </w:pPr>
                  <w:r>
                    <w:rPr>
                      <w:rFonts w:hint="eastAsia"/>
                      <w:color w:val="auto"/>
                      <w:sz w:val="18"/>
                      <w:szCs w:val="18"/>
                      <w:lang w:val="en-US" w:eastAsia="zh-CN"/>
                    </w:rPr>
                    <w:t>1.52</w:t>
                  </w:r>
                </w:p>
              </w:tc>
              <w:tc>
                <w:tcPr>
                  <w:tcW w:w="220" w:type="pct"/>
                  <w:tcBorders>
                    <w:tl2br w:val="nil"/>
                    <w:tr2bl w:val="nil"/>
                  </w:tcBorders>
                  <w:shd w:val="clear" w:color="auto" w:fill="auto"/>
                  <w:tcMar>
                    <w:top w:w="0" w:type="dxa"/>
                    <w:left w:w="0" w:type="dxa"/>
                    <w:bottom w:w="0" w:type="dxa"/>
                    <w:right w:w="0" w:type="dxa"/>
                  </w:tcMar>
                  <w:vAlign w:val="center"/>
                </w:tcPr>
                <w:p w14:paraId="4193353D">
                  <w:pPr>
                    <w:pStyle w:val="15"/>
                    <w:bidi w:val="0"/>
                    <w:rPr>
                      <w:rFonts w:hint="eastAsia"/>
                      <w:color w:val="auto"/>
                      <w:sz w:val="18"/>
                      <w:szCs w:val="18"/>
                    </w:rPr>
                  </w:pPr>
                  <w:r>
                    <w:rPr>
                      <w:rFonts w:hint="eastAsia"/>
                      <w:color w:val="auto"/>
                      <w:sz w:val="18"/>
                      <w:szCs w:val="18"/>
                      <w:lang w:val="en-US" w:eastAsia="zh-CN"/>
                    </w:rPr>
                    <w:t>1.52</w:t>
                  </w:r>
                </w:p>
              </w:tc>
              <w:tc>
                <w:tcPr>
                  <w:tcW w:w="278" w:type="pct"/>
                  <w:tcBorders>
                    <w:tl2br w:val="nil"/>
                    <w:tr2bl w:val="nil"/>
                  </w:tcBorders>
                  <w:shd w:val="clear" w:color="auto" w:fill="auto"/>
                  <w:tcMar>
                    <w:top w:w="0" w:type="dxa"/>
                    <w:left w:w="0" w:type="dxa"/>
                    <w:bottom w:w="0" w:type="dxa"/>
                    <w:right w:w="0" w:type="dxa"/>
                  </w:tcMar>
                  <w:vAlign w:val="center"/>
                </w:tcPr>
                <w:p w14:paraId="2E7AC05B">
                  <w:pPr>
                    <w:pStyle w:val="15"/>
                    <w:bidi w:val="0"/>
                    <w:rPr>
                      <w:rFonts w:hint="eastAsia"/>
                      <w:color w:val="auto"/>
                      <w:sz w:val="18"/>
                      <w:szCs w:val="18"/>
                    </w:rPr>
                  </w:pPr>
                  <w:r>
                    <w:rPr>
                      <w:rFonts w:hint="eastAsia"/>
                      <w:color w:val="auto"/>
                      <w:sz w:val="18"/>
                      <w:szCs w:val="18"/>
                      <w:lang w:val="en-US" w:eastAsia="zh-CN"/>
                    </w:rPr>
                    <w:t>52%</w:t>
                  </w:r>
                </w:p>
              </w:tc>
              <w:tc>
                <w:tcPr>
                  <w:tcW w:w="279" w:type="pct"/>
                  <w:tcBorders>
                    <w:tl2br w:val="nil"/>
                    <w:tr2bl w:val="nil"/>
                  </w:tcBorders>
                  <w:shd w:val="clear" w:color="auto" w:fill="auto"/>
                  <w:tcMar>
                    <w:top w:w="0" w:type="dxa"/>
                    <w:left w:w="0" w:type="dxa"/>
                    <w:bottom w:w="0" w:type="dxa"/>
                    <w:right w:w="0" w:type="dxa"/>
                  </w:tcMar>
                  <w:vAlign w:val="center"/>
                </w:tcPr>
                <w:p w14:paraId="77933897">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3A574A8C">
                  <w:pPr>
                    <w:pStyle w:val="15"/>
                    <w:bidi w:val="0"/>
                    <w:rPr>
                      <w:rFonts w:hint="eastAsia"/>
                      <w:color w:val="auto"/>
                      <w:sz w:val="18"/>
                      <w:szCs w:val="18"/>
                    </w:rPr>
                  </w:pPr>
                  <w:r>
                    <w:rPr>
                      <w:rFonts w:hint="eastAsia"/>
                      <w:color w:val="auto"/>
                      <w:sz w:val="18"/>
                      <w:szCs w:val="18"/>
                      <w:lang w:val="en-US" w:eastAsia="zh-CN"/>
                    </w:rPr>
                    <w:t>1.57</w:t>
                  </w:r>
                </w:p>
              </w:tc>
              <w:tc>
                <w:tcPr>
                  <w:tcW w:w="200" w:type="pct"/>
                  <w:tcBorders>
                    <w:tl2br w:val="nil"/>
                    <w:tr2bl w:val="nil"/>
                  </w:tcBorders>
                  <w:shd w:val="clear" w:color="auto" w:fill="auto"/>
                  <w:tcMar>
                    <w:top w:w="0" w:type="dxa"/>
                    <w:left w:w="0" w:type="dxa"/>
                    <w:bottom w:w="0" w:type="dxa"/>
                    <w:right w:w="0" w:type="dxa"/>
                  </w:tcMar>
                  <w:vAlign w:val="center"/>
                </w:tcPr>
                <w:p w14:paraId="2107CF91">
                  <w:pPr>
                    <w:pStyle w:val="15"/>
                    <w:bidi w:val="0"/>
                    <w:rPr>
                      <w:rFonts w:hint="eastAsia"/>
                      <w:color w:val="auto"/>
                      <w:sz w:val="18"/>
                      <w:szCs w:val="18"/>
                    </w:rPr>
                  </w:pPr>
                  <w:r>
                    <w:rPr>
                      <w:rFonts w:hint="eastAsia"/>
                      <w:color w:val="auto"/>
                      <w:sz w:val="18"/>
                      <w:szCs w:val="18"/>
                      <w:lang w:val="en-US" w:eastAsia="zh-CN"/>
                    </w:rPr>
                    <w:t>1.57</w:t>
                  </w:r>
                </w:p>
              </w:tc>
              <w:tc>
                <w:tcPr>
                  <w:tcW w:w="238" w:type="pct"/>
                  <w:tcBorders>
                    <w:tl2br w:val="nil"/>
                    <w:tr2bl w:val="nil"/>
                  </w:tcBorders>
                  <w:shd w:val="clear" w:color="auto" w:fill="auto"/>
                  <w:tcMar>
                    <w:top w:w="0" w:type="dxa"/>
                    <w:left w:w="0" w:type="dxa"/>
                    <w:bottom w:w="0" w:type="dxa"/>
                    <w:right w:w="0" w:type="dxa"/>
                  </w:tcMar>
                  <w:vAlign w:val="center"/>
                </w:tcPr>
                <w:p w14:paraId="211CB92D">
                  <w:pPr>
                    <w:pStyle w:val="15"/>
                    <w:bidi w:val="0"/>
                    <w:rPr>
                      <w:rFonts w:hint="eastAsia"/>
                      <w:color w:val="auto"/>
                      <w:sz w:val="18"/>
                      <w:szCs w:val="18"/>
                    </w:rPr>
                  </w:pPr>
                  <w:r>
                    <w:rPr>
                      <w:rFonts w:hint="eastAsia"/>
                      <w:color w:val="auto"/>
                      <w:sz w:val="18"/>
                      <w:szCs w:val="18"/>
                      <w:lang w:val="en-US" w:eastAsia="zh-CN"/>
                    </w:rPr>
                    <w:t>57%</w:t>
                  </w:r>
                </w:p>
              </w:tc>
              <w:tc>
                <w:tcPr>
                  <w:tcW w:w="279" w:type="pct"/>
                  <w:tcBorders>
                    <w:tl2br w:val="nil"/>
                    <w:tr2bl w:val="nil"/>
                  </w:tcBorders>
                  <w:shd w:val="clear" w:color="auto" w:fill="auto"/>
                  <w:tcMar>
                    <w:top w:w="0" w:type="dxa"/>
                    <w:left w:w="0" w:type="dxa"/>
                    <w:bottom w:w="0" w:type="dxa"/>
                    <w:right w:w="0" w:type="dxa"/>
                  </w:tcMar>
                  <w:vAlign w:val="center"/>
                </w:tcPr>
                <w:p w14:paraId="4EC39929">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381A0BF6">
                  <w:pPr>
                    <w:pStyle w:val="15"/>
                    <w:bidi w:val="0"/>
                    <w:rPr>
                      <w:rFonts w:hint="eastAsia"/>
                      <w:color w:val="auto"/>
                      <w:sz w:val="18"/>
                      <w:szCs w:val="18"/>
                    </w:rPr>
                  </w:pPr>
                  <w:r>
                    <w:rPr>
                      <w:rFonts w:hint="eastAsia"/>
                      <w:color w:val="auto"/>
                      <w:sz w:val="18"/>
                      <w:szCs w:val="18"/>
                      <w:lang w:val="en-US" w:eastAsia="zh-CN"/>
                    </w:rPr>
                    <w:t>1.54</w:t>
                  </w:r>
                </w:p>
              </w:tc>
              <w:tc>
                <w:tcPr>
                  <w:tcW w:w="220" w:type="pct"/>
                  <w:tcBorders>
                    <w:tl2br w:val="nil"/>
                    <w:tr2bl w:val="nil"/>
                  </w:tcBorders>
                  <w:shd w:val="clear" w:color="auto" w:fill="auto"/>
                  <w:tcMar>
                    <w:top w:w="0" w:type="dxa"/>
                    <w:left w:w="0" w:type="dxa"/>
                    <w:bottom w:w="0" w:type="dxa"/>
                    <w:right w:w="0" w:type="dxa"/>
                  </w:tcMar>
                  <w:vAlign w:val="center"/>
                </w:tcPr>
                <w:p w14:paraId="5E3D0F3B">
                  <w:pPr>
                    <w:pStyle w:val="15"/>
                    <w:bidi w:val="0"/>
                    <w:rPr>
                      <w:rFonts w:hint="eastAsia"/>
                      <w:color w:val="auto"/>
                      <w:sz w:val="18"/>
                      <w:szCs w:val="18"/>
                    </w:rPr>
                  </w:pPr>
                  <w:r>
                    <w:rPr>
                      <w:rFonts w:hint="eastAsia"/>
                      <w:color w:val="auto"/>
                      <w:sz w:val="18"/>
                      <w:szCs w:val="18"/>
                      <w:lang w:val="en-US" w:eastAsia="zh-CN"/>
                    </w:rPr>
                    <w:t>1.54</w:t>
                  </w:r>
                </w:p>
              </w:tc>
              <w:tc>
                <w:tcPr>
                  <w:tcW w:w="278" w:type="pct"/>
                  <w:tcBorders>
                    <w:tl2br w:val="nil"/>
                    <w:tr2bl w:val="nil"/>
                  </w:tcBorders>
                  <w:shd w:val="clear" w:color="auto" w:fill="auto"/>
                  <w:tcMar>
                    <w:top w:w="0" w:type="dxa"/>
                    <w:left w:w="0" w:type="dxa"/>
                    <w:bottom w:w="0" w:type="dxa"/>
                    <w:right w:w="0" w:type="dxa"/>
                  </w:tcMar>
                  <w:vAlign w:val="center"/>
                </w:tcPr>
                <w:p w14:paraId="74487F3B">
                  <w:pPr>
                    <w:pStyle w:val="15"/>
                    <w:bidi w:val="0"/>
                    <w:rPr>
                      <w:rFonts w:hint="eastAsia"/>
                      <w:color w:val="auto"/>
                      <w:sz w:val="18"/>
                      <w:szCs w:val="18"/>
                    </w:rPr>
                  </w:pPr>
                  <w:r>
                    <w:rPr>
                      <w:rFonts w:hint="eastAsia"/>
                      <w:color w:val="auto"/>
                      <w:sz w:val="18"/>
                      <w:szCs w:val="18"/>
                      <w:lang w:val="en-US" w:eastAsia="zh-CN"/>
                    </w:rPr>
                    <w:t>54%</w:t>
                  </w:r>
                </w:p>
              </w:tc>
              <w:tc>
                <w:tcPr>
                  <w:tcW w:w="279" w:type="pct"/>
                  <w:tcBorders>
                    <w:tl2br w:val="nil"/>
                    <w:tr2bl w:val="nil"/>
                  </w:tcBorders>
                  <w:shd w:val="clear" w:color="auto" w:fill="auto"/>
                  <w:tcMar>
                    <w:top w:w="0" w:type="dxa"/>
                    <w:left w:w="0" w:type="dxa"/>
                    <w:bottom w:w="0" w:type="dxa"/>
                    <w:right w:w="0" w:type="dxa"/>
                  </w:tcMar>
                  <w:vAlign w:val="center"/>
                </w:tcPr>
                <w:p w14:paraId="0042AC0F">
                  <w:pPr>
                    <w:pStyle w:val="15"/>
                    <w:bidi w:val="0"/>
                    <w:rPr>
                      <w:rFonts w:hint="eastAsia"/>
                      <w:color w:val="auto"/>
                      <w:sz w:val="18"/>
                      <w:szCs w:val="18"/>
                    </w:rPr>
                  </w:pPr>
                  <w:r>
                    <w:rPr>
                      <w:rFonts w:hint="eastAsia"/>
                      <w:color w:val="auto"/>
                      <w:sz w:val="18"/>
                      <w:szCs w:val="18"/>
                      <w:lang w:val="en-US" w:eastAsia="zh-CN"/>
                    </w:rPr>
                    <w:t>不达标</w:t>
                  </w:r>
                </w:p>
              </w:tc>
              <w:tc>
                <w:tcPr>
                  <w:tcW w:w="305" w:type="pct"/>
                  <w:tcBorders>
                    <w:tl2br w:val="nil"/>
                    <w:tr2bl w:val="nil"/>
                  </w:tcBorders>
                  <w:shd w:val="clear" w:color="auto" w:fill="auto"/>
                  <w:tcMar>
                    <w:top w:w="0" w:type="dxa"/>
                    <w:left w:w="0" w:type="dxa"/>
                    <w:bottom w:w="0" w:type="dxa"/>
                    <w:right w:w="0" w:type="dxa"/>
                  </w:tcMar>
                  <w:vAlign w:val="center"/>
                </w:tcPr>
                <w:p w14:paraId="5E0ABEE1">
                  <w:pPr>
                    <w:pStyle w:val="15"/>
                    <w:bidi w:val="0"/>
                    <w:rPr>
                      <w:rFonts w:hint="eastAsia"/>
                      <w:color w:val="auto"/>
                      <w:sz w:val="18"/>
                      <w:szCs w:val="18"/>
                    </w:rPr>
                  </w:pPr>
                  <w:r>
                    <w:rPr>
                      <w:rFonts w:hint="eastAsia"/>
                      <w:color w:val="auto"/>
                      <w:sz w:val="18"/>
                      <w:szCs w:val="18"/>
                      <w:lang w:val="en-US" w:eastAsia="zh-CN"/>
                    </w:rPr>
                    <w:t>0.02</w:t>
                  </w:r>
                </w:p>
              </w:tc>
            </w:tr>
            <w:tr w14:paraId="460D9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6988D3EF">
                  <w:pPr>
                    <w:pStyle w:val="15"/>
                    <w:bidi w:val="0"/>
                    <w:rPr>
                      <w:rFonts w:hint="eastAsia"/>
                      <w:color w:val="auto"/>
                      <w:sz w:val="18"/>
                      <w:szCs w:val="18"/>
                    </w:rPr>
                  </w:pPr>
                  <w:r>
                    <w:rPr>
                      <w:rFonts w:hint="eastAsia"/>
                      <w:color w:val="auto"/>
                      <w:sz w:val="18"/>
                      <w:szCs w:val="18"/>
                      <w:lang w:val="en-US" w:eastAsia="zh-CN"/>
                    </w:rPr>
                    <w:t>16</w:t>
                  </w:r>
                </w:p>
              </w:tc>
              <w:tc>
                <w:tcPr>
                  <w:tcW w:w="631" w:type="pct"/>
                  <w:tcBorders>
                    <w:tl2br w:val="nil"/>
                    <w:tr2bl w:val="nil"/>
                  </w:tcBorders>
                  <w:shd w:val="clear" w:color="auto" w:fill="auto"/>
                  <w:tcMar>
                    <w:top w:w="0" w:type="dxa"/>
                    <w:left w:w="0" w:type="dxa"/>
                    <w:bottom w:w="0" w:type="dxa"/>
                    <w:right w:w="0" w:type="dxa"/>
                  </w:tcMar>
                  <w:vAlign w:val="center"/>
                </w:tcPr>
                <w:p w14:paraId="7D382E48">
                  <w:pPr>
                    <w:pStyle w:val="15"/>
                    <w:bidi w:val="0"/>
                    <w:rPr>
                      <w:rFonts w:hint="eastAsia"/>
                      <w:color w:val="auto"/>
                      <w:sz w:val="18"/>
                      <w:szCs w:val="18"/>
                    </w:rPr>
                  </w:pPr>
                  <w:r>
                    <w:rPr>
                      <w:rFonts w:hint="eastAsia"/>
                      <w:color w:val="auto"/>
                      <w:sz w:val="18"/>
                      <w:szCs w:val="18"/>
                      <w:lang w:val="en-US" w:eastAsia="zh-CN"/>
                    </w:rPr>
                    <w:t>挥发酚</w:t>
                  </w:r>
                </w:p>
              </w:tc>
              <w:tc>
                <w:tcPr>
                  <w:tcW w:w="465" w:type="pct"/>
                  <w:tcBorders>
                    <w:tl2br w:val="nil"/>
                    <w:tr2bl w:val="nil"/>
                  </w:tcBorders>
                  <w:shd w:val="clear" w:color="auto" w:fill="auto"/>
                  <w:tcMar>
                    <w:top w:w="0" w:type="dxa"/>
                    <w:left w:w="0" w:type="dxa"/>
                    <w:bottom w:w="0" w:type="dxa"/>
                    <w:right w:w="0" w:type="dxa"/>
                  </w:tcMar>
                  <w:vAlign w:val="center"/>
                </w:tcPr>
                <w:p w14:paraId="1815C5A7">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16191545">
                  <w:pPr>
                    <w:pStyle w:val="15"/>
                    <w:bidi w:val="0"/>
                    <w:rPr>
                      <w:rFonts w:hint="eastAsia"/>
                      <w:color w:val="auto"/>
                      <w:sz w:val="18"/>
                      <w:szCs w:val="18"/>
                    </w:rPr>
                  </w:pPr>
                  <w:r>
                    <w:rPr>
                      <w:rFonts w:hint="eastAsia"/>
                      <w:color w:val="auto"/>
                      <w:sz w:val="18"/>
                      <w:szCs w:val="18"/>
                      <w:lang w:val="en-US" w:eastAsia="zh-CN"/>
                    </w:rPr>
                    <w:t>0.002</w:t>
                  </w:r>
                </w:p>
              </w:tc>
              <w:tc>
                <w:tcPr>
                  <w:tcW w:w="279" w:type="pct"/>
                  <w:tcBorders>
                    <w:tl2br w:val="nil"/>
                    <w:tr2bl w:val="nil"/>
                  </w:tcBorders>
                  <w:shd w:val="clear" w:color="auto" w:fill="auto"/>
                  <w:tcMar>
                    <w:top w:w="0" w:type="dxa"/>
                    <w:left w:w="0" w:type="dxa"/>
                    <w:bottom w:w="0" w:type="dxa"/>
                    <w:right w:w="0" w:type="dxa"/>
                  </w:tcMar>
                  <w:vAlign w:val="center"/>
                </w:tcPr>
                <w:p w14:paraId="3ED1C0B1">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05F524A">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14625DD9">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CF88B72">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00DDB78">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7306C3FF">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038AAB5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2431D38">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122B23C">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6CC2EDBB">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08DC597">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1BA3D19">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0787E2DD">
                  <w:pPr>
                    <w:pStyle w:val="15"/>
                    <w:bidi w:val="0"/>
                    <w:rPr>
                      <w:rFonts w:hint="eastAsia"/>
                      <w:color w:val="auto"/>
                      <w:sz w:val="18"/>
                      <w:szCs w:val="18"/>
                    </w:rPr>
                  </w:pPr>
                  <w:r>
                    <w:rPr>
                      <w:rFonts w:hint="eastAsia"/>
                      <w:color w:val="auto"/>
                      <w:sz w:val="18"/>
                      <w:szCs w:val="18"/>
                      <w:lang w:val="en-US" w:eastAsia="zh-CN"/>
                    </w:rPr>
                    <w:t>0.0003</w:t>
                  </w:r>
                </w:p>
              </w:tc>
            </w:tr>
            <w:tr w14:paraId="2D74A7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333FA22">
                  <w:pPr>
                    <w:pStyle w:val="15"/>
                    <w:bidi w:val="0"/>
                    <w:rPr>
                      <w:rFonts w:hint="eastAsia"/>
                      <w:color w:val="auto"/>
                      <w:sz w:val="18"/>
                      <w:szCs w:val="18"/>
                    </w:rPr>
                  </w:pPr>
                  <w:r>
                    <w:rPr>
                      <w:rFonts w:hint="eastAsia"/>
                      <w:color w:val="auto"/>
                      <w:sz w:val="18"/>
                      <w:szCs w:val="18"/>
                      <w:lang w:val="en-US" w:eastAsia="zh-CN"/>
                    </w:rPr>
                    <w:t>17</w:t>
                  </w:r>
                </w:p>
              </w:tc>
              <w:tc>
                <w:tcPr>
                  <w:tcW w:w="631" w:type="pct"/>
                  <w:tcBorders>
                    <w:tl2br w:val="nil"/>
                    <w:tr2bl w:val="nil"/>
                  </w:tcBorders>
                  <w:shd w:val="clear" w:color="auto" w:fill="auto"/>
                  <w:tcMar>
                    <w:top w:w="0" w:type="dxa"/>
                    <w:left w:w="0" w:type="dxa"/>
                    <w:bottom w:w="0" w:type="dxa"/>
                    <w:right w:w="0" w:type="dxa"/>
                  </w:tcMar>
                  <w:vAlign w:val="center"/>
                </w:tcPr>
                <w:p w14:paraId="54B66904">
                  <w:pPr>
                    <w:pStyle w:val="15"/>
                    <w:bidi w:val="0"/>
                    <w:rPr>
                      <w:rFonts w:hint="eastAsia"/>
                      <w:color w:val="auto"/>
                      <w:sz w:val="18"/>
                      <w:szCs w:val="18"/>
                    </w:rPr>
                  </w:pPr>
                  <w:r>
                    <w:rPr>
                      <w:rFonts w:hint="eastAsia"/>
                      <w:color w:val="auto"/>
                      <w:sz w:val="18"/>
                      <w:szCs w:val="18"/>
                      <w:lang w:val="en-US" w:eastAsia="zh-CN"/>
                    </w:rPr>
                    <w:t>硫化物</w:t>
                  </w:r>
                </w:p>
              </w:tc>
              <w:tc>
                <w:tcPr>
                  <w:tcW w:w="465" w:type="pct"/>
                  <w:tcBorders>
                    <w:tl2br w:val="nil"/>
                    <w:tr2bl w:val="nil"/>
                  </w:tcBorders>
                  <w:shd w:val="clear" w:color="auto" w:fill="auto"/>
                  <w:tcMar>
                    <w:top w:w="0" w:type="dxa"/>
                    <w:left w:w="0" w:type="dxa"/>
                    <w:bottom w:w="0" w:type="dxa"/>
                    <w:right w:w="0" w:type="dxa"/>
                  </w:tcMar>
                  <w:vAlign w:val="center"/>
                </w:tcPr>
                <w:p w14:paraId="6FEEB967">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33B68420">
                  <w:pPr>
                    <w:pStyle w:val="15"/>
                    <w:bidi w:val="0"/>
                    <w:rPr>
                      <w:rFonts w:hint="eastAsia"/>
                      <w:color w:val="auto"/>
                      <w:sz w:val="18"/>
                      <w:szCs w:val="18"/>
                    </w:rPr>
                  </w:pPr>
                  <w:r>
                    <w:rPr>
                      <w:rFonts w:hint="eastAsia"/>
                      <w:color w:val="auto"/>
                      <w:sz w:val="18"/>
                      <w:szCs w:val="18"/>
                      <w:lang w:val="en-US" w:eastAsia="zh-CN"/>
                    </w:rPr>
                    <w:t>0.02</w:t>
                  </w:r>
                </w:p>
              </w:tc>
              <w:tc>
                <w:tcPr>
                  <w:tcW w:w="279" w:type="pct"/>
                  <w:tcBorders>
                    <w:tl2br w:val="nil"/>
                    <w:tr2bl w:val="nil"/>
                  </w:tcBorders>
                  <w:shd w:val="clear" w:color="auto" w:fill="auto"/>
                  <w:tcMar>
                    <w:top w:w="0" w:type="dxa"/>
                    <w:left w:w="0" w:type="dxa"/>
                    <w:bottom w:w="0" w:type="dxa"/>
                    <w:right w:w="0" w:type="dxa"/>
                  </w:tcMar>
                  <w:vAlign w:val="center"/>
                </w:tcPr>
                <w:p w14:paraId="4547B1FB">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110A91C0">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1D9029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4BED012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7588A6E0">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3DCD1D5B">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5B5A214C">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C9E146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8CE071C">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9AEE498">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CF65020">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CCB79D8">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67BC935F">
                  <w:pPr>
                    <w:pStyle w:val="15"/>
                    <w:bidi w:val="0"/>
                    <w:rPr>
                      <w:rFonts w:hint="eastAsia"/>
                      <w:color w:val="auto"/>
                      <w:sz w:val="18"/>
                      <w:szCs w:val="18"/>
                    </w:rPr>
                  </w:pPr>
                  <w:r>
                    <w:rPr>
                      <w:rFonts w:hint="eastAsia"/>
                      <w:color w:val="auto"/>
                      <w:sz w:val="18"/>
                      <w:szCs w:val="18"/>
                      <w:lang w:val="en-US" w:eastAsia="zh-CN"/>
                    </w:rPr>
                    <w:t>0.003</w:t>
                  </w:r>
                </w:p>
              </w:tc>
            </w:tr>
            <w:tr w14:paraId="12C3B3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397E268">
                  <w:pPr>
                    <w:pStyle w:val="15"/>
                    <w:bidi w:val="0"/>
                    <w:rPr>
                      <w:rFonts w:hint="eastAsia"/>
                      <w:color w:val="auto"/>
                      <w:sz w:val="18"/>
                      <w:szCs w:val="18"/>
                    </w:rPr>
                  </w:pPr>
                  <w:r>
                    <w:rPr>
                      <w:rFonts w:hint="eastAsia"/>
                      <w:color w:val="auto"/>
                      <w:sz w:val="18"/>
                      <w:szCs w:val="18"/>
                      <w:lang w:val="en-US" w:eastAsia="zh-CN"/>
                    </w:rPr>
                    <w:t>18</w:t>
                  </w:r>
                </w:p>
              </w:tc>
              <w:tc>
                <w:tcPr>
                  <w:tcW w:w="631" w:type="pct"/>
                  <w:tcBorders>
                    <w:tl2br w:val="nil"/>
                    <w:tr2bl w:val="nil"/>
                  </w:tcBorders>
                  <w:shd w:val="clear" w:color="auto" w:fill="auto"/>
                  <w:tcMar>
                    <w:top w:w="0" w:type="dxa"/>
                    <w:left w:w="0" w:type="dxa"/>
                    <w:bottom w:w="0" w:type="dxa"/>
                    <w:right w:w="0" w:type="dxa"/>
                  </w:tcMar>
                  <w:vAlign w:val="center"/>
                </w:tcPr>
                <w:p w14:paraId="4AFADA58">
                  <w:pPr>
                    <w:pStyle w:val="15"/>
                    <w:bidi w:val="0"/>
                    <w:rPr>
                      <w:rFonts w:hint="eastAsia"/>
                      <w:color w:val="auto"/>
                      <w:sz w:val="18"/>
                      <w:szCs w:val="18"/>
                    </w:rPr>
                  </w:pPr>
                  <w:r>
                    <w:rPr>
                      <w:rFonts w:hint="eastAsia"/>
                      <w:color w:val="auto"/>
                      <w:sz w:val="18"/>
                      <w:szCs w:val="18"/>
                      <w:lang w:val="en-US" w:eastAsia="zh-CN"/>
                    </w:rPr>
                    <w:t>硫酸盐</w:t>
                  </w:r>
                </w:p>
              </w:tc>
              <w:tc>
                <w:tcPr>
                  <w:tcW w:w="465" w:type="pct"/>
                  <w:tcBorders>
                    <w:tl2br w:val="nil"/>
                    <w:tr2bl w:val="nil"/>
                  </w:tcBorders>
                  <w:shd w:val="clear" w:color="auto" w:fill="auto"/>
                  <w:tcMar>
                    <w:top w:w="0" w:type="dxa"/>
                    <w:left w:w="0" w:type="dxa"/>
                    <w:bottom w:w="0" w:type="dxa"/>
                    <w:right w:w="0" w:type="dxa"/>
                  </w:tcMar>
                  <w:vAlign w:val="center"/>
                </w:tcPr>
                <w:p w14:paraId="4C2D3677">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3BDA9047">
                  <w:pPr>
                    <w:pStyle w:val="15"/>
                    <w:bidi w:val="0"/>
                    <w:rPr>
                      <w:rFonts w:hint="eastAsia"/>
                      <w:color w:val="auto"/>
                      <w:sz w:val="18"/>
                      <w:szCs w:val="18"/>
                    </w:rPr>
                  </w:pPr>
                  <w:r>
                    <w:rPr>
                      <w:rFonts w:hint="eastAsia"/>
                      <w:color w:val="auto"/>
                      <w:sz w:val="18"/>
                      <w:szCs w:val="18"/>
                      <w:lang w:val="en-US" w:eastAsia="zh-CN"/>
                    </w:rPr>
                    <w:t>250</w:t>
                  </w:r>
                </w:p>
              </w:tc>
              <w:tc>
                <w:tcPr>
                  <w:tcW w:w="279" w:type="pct"/>
                  <w:tcBorders>
                    <w:tl2br w:val="nil"/>
                    <w:tr2bl w:val="nil"/>
                  </w:tcBorders>
                  <w:shd w:val="clear" w:color="auto" w:fill="auto"/>
                  <w:tcMar>
                    <w:top w:w="0" w:type="dxa"/>
                    <w:left w:w="0" w:type="dxa"/>
                    <w:bottom w:w="0" w:type="dxa"/>
                    <w:right w:w="0" w:type="dxa"/>
                  </w:tcMar>
                  <w:vAlign w:val="center"/>
                </w:tcPr>
                <w:p w14:paraId="415DF5EF">
                  <w:pPr>
                    <w:pStyle w:val="15"/>
                    <w:bidi w:val="0"/>
                    <w:rPr>
                      <w:rFonts w:hint="eastAsia"/>
                      <w:color w:val="auto"/>
                      <w:sz w:val="18"/>
                      <w:szCs w:val="18"/>
                    </w:rPr>
                  </w:pPr>
                  <w:r>
                    <w:rPr>
                      <w:rFonts w:hint="eastAsia"/>
                      <w:color w:val="auto"/>
                      <w:sz w:val="18"/>
                      <w:szCs w:val="18"/>
                      <w:lang w:val="en-US" w:eastAsia="zh-CN"/>
                    </w:rPr>
                    <w:t>5220</w:t>
                  </w:r>
                </w:p>
              </w:tc>
              <w:tc>
                <w:tcPr>
                  <w:tcW w:w="220" w:type="pct"/>
                  <w:tcBorders>
                    <w:tl2br w:val="nil"/>
                    <w:tr2bl w:val="nil"/>
                  </w:tcBorders>
                  <w:shd w:val="clear" w:color="auto" w:fill="auto"/>
                  <w:tcMar>
                    <w:top w:w="0" w:type="dxa"/>
                    <w:left w:w="0" w:type="dxa"/>
                    <w:bottom w:w="0" w:type="dxa"/>
                    <w:right w:w="0" w:type="dxa"/>
                  </w:tcMar>
                  <w:vAlign w:val="center"/>
                </w:tcPr>
                <w:p w14:paraId="23CD30F8">
                  <w:pPr>
                    <w:pStyle w:val="15"/>
                    <w:bidi w:val="0"/>
                    <w:rPr>
                      <w:rFonts w:hint="eastAsia"/>
                      <w:color w:val="auto"/>
                      <w:sz w:val="18"/>
                      <w:szCs w:val="18"/>
                    </w:rPr>
                  </w:pPr>
                  <w:r>
                    <w:rPr>
                      <w:rFonts w:hint="eastAsia"/>
                      <w:color w:val="auto"/>
                      <w:sz w:val="18"/>
                      <w:szCs w:val="18"/>
                      <w:lang w:val="en-US" w:eastAsia="zh-CN"/>
                    </w:rPr>
                    <w:t>20.88</w:t>
                  </w:r>
                </w:p>
              </w:tc>
              <w:tc>
                <w:tcPr>
                  <w:tcW w:w="278" w:type="pct"/>
                  <w:tcBorders>
                    <w:tl2br w:val="nil"/>
                    <w:tr2bl w:val="nil"/>
                  </w:tcBorders>
                  <w:shd w:val="clear" w:color="auto" w:fill="auto"/>
                  <w:tcMar>
                    <w:top w:w="0" w:type="dxa"/>
                    <w:left w:w="0" w:type="dxa"/>
                    <w:bottom w:w="0" w:type="dxa"/>
                    <w:right w:w="0" w:type="dxa"/>
                  </w:tcMar>
                  <w:vAlign w:val="center"/>
                </w:tcPr>
                <w:p w14:paraId="36A08890">
                  <w:pPr>
                    <w:pStyle w:val="15"/>
                    <w:bidi w:val="0"/>
                    <w:rPr>
                      <w:rFonts w:hint="eastAsia"/>
                      <w:color w:val="auto"/>
                      <w:sz w:val="18"/>
                      <w:szCs w:val="18"/>
                    </w:rPr>
                  </w:pPr>
                  <w:r>
                    <w:rPr>
                      <w:rFonts w:hint="eastAsia"/>
                      <w:color w:val="auto"/>
                      <w:sz w:val="18"/>
                      <w:szCs w:val="18"/>
                      <w:lang w:val="en-US" w:eastAsia="zh-CN"/>
                    </w:rPr>
                    <w:t>1988%</w:t>
                  </w:r>
                </w:p>
              </w:tc>
              <w:tc>
                <w:tcPr>
                  <w:tcW w:w="279" w:type="pct"/>
                  <w:tcBorders>
                    <w:tl2br w:val="nil"/>
                    <w:tr2bl w:val="nil"/>
                  </w:tcBorders>
                  <w:shd w:val="clear" w:color="auto" w:fill="auto"/>
                  <w:tcMar>
                    <w:top w:w="0" w:type="dxa"/>
                    <w:left w:w="0" w:type="dxa"/>
                    <w:bottom w:w="0" w:type="dxa"/>
                    <w:right w:w="0" w:type="dxa"/>
                  </w:tcMar>
                  <w:vAlign w:val="center"/>
                </w:tcPr>
                <w:p w14:paraId="3F06CFFE">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1C9E4961">
                  <w:pPr>
                    <w:pStyle w:val="15"/>
                    <w:bidi w:val="0"/>
                    <w:rPr>
                      <w:rFonts w:hint="eastAsia"/>
                      <w:color w:val="auto"/>
                      <w:sz w:val="18"/>
                      <w:szCs w:val="18"/>
                    </w:rPr>
                  </w:pPr>
                  <w:r>
                    <w:rPr>
                      <w:rFonts w:hint="eastAsia"/>
                      <w:color w:val="auto"/>
                      <w:sz w:val="18"/>
                      <w:szCs w:val="18"/>
                      <w:lang w:val="en-US" w:eastAsia="zh-CN"/>
                    </w:rPr>
                    <w:t>823</w:t>
                  </w:r>
                </w:p>
              </w:tc>
              <w:tc>
                <w:tcPr>
                  <w:tcW w:w="200" w:type="pct"/>
                  <w:tcBorders>
                    <w:tl2br w:val="nil"/>
                    <w:tr2bl w:val="nil"/>
                  </w:tcBorders>
                  <w:shd w:val="clear" w:color="auto" w:fill="auto"/>
                  <w:tcMar>
                    <w:top w:w="0" w:type="dxa"/>
                    <w:left w:w="0" w:type="dxa"/>
                    <w:bottom w:w="0" w:type="dxa"/>
                    <w:right w:w="0" w:type="dxa"/>
                  </w:tcMar>
                  <w:vAlign w:val="center"/>
                </w:tcPr>
                <w:p w14:paraId="66AB98BB">
                  <w:pPr>
                    <w:pStyle w:val="15"/>
                    <w:bidi w:val="0"/>
                    <w:rPr>
                      <w:rFonts w:hint="eastAsia"/>
                      <w:color w:val="auto"/>
                      <w:sz w:val="18"/>
                      <w:szCs w:val="18"/>
                    </w:rPr>
                  </w:pPr>
                  <w:r>
                    <w:rPr>
                      <w:rFonts w:hint="eastAsia"/>
                      <w:color w:val="auto"/>
                      <w:sz w:val="18"/>
                      <w:szCs w:val="18"/>
                      <w:lang w:val="en-US" w:eastAsia="zh-CN"/>
                    </w:rPr>
                    <w:t>3.29</w:t>
                  </w:r>
                </w:p>
              </w:tc>
              <w:tc>
                <w:tcPr>
                  <w:tcW w:w="238" w:type="pct"/>
                  <w:tcBorders>
                    <w:tl2br w:val="nil"/>
                    <w:tr2bl w:val="nil"/>
                  </w:tcBorders>
                  <w:shd w:val="clear" w:color="auto" w:fill="auto"/>
                  <w:tcMar>
                    <w:top w:w="0" w:type="dxa"/>
                    <w:left w:w="0" w:type="dxa"/>
                    <w:bottom w:w="0" w:type="dxa"/>
                    <w:right w:w="0" w:type="dxa"/>
                  </w:tcMar>
                  <w:vAlign w:val="center"/>
                </w:tcPr>
                <w:p w14:paraId="7AD7045D">
                  <w:pPr>
                    <w:pStyle w:val="15"/>
                    <w:bidi w:val="0"/>
                    <w:rPr>
                      <w:rFonts w:hint="eastAsia"/>
                      <w:color w:val="auto"/>
                      <w:sz w:val="18"/>
                      <w:szCs w:val="18"/>
                    </w:rPr>
                  </w:pPr>
                  <w:r>
                    <w:rPr>
                      <w:rFonts w:hint="eastAsia"/>
                      <w:color w:val="auto"/>
                      <w:sz w:val="18"/>
                      <w:szCs w:val="18"/>
                      <w:lang w:val="en-US" w:eastAsia="zh-CN"/>
                    </w:rPr>
                    <w:t>229%</w:t>
                  </w:r>
                </w:p>
              </w:tc>
              <w:tc>
                <w:tcPr>
                  <w:tcW w:w="279" w:type="pct"/>
                  <w:tcBorders>
                    <w:tl2br w:val="nil"/>
                    <w:tr2bl w:val="nil"/>
                  </w:tcBorders>
                  <w:shd w:val="clear" w:color="auto" w:fill="auto"/>
                  <w:tcMar>
                    <w:top w:w="0" w:type="dxa"/>
                    <w:left w:w="0" w:type="dxa"/>
                    <w:bottom w:w="0" w:type="dxa"/>
                    <w:right w:w="0" w:type="dxa"/>
                  </w:tcMar>
                  <w:vAlign w:val="center"/>
                </w:tcPr>
                <w:p w14:paraId="736220A1">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2F6A0B17">
                  <w:pPr>
                    <w:pStyle w:val="15"/>
                    <w:bidi w:val="0"/>
                    <w:rPr>
                      <w:rFonts w:hint="eastAsia"/>
                      <w:color w:val="auto"/>
                      <w:sz w:val="18"/>
                      <w:szCs w:val="18"/>
                    </w:rPr>
                  </w:pPr>
                  <w:r>
                    <w:rPr>
                      <w:rFonts w:hint="eastAsia"/>
                      <w:color w:val="auto"/>
                      <w:sz w:val="18"/>
                      <w:szCs w:val="18"/>
                      <w:lang w:val="en-US" w:eastAsia="zh-CN"/>
                    </w:rPr>
                    <w:t>5280</w:t>
                  </w:r>
                </w:p>
              </w:tc>
              <w:tc>
                <w:tcPr>
                  <w:tcW w:w="220" w:type="pct"/>
                  <w:tcBorders>
                    <w:tl2br w:val="nil"/>
                    <w:tr2bl w:val="nil"/>
                  </w:tcBorders>
                  <w:shd w:val="clear" w:color="auto" w:fill="auto"/>
                  <w:tcMar>
                    <w:top w:w="0" w:type="dxa"/>
                    <w:left w:w="0" w:type="dxa"/>
                    <w:bottom w:w="0" w:type="dxa"/>
                    <w:right w:w="0" w:type="dxa"/>
                  </w:tcMar>
                  <w:vAlign w:val="center"/>
                </w:tcPr>
                <w:p w14:paraId="723B5196">
                  <w:pPr>
                    <w:pStyle w:val="15"/>
                    <w:bidi w:val="0"/>
                    <w:rPr>
                      <w:rFonts w:hint="eastAsia"/>
                      <w:color w:val="auto"/>
                      <w:sz w:val="18"/>
                      <w:szCs w:val="18"/>
                    </w:rPr>
                  </w:pPr>
                  <w:r>
                    <w:rPr>
                      <w:rFonts w:hint="eastAsia"/>
                      <w:color w:val="auto"/>
                      <w:sz w:val="18"/>
                      <w:szCs w:val="18"/>
                      <w:lang w:val="en-US" w:eastAsia="zh-CN"/>
                    </w:rPr>
                    <w:t>21.12</w:t>
                  </w:r>
                </w:p>
              </w:tc>
              <w:tc>
                <w:tcPr>
                  <w:tcW w:w="278" w:type="pct"/>
                  <w:tcBorders>
                    <w:tl2br w:val="nil"/>
                    <w:tr2bl w:val="nil"/>
                  </w:tcBorders>
                  <w:shd w:val="clear" w:color="auto" w:fill="auto"/>
                  <w:tcMar>
                    <w:top w:w="0" w:type="dxa"/>
                    <w:left w:w="0" w:type="dxa"/>
                    <w:bottom w:w="0" w:type="dxa"/>
                    <w:right w:w="0" w:type="dxa"/>
                  </w:tcMar>
                  <w:vAlign w:val="center"/>
                </w:tcPr>
                <w:p w14:paraId="44D3C31B">
                  <w:pPr>
                    <w:pStyle w:val="15"/>
                    <w:bidi w:val="0"/>
                    <w:rPr>
                      <w:rFonts w:hint="eastAsia"/>
                      <w:color w:val="auto"/>
                      <w:sz w:val="18"/>
                      <w:szCs w:val="18"/>
                    </w:rPr>
                  </w:pPr>
                  <w:r>
                    <w:rPr>
                      <w:rFonts w:hint="eastAsia"/>
                      <w:color w:val="auto"/>
                      <w:sz w:val="18"/>
                      <w:szCs w:val="18"/>
                      <w:lang w:val="en-US" w:eastAsia="zh-CN"/>
                    </w:rPr>
                    <w:t>2012%</w:t>
                  </w:r>
                </w:p>
              </w:tc>
              <w:tc>
                <w:tcPr>
                  <w:tcW w:w="279" w:type="pct"/>
                  <w:tcBorders>
                    <w:tl2br w:val="nil"/>
                    <w:tr2bl w:val="nil"/>
                  </w:tcBorders>
                  <w:shd w:val="clear" w:color="auto" w:fill="auto"/>
                  <w:tcMar>
                    <w:top w:w="0" w:type="dxa"/>
                    <w:left w:w="0" w:type="dxa"/>
                    <w:bottom w:w="0" w:type="dxa"/>
                    <w:right w:w="0" w:type="dxa"/>
                  </w:tcMar>
                  <w:vAlign w:val="center"/>
                </w:tcPr>
                <w:p w14:paraId="16ECBCC6">
                  <w:pPr>
                    <w:pStyle w:val="15"/>
                    <w:bidi w:val="0"/>
                    <w:rPr>
                      <w:rFonts w:hint="eastAsia"/>
                      <w:color w:val="auto"/>
                      <w:sz w:val="18"/>
                      <w:szCs w:val="18"/>
                    </w:rPr>
                  </w:pPr>
                  <w:r>
                    <w:rPr>
                      <w:rFonts w:hint="eastAsia"/>
                      <w:color w:val="auto"/>
                      <w:sz w:val="18"/>
                      <w:szCs w:val="18"/>
                      <w:lang w:val="en-US" w:eastAsia="zh-CN"/>
                    </w:rPr>
                    <w:t>不达标</w:t>
                  </w:r>
                </w:p>
              </w:tc>
              <w:tc>
                <w:tcPr>
                  <w:tcW w:w="305" w:type="pct"/>
                  <w:tcBorders>
                    <w:tl2br w:val="nil"/>
                    <w:tr2bl w:val="nil"/>
                  </w:tcBorders>
                  <w:shd w:val="clear" w:color="auto" w:fill="auto"/>
                  <w:tcMar>
                    <w:top w:w="0" w:type="dxa"/>
                    <w:left w:w="0" w:type="dxa"/>
                    <w:bottom w:w="0" w:type="dxa"/>
                    <w:right w:w="0" w:type="dxa"/>
                  </w:tcMar>
                  <w:vAlign w:val="center"/>
                </w:tcPr>
                <w:p w14:paraId="4BF25260">
                  <w:pPr>
                    <w:pStyle w:val="15"/>
                    <w:bidi w:val="0"/>
                    <w:rPr>
                      <w:rFonts w:hint="eastAsia"/>
                      <w:color w:val="auto"/>
                      <w:sz w:val="18"/>
                      <w:szCs w:val="18"/>
                    </w:rPr>
                  </w:pPr>
                  <w:r>
                    <w:rPr>
                      <w:rFonts w:hint="eastAsia"/>
                      <w:color w:val="auto"/>
                      <w:sz w:val="18"/>
                      <w:szCs w:val="18"/>
                      <w:lang w:val="en-US" w:eastAsia="zh-CN"/>
                    </w:rPr>
                    <w:t>10</w:t>
                  </w:r>
                </w:p>
              </w:tc>
            </w:tr>
            <w:tr w14:paraId="66C90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325A6E85">
                  <w:pPr>
                    <w:pStyle w:val="15"/>
                    <w:bidi w:val="0"/>
                    <w:rPr>
                      <w:rFonts w:hint="eastAsia"/>
                      <w:color w:val="auto"/>
                      <w:sz w:val="18"/>
                      <w:szCs w:val="18"/>
                    </w:rPr>
                  </w:pPr>
                  <w:r>
                    <w:rPr>
                      <w:rFonts w:hint="eastAsia"/>
                      <w:color w:val="auto"/>
                      <w:sz w:val="18"/>
                      <w:szCs w:val="18"/>
                      <w:lang w:val="en-US" w:eastAsia="zh-CN"/>
                    </w:rPr>
                    <w:t>19</w:t>
                  </w:r>
                </w:p>
              </w:tc>
              <w:tc>
                <w:tcPr>
                  <w:tcW w:w="631" w:type="pct"/>
                  <w:tcBorders>
                    <w:tl2br w:val="nil"/>
                    <w:tr2bl w:val="nil"/>
                  </w:tcBorders>
                  <w:shd w:val="clear" w:color="auto" w:fill="auto"/>
                  <w:tcMar>
                    <w:top w:w="0" w:type="dxa"/>
                    <w:left w:w="0" w:type="dxa"/>
                    <w:bottom w:w="0" w:type="dxa"/>
                    <w:right w:w="0" w:type="dxa"/>
                  </w:tcMar>
                  <w:vAlign w:val="center"/>
                </w:tcPr>
                <w:p w14:paraId="6B85B0A5">
                  <w:pPr>
                    <w:pStyle w:val="15"/>
                    <w:bidi w:val="0"/>
                    <w:rPr>
                      <w:rFonts w:hint="eastAsia"/>
                      <w:color w:val="auto"/>
                      <w:sz w:val="18"/>
                      <w:szCs w:val="18"/>
                    </w:rPr>
                  </w:pPr>
                  <w:r>
                    <w:rPr>
                      <w:rFonts w:hint="eastAsia"/>
                      <w:color w:val="auto"/>
                      <w:sz w:val="18"/>
                      <w:szCs w:val="18"/>
                      <w:lang w:val="en-US" w:eastAsia="zh-CN"/>
                    </w:rPr>
                    <w:t>碳酸根</w:t>
                  </w:r>
                </w:p>
              </w:tc>
              <w:tc>
                <w:tcPr>
                  <w:tcW w:w="465" w:type="pct"/>
                  <w:tcBorders>
                    <w:tl2br w:val="nil"/>
                    <w:tr2bl w:val="nil"/>
                  </w:tcBorders>
                  <w:shd w:val="clear" w:color="auto" w:fill="auto"/>
                  <w:tcMar>
                    <w:top w:w="0" w:type="dxa"/>
                    <w:left w:w="0" w:type="dxa"/>
                    <w:bottom w:w="0" w:type="dxa"/>
                    <w:right w:w="0" w:type="dxa"/>
                  </w:tcMar>
                  <w:vAlign w:val="center"/>
                </w:tcPr>
                <w:p w14:paraId="305C7E37">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028FFB91">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3932061B">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17C42D9">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10558C61">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049330BA">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0C500D1D">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06607A23">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6BE7FEB0">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6D37EA8A">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0262DEAF">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8634120">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11ED3960">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7CA83D2B">
                  <w:pPr>
                    <w:pStyle w:val="15"/>
                    <w:bidi w:val="0"/>
                    <w:rPr>
                      <w:rFonts w:hint="eastAsia"/>
                      <w:color w:val="auto"/>
                      <w:sz w:val="18"/>
                      <w:szCs w:val="18"/>
                    </w:rPr>
                  </w:pPr>
                  <w:r>
                    <w:rPr>
                      <w:rFonts w:hint="eastAsia"/>
                      <w:color w:val="auto"/>
                      <w:sz w:val="18"/>
                      <w:szCs w:val="18"/>
                      <w:lang w:val="en-US" w:eastAsia="zh-CN"/>
                    </w:rPr>
                    <w:t>/</w:t>
                  </w:r>
                </w:p>
              </w:tc>
              <w:tc>
                <w:tcPr>
                  <w:tcW w:w="305" w:type="pct"/>
                  <w:tcBorders>
                    <w:tl2br w:val="nil"/>
                    <w:tr2bl w:val="nil"/>
                  </w:tcBorders>
                  <w:shd w:val="clear" w:color="auto" w:fill="auto"/>
                  <w:tcMar>
                    <w:top w:w="0" w:type="dxa"/>
                    <w:left w:w="0" w:type="dxa"/>
                    <w:bottom w:w="0" w:type="dxa"/>
                    <w:right w:w="0" w:type="dxa"/>
                  </w:tcMar>
                  <w:vAlign w:val="center"/>
                </w:tcPr>
                <w:p w14:paraId="5F4C8934">
                  <w:pPr>
                    <w:pStyle w:val="15"/>
                    <w:bidi w:val="0"/>
                    <w:rPr>
                      <w:rFonts w:hint="eastAsia"/>
                      <w:color w:val="auto"/>
                      <w:sz w:val="18"/>
                      <w:szCs w:val="18"/>
                    </w:rPr>
                  </w:pPr>
                  <w:r>
                    <w:rPr>
                      <w:rFonts w:hint="eastAsia"/>
                      <w:color w:val="auto"/>
                      <w:sz w:val="18"/>
                      <w:szCs w:val="18"/>
                      <w:lang w:val="en-US" w:eastAsia="zh-CN"/>
                    </w:rPr>
                    <w:t>5</w:t>
                  </w:r>
                </w:p>
              </w:tc>
            </w:tr>
            <w:tr w14:paraId="19623B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086C10DC">
                  <w:pPr>
                    <w:pStyle w:val="15"/>
                    <w:bidi w:val="0"/>
                    <w:rPr>
                      <w:rFonts w:hint="eastAsia"/>
                      <w:color w:val="auto"/>
                      <w:sz w:val="18"/>
                      <w:szCs w:val="18"/>
                    </w:rPr>
                  </w:pPr>
                  <w:r>
                    <w:rPr>
                      <w:rFonts w:hint="eastAsia"/>
                      <w:color w:val="auto"/>
                      <w:sz w:val="18"/>
                      <w:szCs w:val="18"/>
                      <w:lang w:val="en-US" w:eastAsia="zh-CN"/>
                    </w:rPr>
                    <w:t>20</w:t>
                  </w:r>
                </w:p>
              </w:tc>
              <w:tc>
                <w:tcPr>
                  <w:tcW w:w="631" w:type="pct"/>
                  <w:tcBorders>
                    <w:tl2br w:val="nil"/>
                    <w:tr2bl w:val="nil"/>
                  </w:tcBorders>
                  <w:shd w:val="clear" w:color="auto" w:fill="auto"/>
                  <w:tcMar>
                    <w:top w:w="0" w:type="dxa"/>
                    <w:left w:w="0" w:type="dxa"/>
                    <w:bottom w:w="0" w:type="dxa"/>
                    <w:right w:w="0" w:type="dxa"/>
                  </w:tcMar>
                  <w:vAlign w:val="center"/>
                </w:tcPr>
                <w:p w14:paraId="04D026A1">
                  <w:pPr>
                    <w:pStyle w:val="15"/>
                    <w:bidi w:val="0"/>
                    <w:rPr>
                      <w:rFonts w:hint="eastAsia"/>
                      <w:color w:val="auto"/>
                      <w:sz w:val="18"/>
                      <w:szCs w:val="18"/>
                    </w:rPr>
                  </w:pPr>
                  <w:r>
                    <w:rPr>
                      <w:rFonts w:hint="eastAsia"/>
                      <w:color w:val="auto"/>
                      <w:sz w:val="18"/>
                      <w:szCs w:val="18"/>
                      <w:lang w:val="en-US" w:eastAsia="zh-CN"/>
                    </w:rPr>
                    <w:t>重碳酸根</w:t>
                  </w:r>
                </w:p>
              </w:tc>
              <w:tc>
                <w:tcPr>
                  <w:tcW w:w="465" w:type="pct"/>
                  <w:tcBorders>
                    <w:tl2br w:val="nil"/>
                    <w:tr2bl w:val="nil"/>
                  </w:tcBorders>
                  <w:shd w:val="clear" w:color="auto" w:fill="auto"/>
                  <w:tcMar>
                    <w:top w:w="0" w:type="dxa"/>
                    <w:left w:w="0" w:type="dxa"/>
                    <w:bottom w:w="0" w:type="dxa"/>
                    <w:right w:w="0" w:type="dxa"/>
                  </w:tcMar>
                  <w:vAlign w:val="center"/>
                </w:tcPr>
                <w:p w14:paraId="32A6FFC6">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081A6365">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6BD677C3">
                  <w:pPr>
                    <w:pStyle w:val="15"/>
                    <w:bidi w:val="0"/>
                    <w:rPr>
                      <w:rFonts w:hint="eastAsia"/>
                      <w:color w:val="auto"/>
                      <w:sz w:val="18"/>
                      <w:szCs w:val="18"/>
                    </w:rPr>
                  </w:pPr>
                  <w:r>
                    <w:rPr>
                      <w:rFonts w:hint="eastAsia"/>
                      <w:color w:val="auto"/>
                      <w:sz w:val="18"/>
                      <w:szCs w:val="18"/>
                      <w:lang w:val="en-US" w:eastAsia="zh-CN"/>
                    </w:rPr>
                    <w:t>384</w:t>
                  </w:r>
                </w:p>
              </w:tc>
              <w:tc>
                <w:tcPr>
                  <w:tcW w:w="220" w:type="pct"/>
                  <w:tcBorders>
                    <w:tl2br w:val="nil"/>
                    <w:tr2bl w:val="nil"/>
                  </w:tcBorders>
                  <w:shd w:val="clear" w:color="auto" w:fill="auto"/>
                  <w:tcMar>
                    <w:top w:w="0" w:type="dxa"/>
                    <w:left w:w="0" w:type="dxa"/>
                    <w:bottom w:w="0" w:type="dxa"/>
                    <w:right w:w="0" w:type="dxa"/>
                  </w:tcMar>
                  <w:vAlign w:val="center"/>
                </w:tcPr>
                <w:p w14:paraId="41C62515">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BE38AA6">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26328F81">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2AD80317">
                  <w:pPr>
                    <w:pStyle w:val="15"/>
                    <w:bidi w:val="0"/>
                    <w:rPr>
                      <w:rFonts w:hint="eastAsia"/>
                      <w:color w:val="auto"/>
                      <w:sz w:val="18"/>
                      <w:szCs w:val="18"/>
                    </w:rPr>
                  </w:pPr>
                  <w:r>
                    <w:rPr>
                      <w:rFonts w:hint="eastAsia"/>
                      <w:color w:val="auto"/>
                      <w:sz w:val="18"/>
                      <w:szCs w:val="18"/>
                      <w:lang w:val="en-US" w:eastAsia="zh-CN"/>
                    </w:rPr>
                    <w:t>107</w:t>
                  </w:r>
                </w:p>
              </w:tc>
              <w:tc>
                <w:tcPr>
                  <w:tcW w:w="200" w:type="pct"/>
                  <w:tcBorders>
                    <w:tl2br w:val="nil"/>
                    <w:tr2bl w:val="nil"/>
                  </w:tcBorders>
                  <w:shd w:val="clear" w:color="auto" w:fill="auto"/>
                  <w:tcMar>
                    <w:top w:w="0" w:type="dxa"/>
                    <w:left w:w="0" w:type="dxa"/>
                    <w:bottom w:w="0" w:type="dxa"/>
                    <w:right w:w="0" w:type="dxa"/>
                  </w:tcMar>
                  <w:vAlign w:val="center"/>
                </w:tcPr>
                <w:p w14:paraId="167EC476">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3670333B">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375F48EA">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1B488D95">
                  <w:pPr>
                    <w:pStyle w:val="15"/>
                    <w:bidi w:val="0"/>
                    <w:rPr>
                      <w:rFonts w:hint="eastAsia"/>
                      <w:color w:val="auto"/>
                      <w:sz w:val="18"/>
                      <w:szCs w:val="18"/>
                    </w:rPr>
                  </w:pPr>
                  <w:r>
                    <w:rPr>
                      <w:rFonts w:hint="eastAsia"/>
                      <w:color w:val="auto"/>
                      <w:sz w:val="18"/>
                      <w:szCs w:val="18"/>
                      <w:lang w:val="en-US" w:eastAsia="zh-CN"/>
                    </w:rPr>
                    <w:t>387</w:t>
                  </w:r>
                </w:p>
              </w:tc>
              <w:tc>
                <w:tcPr>
                  <w:tcW w:w="220" w:type="pct"/>
                  <w:tcBorders>
                    <w:tl2br w:val="nil"/>
                    <w:tr2bl w:val="nil"/>
                  </w:tcBorders>
                  <w:shd w:val="clear" w:color="auto" w:fill="auto"/>
                  <w:tcMar>
                    <w:top w:w="0" w:type="dxa"/>
                    <w:left w:w="0" w:type="dxa"/>
                    <w:bottom w:w="0" w:type="dxa"/>
                    <w:right w:w="0" w:type="dxa"/>
                  </w:tcMar>
                  <w:vAlign w:val="center"/>
                </w:tcPr>
                <w:p w14:paraId="3C23E197">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627F5A13">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4421DB2F">
                  <w:pPr>
                    <w:pStyle w:val="15"/>
                    <w:bidi w:val="0"/>
                    <w:rPr>
                      <w:rFonts w:hint="eastAsia"/>
                      <w:color w:val="auto"/>
                      <w:sz w:val="18"/>
                      <w:szCs w:val="18"/>
                    </w:rPr>
                  </w:pPr>
                  <w:r>
                    <w:rPr>
                      <w:rFonts w:hint="eastAsia"/>
                      <w:color w:val="auto"/>
                      <w:sz w:val="18"/>
                      <w:szCs w:val="18"/>
                      <w:lang w:val="en-US" w:eastAsia="zh-CN"/>
                    </w:rPr>
                    <w:t>/</w:t>
                  </w:r>
                </w:p>
              </w:tc>
              <w:tc>
                <w:tcPr>
                  <w:tcW w:w="305" w:type="pct"/>
                  <w:tcBorders>
                    <w:tl2br w:val="nil"/>
                    <w:tr2bl w:val="nil"/>
                  </w:tcBorders>
                  <w:shd w:val="clear" w:color="auto" w:fill="auto"/>
                  <w:tcMar>
                    <w:top w:w="0" w:type="dxa"/>
                    <w:left w:w="0" w:type="dxa"/>
                    <w:bottom w:w="0" w:type="dxa"/>
                    <w:right w:w="0" w:type="dxa"/>
                  </w:tcMar>
                  <w:vAlign w:val="center"/>
                </w:tcPr>
                <w:p w14:paraId="31694F67">
                  <w:pPr>
                    <w:pStyle w:val="15"/>
                    <w:bidi w:val="0"/>
                    <w:rPr>
                      <w:rFonts w:hint="eastAsia"/>
                      <w:color w:val="auto"/>
                      <w:sz w:val="18"/>
                      <w:szCs w:val="18"/>
                    </w:rPr>
                  </w:pPr>
                  <w:r>
                    <w:rPr>
                      <w:rFonts w:hint="eastAsia"/>
                      <w:color w:val="auto"/>
                      <w:sz w:val="18"/>
                      <w:szCs w:val="18"/>
                      <w:lang w:val="en-US" w:eastAsia="zh-CN"/>
                    </w:rPr>
                    <w:t>5</w:t>
                  </w:r>
                </w:p>
              </w:tc>
            </w:tr>
            <w:tr w14:paraId="33B9D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282CD02">
                  <w:pPr>
                    <w:pStyle w:val="15"/>
                    <w:bidi w:val="0"/>
                    <w:rPr>
                      <w:rFonts w:hint="eastAsia"/>
                      <w:color w:val="auto"/>
                      <w:sz w:val="18"/>
                      <w:szCs w:val="18"/>
                    </w:rPr>
                  </w:pPr>
                  <w:r>
                    <w:rPr>
                      <w:rFonts w:hint="eastAsia"/>
                      <w:color w:val="auto"/>
                      <w:sz w:val="18"/>
                      <w:szCs w:val="18"/>
                      <w:lang w:val="en-US" w:eastAsia="zh-CN"/>
                    </w:rPr>
                    <w:t>21</w:t>
                  </w:r>
                </w:p>
              </w:tc>
              <w:tc>
                <w:tcPr>
                  <w:tcW w:w="631" w:type="pct"/>
                  <w:tcBorders>
                    <w:tl2br w:val="nil"/>
                    <w:tr2bl w:val="nil"/>
                  </w:tcBorders>
                  <w:shd w:val="clear" w:color="auto" w:fill="auto"/>
                  <w:tcMar>
                    <w:top w:w="0" w:type="dxa"/>
                    <w:left w:w="0" w:type="dxa"/>
                    <w:bottom w:w="0" w:type="dxa"/>
                    <w:right w:w="0" w:type="dxa"/>
                  </w:tcMar>
                  <w:vAlign w:val="center"/>
                </w:tcPr>
                <w:p w14:paraId="042D5E63">
                  <w:pPr>
                    <w:pStyle w:val="15"/>
                    <w:bidi w:val="0"/>
                    <w:rPr>
                      <w:rFonts w:hint="eastAsia"/>
                      <w:color w:val="auto"/>
                      <w:sz w:val="18"/>
                      <w:szCs w:val="18"/>
                    </w:rPr>
                  </w:pPr>
                  <w:r>
                    <w:rPr>
                      <w:rFonts w:hint="eastAsia"/>
                      <w:color w:val="auto"/>
                      <w:sz w:val="18"/>
                      <w:szCs w:val="18"/>
                      <w:lang w:val="en-US" w:eastAsia="zh-CN"/>
                    </w:rPr>
                    <w:t>石油类</w:t>
                  </w:r>
                </w:p>
              </w:tc>
              <w:tc>
                <w:tcPr>
                  <w:tcW w:w="465" w:type="pct"/>
                  <w:tcBorders>
                    <w:tl2br w:val="nil"/>
                    <w:tr2bl w:val="nil"/>
                  </w:tcBorders>
                  <w:shd w:val="clear" w:color="auto" w:fill="auto"/>
                  <w:tcMar>
                    <w:top w:w="0" w:type="dxa"/>
                    <w:left w:w="0" w:type="dxa"/>
                    <w:bottom w:w="0" w:type="dxa"/>
                    <w:right w:w="0" w:type="dxa"/>
                  </w:tcMar>
                  <w:vAlign w:val="center"/>
                </w:tcPr>
                <w:p w14:paraId="62BCD96B">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4E186393">
                  <w:pPr>
                    <w:pStyle w:val="15"/>
                    <w:bidi w:val="0"/>
                    <w:rPr>
                      <w:rFonts w:hint="eastAsia"/>
                      <w:color w:val="auto"/>
                      <w:sz w:val="18"/>
                      <w:szCs w:val="18"/>
                    </w:rPr>
                  </w:pPr>
                  <w:r>
                    <w:rPr>
                      <w:rFonts w:hint="eastAsia"/>
                      <w:color w:val="auto"/>
                      <w:sz w:val="18"/>
                      <w:szCs w:val="18"/>
                      <w:lang w:val="en-US" w:eastAsia="zh-CN"/>
                    </w:rPr>
                    <w:t>0.05</w:t>
                  </w:r>
                </w:p>
              </w:tc>
              <w:tc>
                <w:tcPr>
                  <w:tcW w:w="279" w:type="pct"/>
                  <w:tcBorders>
                    <w:tl2br w:val="nil"/>
                    <w:tr2bl w:val="nil"/>
                  </w:tcBorders>
                  <w:shd w:val="clear" w:color="auto" w:fill="auto"/>
                  <w:tcMar>
                    <w:top w:w="0" w:type="dxa"/>
                    <w:left w:w="0" w:type="dxa"/>
                    <w:bottom w:w="0" w:type="dxa"/>
                    <w:right w:w="0" w:type="dxa"/>
                  </w:tcMar>
                  <w:vAlign w:val="center"/>
                </w:tcPr>
                <w:p w14:paraId="0A843573">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64DAD2E2">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2823F421">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7B030B1">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2E20B2D1">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7424E58A">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2E1EF1F8">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120AB1B">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B506CFC">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A186E1E">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050286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895E296">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75876B07">
                  <w:pPr>
                    <w:pStyle w:val="15"/>
                    <w:bidi w:val="0"/>
                    <w:rPr>
                      <w:rFonts w:hint="eastAsia"/>
                      <w:color w:val="auto"/>
                      <w:sz w:val="18"/>
                      <w:szCs w:val="18"/>
                    </w:rPr>
                  </w:pPr>
                  <w:r>
                    <w:rPr>
                      <w:rFonts w:hint="eastAsia"/>
                      <w:color w:val="auto"/>
                      <w:sz w:val="18"/>
                      <w:szCs w:val="18"/>
                      <w:lang w:val="en-US" w:eastAsia="zh-CN"/>
                    </w:rPr>
                    <w:t>0.05</w:t>
                  </w:r>
                </w:p>
              </w:tc>
            </w:tr>
            <w:tr w14:paraId="2F6B72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08BD8D9">
                  <w:pPr>
                    <w:pStyle w:val="15"/>
                    <w:bidi w:val="0"/>
                    <w:rPr>
                      <w:rFonts w:hint="eastAsia"/>
                      <w:color w:val="auto"/>
                      <w:sz w:val="18"/>
                      <w:szCs w:val="18"/>
                    </w:rPr>
                  </w:pPr>
                  <w:r>
                    <w:rPr>
                      <w:rFonts w:hint="eastAsia"/>
                      <w:color w:val="auto"/>
                      <w:sz w:val="18"/>
                      <w:szCs w:val="18"/>
                      <w:lang w:val="en-US" w:eastAsia="zh-CN"/>
                    </w:rPr>
                    <w:t>22</w:t>
                  </w:r>
                </w:p>
              </w:tc>
              <w:tc>
                <w:tcPr>
                  <w:tcW w:w="631" w:type="pct"/>
                  <w:tcBorders>
                    <w:tl2br w:val="nil"/>
                    <w:tr2bl w:val="nil"/>
                  </w:tcBorders>
                  <w:shd w:val="clear" w:color="auto" w:fill="auto"/>
                  <w:tcMar>
                    <w:top w:w="0" w:type="dxa"/>
                    <w:left w:w="0" w:type="dxa"/>
                    <w:bottom w:w="0" w:type="dxa"/>
                    <w:right w:w="0" w:type="dxa"/>
                  </w:tcMar>
                  <w:vAlign w:val="center"/>
                </w:tcPr>
                <w:p w14:paraId="1F788C21">
                  <w:pPr>
                    <w:pStyle w:val="15"/>
                    <w:bidi w:val="0"/>
                    <w:rPr>
                      <w:rFonts w:hint="eastAsia"/>
                      <w:color w:val="auto"/>
                      <w:sz w:val="18"/>
                      <w:szCs w:val="18"/>
                    </w:rPr>
                  </w:pPr>
                  <w:r>
                    <w:rPr>
                      <w:rFonts w:hint="eastAsia"/>
                      <w:color w:val="auto"/>
                      <w:sz w:val="18"/>
                      <w:szCs w:val="18"/>
                      <w:lang w:val="en-US" w:eastAsia="zh-CN"/>
                    </w:rPr>
                    <w:t>汞</w:t>
                  </w:r>
                </w:p>
              </w:tc>
              <w:tc>
                <w:tcPr>
                  <w:tcW w:w="465" w:type="pct"/>
                  <w:tcBorders>
                    <w:tl2br w:val="nil"/>
                    <w:tr2bl w:val="nil"/>
                  </w:tcBorders>
                  <w:shd w:val="clear" w:color="auto" w:fill="auto"/>
                  <w:tcMar>
                    <w:top w:w="0" w:type="dxa"/>
                    <w:left w:w="0" w:type="dxa"/>
                    <w:bottom w:w="0" w:type="dxa"/>
                    <w:right w:w="0" w:type="dxa"/>
                  </w:tcMar>
                  <w:vAlign w:val="center"/>
                </w:tcPr>
                <w:p w14:paraId="12533DCA">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6E350D2A">
                  <w:pPr>
                    <w:pStyle w:val="15"/>
                    <w:bidi w:val="0"/>
                    <w:rPr>
                      <w:rFonts w:hint="eastAsia"/>
                      <w:color w:val="auto"/>
                      <w:sz w:val="18"/>
                      <w:szCs w:val="18"/>
                    </w:rPr>
                  </w:pPr>
                  <w:r>
                    <w:rPr>
                      <w:rFonts w:hint="eastAsia"/>
                      <w:color w:val="auto"/>
                      <w:sz w:val="18"/>
                      <w:szCs w:val="18"/>
                      <w:lang w:val="en-US" w:eastAsia="zh-CN"/>
                    </w:rPr>
                    <w:t>0.001</w:t>
                  </w:r>
                </w:p>
              </w:tc>
              <w:tc>
                <w:tcPr>
                  <w:tcW w:w="279" w:type="pct"/>
                  <w:tcBorders>
                    <w:tl2br w:val="nil"/>
                    <w:tr2bl w:val="nil"/>
                  </w:tcBorders>
                  <w:shd w:val="clear" w:color="auto" w:fill="auto"/>
                  <w:tcMar>
                    <w:top w:w="0" w:type="dxa"/>
                    <w:left w:w="0" w:type="dxa"/>
                    <w:bottom w:w="0" w:type="dxa"/>
                    <w:right w:w="0" w:type="dxa"/>
                  </w:tcMar>
                  <w:vAlign w:val="center"/>
                </w:tcPr>
                <w:p w14:paraId="7F392AEE">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C669177">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664D5014">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2C0FE6E">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6736F18">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1517E982">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54ABA85D">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EDC71F6">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071A6AE">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59C14E6B">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3E135BF2">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0F2181C">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2E854207">
                  <w:pPr>
                    <w:pStyle w:val="15"/>
                    <w:bidi w:val="0"/>
                    <w:rPr>
                      <w:rFonts w:hint="eastAsia"/>
                      <w:color w:val="auto"/>
                      <w:sz w:val="18"/>
                      <w:szCs w:val="18"/>
                    </w:rPr>
                  </w:pPr>
                  <w:r>
                    <w:rPr>
                      <w:rFonts w:hint="eastAsia"/>
                      <w:color w:val="auto"/>
                      <w:sz w:val="18"/>
                      <w:szCs w:val="18"/>
                      <w:lang w:val="en-US" w:eastAsia="zh-CN"/>
                    </w:rPr>
                    <w:t>0.00004</w:t>
                  </w:r>
                </w:p>
              </w:tc>
            </w:tr>
            <w:tr w14:paraId="1507A8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2637069">
                  <w:pPr>
                    <w:pStyle w:val="15"/>
                    <w:bidi w:val="0"/>
                    <w:rPr>
                      <w:rFonts w:hint="eastAsia"/>
                      <w:color w:val="auto"/>
                      <w:sz w:val="18"/>
                      <w:szCs w:val="18"/>
                    </w:rPr>
                  </w:pPr>
                  <w:r>
                    <w:rPr>
                      <w:rFonts w:hint="eastAsia"/>
                      <w:color w:val="auto"/>
                      <w:sz w:val="18"/>
                      <w:szCs w:val="18"/>
                      <w:lang w:val="en-US" w:eastAsia="zh-CN"/>
                    </w:rPr>
                    <w:t>23</w:t>
                  </w:r>
                </w:p>
              </w:tc>
              <w:tc>
                <w:tcPr>
                  <w:tcW w:w="631" w:type="pct"/>
                  <w:tcBorders>
                    <w:tl2br w:val="nil"/>
                    <w:tr2bl w:val="nil"/>
                  </w:tcBorders>
                  <w:shd w:val="clear" w:color="auto" w:fill="auto"/>
                  <w:tcMar>
                    <w:top w:w="0" w:type="dxa"/>
                    <w:left w:w="0" w:type="dxa"/>
                    <w:bottom w:w="0" w:type="dxa"/>
                    <w:right w:w="0" w:type="dxa"/>
                  </w:tcMar>
                  <w:vAlign w:val="center"/>
                </w:tcPr>
                <w:p w14:paraId="340FC171">
                  <w:pPr>
                    <w:pStyle w:val="15"/>
                    <w:bidi w:val="0"/>
                    <w:rPr>
                      <w:rFonts w:hint="eastAsia"/>
                      <w:color w:val="auto"/>
                      <w:sz w:val="18"/>
                      <w:szCs w:val="18"/>
                    </w:rPr>
                  </w:pPr>
                  <w:r>
                    <w:rPr>
                      <w:rFonts w:hint="eastAsia"/>
                      <w:color w:val="auto"/>
                      <w:sz w:val="18"/>
                      <w:szCs w:val="18"/>
                      <w:lang w:val="en-US" w:eastAsia="zh-CN"/>
                    </w:rPr>
                    <w:t>砷</w:t>
                  </w:r>
                </w:p>
              </w:tc>
              <w:tc>
                <w:tcPr>
                  <w:tcW w:w="465" w:type="pct"/>
                  <w:tcBorders>
                    <w:tl2br w:val="nil"/>
                    <w:tr2bl w:val="nil"/>
                  </w:tcBorders>
                  <w:shd w:val="clear" w:color="auto" w:fill="auto"/>
                  <w:tcMar>
                    <w:top w:w="0" w:type="dxa"/>
                    <w:left w:w="0" w:type="dxa"/>
                    <w:bottom w:w="0" w:type="dxa"/>
                    <w:right w:w="0" w:type="dxa"/>
                  </w:tcMar>
                  <w:vAlign w:val="center"/>
                </w:tcPr>
                <w:p w14:paraId="2EED05E0">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5BD82641">
                  <w:pPr>
                    <w:pStyle w:val="15"/>
                    <w:bidi w:val="0"/>
                    <w:rPr>
                      <w:rFonts w:hint="eastAsia"/>
                      <w:color w:val="auto"/>
                      <w:sz w:val="18"/>
                      <w:szCs w:val="18"/>
                    </w:rPr>
                  </w:pPr>
                  <w:r>
                    <w:rPr>
                      <w:rFonts w:hint="eastAsia"/>
                      <w:color w:val="auto"/>
                      <w:sz w:val="18"/>
                      <w:szCs w:val="18"/>
                      <w:lang w:val="en-US" w:eastAsia="zh-CN"/>
                    </w:rPr>
                    <w:t>0.01</w:t>
                  </w:r>
                </w:p>
              </w:tc>
              <w:tc>
                <w:tcPr>
                  <w:tcW w:w="279" w:type="pct"/>
                  <w:tcBorders>
                    <w:tl2br w:val="nil"/>
                    <w:tr2bl w:val="nil"/>
                  </w:tcBorders>
                  <w:shd w:val="clear" w:color="auto" w:fill="auto"/>
                  <w:tcMar>
                    <w:top w:w="0" w:type="dxa"/>
                    <w:left w:w="0" w:type="dxa"/>
                    <w:bottom w:w="0" w:type="dxa"/>
                    <w:right w:w="0" w:type="dxa"/>
                  </w:tcMar>
                  <w:vAlign w:val="center"/>
                </w:tcPr>
                <w:p w14:paraId="0BB38170">
                  <w:pPr>
                    <w:pStyle w:val="15"/>
                    <w:bidi w:val="0"/>
                    <w:rPr>
                      <w:rFonts w:hint="eastAsia"/>
                      <w:color w:val="auto"/>
                      <w:sz w:val="18"/>
                      <w:szCs w:val="18"/>
                    </w:rPr>
                  </w:pPr>
                  <w:r>
                    <w:rPr>
                      <w:rFonts w:hint="eastAsia"/>
                      <w:color w:val="auto"/>
                      <w:sz w:val="18"/>
                      <w:szCs w:val="18"/>
                      <w:lang w:val="en-US" w:eastAsia="zh-CN"/>
                    </w:rPr>
                    <w:t>0.0004</w:t>
                  </w:r>
                </w:p>
              </w:tc>
              <w:tc>
                <w:tcPr>
                  <w:tcW w:w="220" w:type="pct"/>
                  <w:tcBorders>
                    <w:tl2br w:val="nil"/>
                    <w:tr2bl w:val="nil"/>
                  </w:tcBorders>
                  <w:shd w:val="clear" w:color="auto" w:fill="auto"/>
                  <w:tcMar>
                    <w:top w:w="0" w:type="dxa"/>
                    <w:left w:w="0" w:type="dxa"/>
                    <w:bottom w:w="0" w:type="dxa"/>
                    <w:right w:w="0" w:type="dxa"/>
                  </w:tcMar>
                  <w:vAlign w:val="center"/>
                </w:tcPr>
                <w:p w14:paraId="19D93C72">
                  <w:pPr>
                    <w:pStyle w:val="15"/>
                    <w:bidi w:val="0"/>
                    <w:rPr>
                      <w:rFonts w:hint="eastAsia"/>
                      <w:color w:val="auto"/>
                      <w:sz w:val="18"/>
                      <w:szCs w:val="18"/>
                    </w:rPr>
                  </w:pPr>
                  <w:r>
                    <w:rPr>
                      <w:rFonts w:hint="eastAsia"/>
                      <w:color w:val="auto"/>
                      <w:sz w:val="18"/>
                      <w:szCs w:val="18"/>
                      <w:lang w:val="en-US" w:eastAsia="zh-CN"/>
                    </w:rPr>
                    <w:t>0.04</w:t>
                  </w:r>
                </w:p>
              </w:tc>
              <w:tc>
                <w:tcPr>
                  <w:tcW w:w="278" w:type="pct"/>
                  <w:tcBorders>
                    <w:tl2br w:val="nil"/>
                    <w:tr2bl w:val="nil"/>
                  </w:tcBorders>
                  <w:shd w:val="clear" w:color="auto" w:fill="auto"/>
                  <w:tcMar>
                    <w:top w:w="0" w:type="dxa"/>
                    <w:left w:w="0" w:type="dxa"/>
                    <w:bottom w:w="0" w:type="dxa"/>
                    <w:right w:w="0" w:type="dxa"/>
                  </w:tcMar>
                  <w:vAlign w:val="center"/>
                </w:tcPr>
                <w:p w14:paraId="2336F6F2">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8A30700">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5FEB22B7">
                  <w:pPr>
                    <w:pStyle w:val="15"/>
                    <w:bidi w:val="0"/>
                    <w:rPr>
                      <w:rFonts w:hint="eastAsia"/>
                      <w:color w:val="auto"/>
                      <w:sz w:val="18"/>
                      <w:szCs w:val="18"/>
                    </w:rPr>
                  </w:pPr>
                  <w:r>
                    <w:rPr>
                      <w:rFonts w:hint="eastAsia"/>
                      <w:color w:val="auto"/>
                      <w:sz w:val="18"/>
                      <w:szCs w:val="18"/>
                      <w:lang w:val="en-US" w:eastAsia="zh-CN"/>
                    </w:rPr>
                    <w:t>0.0004</w:t>
                  </w:r>
                </w:p>
              </w:tc>
              <w:tc>
                <w:tcPr>
                  <w:tcW w:w="200" w:type="pct"/>
                  <w:tcBorders>
                    <w:tl2br w:val="nil"/>
                    <w:tr2bl w:val="nil"/>
                  </w:tcBorders>
                  <w:shd w:val="clear" w:color="auto" w:fill="auto"/>
                  <w:tcMar>
                    <w:top w:w="0" w:type="dxa"/>
                    <w:left w:w="0" w:type="dxa"/>
                    <w:bottom w:w="0" w:type="dxa"/>
                    <w:right w:w="0" w:type="dxa"/>
                  </w:tcMar>
                  <w:vAlign w:val="center"/>
                </w:tcPr>
                <w:p w14:paraId="3D44A9E1">
                  <w:pPr>
                    <w:pStyle w:val="15"/>
                    <w:bidi w:val="0"/>
                    <w:rPr>
                      <w:rFonts w:hint="eastAsia"/>
                      <w:color w:val="auto"/>
                      <w:sz w:val="18"/>
                      <w:szCs w:val="18"/>
                    </w:rPr>
                  </w:pPr>
                  <w:r>
                    <w:rPr>
                      <w:rFonts w:hint="eastAsia"/>
                      <w:color w:val="auto"/>
                      <w:sz w:val="18"/>
                      <w:szCs w:val="18"/>
                      <w:lang w:val="en-US" w:eastAsia="zh-CN"/>
                    </w:rPr>
                    <w:t>0.04</w:t>
                  </w:r>
                </w:p>
              </w:tc>
              <w:tc>
                <w:tcPr>
                  <w:tcW w:w="238" w:type="pct"/>
                  <w:tcBorders>
                    <w:tl2br w:val="nil"/>
                    <w:tr2bl w:val="nil"/>
                  </w:tcBorders>
                  <w:shd w:val="clear" w:color="auto" w:fill="auto"/>
                  <w:tcMar>
                    <w:top w:w="0" w:type="dxa"/>
                    <w:left w:w="0" w:type="dxa"/>
                    <w:bottom w:w="0" w:type="dxa"/>
                    <w:right w:w="0" w:type="dxa"/>
                  </w:tcMar>
                  <w:vAlign w:val="center"/>
                </w:tcPr>
                <w:p w14:paraId="63559FE8">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24EA183">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6C48E14B">
                  <w:pPr>
                    <w:pStyle w:val="15"/>
                    <w:bidi w:val="0"/>
                    <w:rPr>
                      <w:rFonts w:hint="eastAsia"/>
                      <w:color w:val="auto"/>
                      <w:sz w:val="18"/>
                      <w:szCs w:val="18"/>
                    </w:rPr>
                  </w:pPr>
                  <w:r>
                    <w:rPr>
                      <w:rFonts w:hint="eastAsia"/>
                      <w:color w:val="auto"/>
                      <w:sz w:val="18"/>
                      <w:szCs w:val="18"/>
                      <w:lang w:val="en-US" w:eastAsia="zh-CN"/>
                    </w:rPr>
                    <w:t>0.0004</w:t>
                  </w:r>
                </w:p>
              </w:tc>
              <w:tc>
                <w:tcPr>
                  <w:tcW w:w="220" w:type="pct"/>
                  <w:tcBorders>
                    <w:tl2br w:val="nil"/>
                    <w:tr2bl w:val="nil"/>
                  </w:tcBorders>
                  <w:shd w:val="clear" w:color="auto" w:fill="auto"/>
                  <w:tcMar>
                    <w:top w:w="0" w:type="dxa"/>
                    <w:left w:w="0" w:type="dxa"/>
                    <w:bottom w:w="0" w:type="dxa"/>
                    <w:right w:w="0" w:type="dxa"/>
                  </w:tcMar>
                  <w:vAlign w:val="center"/>
                </w:tcPr>
                <w:p w14:paraId="13CB8440">
                  <w:pPr>
                    <w:pStyle w:val="15"/>
                    <w:bidi w:val="0"/>
                    <w:rPr>
                      <w:rFonts w:hint="eastAsia"/>
                      <w:color w:val="auto"/>
                      <w:sz w:val="18"/>
                      <w:szCs w:val="18"/>
                    </w:rPr>
                  </w:pPr>
                  <w:r>
                    <w:rPr>
                      <w:rFonts w:hint="eastAsia"/>
                      <w:color w:val="auto"/>
                      <w:sz w:val="18"/>
                      <w:szCs w:val="18"/>
                      <w:lang w:val="en-US" w:eastAsia="zh-CN"/>
                    </w:rPr>
                    <w:t>0.04</w:t>
                  </w:r>
                </w:p>
              </w:tc>
              <w:tc>
                <w:tcPr>
                  <w:tcW w:w="278" w:type="pct"/>
                  <w:tcBorders>
                    <w:tl2br w:val="nil"/>
                    <w:tr2bl w:val="nil"/>
                  </w:tcBorders>
                  <w:shd w:val="clear" w:color="auto" w:fill="auto"/>
                  <w:tcMar>
                    <w:top w:w="0" w:type="dxa"/>
                    <w:left w:w="0" w:type="dxa"/>
                    <w:bottom w:w="0" w:type="dxa"/>
                    <w:right w:w="0" w:type="dxa"/>
                  </w:tcMar>
                  <w:vAlign w:val="center"/>
                </w:tcPr>
                <w:p w14:paraId="4C4243F5">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B455E81">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4B47E2C2">
                  <w:pPr>
                    <w:pStyle w:val="15"/>
                    <w:bidi w:val="0"/>
                    <w:rPr>
                      <w:rFonts w:hint="eastAsia"/>
                      <w:color w:val="auto"/>
                      <w:sz w:val="18"/>
                      <w:szCs w:val="18"/>
                    </w:rPr>
                  </w:pPr>
                  <w:r>
                    <w:rPr>
                      <w:rFonts w:hint="eastAsia"/>
                      <w:color w:val="auto"/>
                      <w:sz w:val="18"/>
                      <w:szCs w:val="18"/>
                      <w:lang w:val="en-US" w:eastAsia="zh-CN"/>
                    </w:rPr>
                    <w:t>0.0003</w:t>
                  </w:r>
                </w:p>
              </w:tc>
            </w:tr>
            <w:tr w14:paraId="37C30D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5A5B9593">
                  <w:pPr>
                    <w:pStyle w:val="15"/>
                    <w:bidi w:val="0"/>
                    <w:rPr>
                      <w:rFonts w:hint="eastAsia"/>
                      <w:color w:val="auto"/>
                      <w:sz w:val="18"/>
                      <w:szCs w:val="18"/>
                    </w:rPr>
                  </w:pPr>
                  <w:r>
                    <w:rPr>
                      <w:rFonts w:hint="eastAsia"/>
                      <w:color w:val="auto"/>
                      <w:sz w:val="18"/>
                      <w:szCs w:val="18"/>
                      <w:lang w:val="en-US" w:eastAsia="zh-CN"/>
                    </w:rPr>
                    <w:t>24</w:t>
                  </w:r>
                </w:p>
              </w:tc>
              <w:tc>
                <w:tcPr>
                  <w:tcW w:w="631" w:type="pct"/>
                  <w:tcBorders>
                    <w:tl2br w:val="nil"/>
                    <w:tr2bl w:val="nil"/>
                  </w:tcBorders>
                  <w:shd w:val="clear" w:color="auto" w:fill="auto"/>
                  <w:tcMar>
                    <w:top w:w="0" w:type="dxa"/>
                    <w:left w:w="0" w:type="dxa"/>
                    <w:bottom w:w="0" w:type="dxa"/>
                    <w:right w:w="0" w:type="dxa"/>
                  </w:tcMar>
                  <w:vAlign w:val="center"/>
                </w:tcPr>
                <w:p w14:paraId="15F16877">
                  <w:pPr>
                    <w:pStyle w:val="15"/>
                    <w:bidi w:val="0"/>
                    <w:rPr>
                      <w:rFonts w:hint="eastAsia"/>
                      <w:color w:val="auto"/>
                      <w:sz w:val="18"/>
                      <w:szCs w:val="18"/>
                    </w:rPr>
                  </w:pPr>
                  <w:r>
                    <w:rPr>
                      <w:rFonts w:hint="eastAsia"/>
                      <w:color w:val="auto"/>
                      <w:sz w:val="18"/>
                      <w:szCs w:val="18"/>
                      <w:lang w:val="en-US" w:eastAsia="zh-CN"/>
                    </w:rPr>
                    <w:t>铜</w:t>
                  </w:r>
                </w:p>
              </w:tc>
              <w:tc>
                <w:tcPr>
                  <w:tcW w:w="465" w:type="pct"/>
                  <w:tcBorders>
                    <w:tl2br w:val="nil"/>
                    <w:tr2bl w:val="nil"/>
                  </w:tcBorders>
                  <w:shd w:val="clear" w:color="auto" w:fill="auto"/>
                  <w:tcMar>
                    <w:top w:w="0" w:type="dxa"/>
                    <w:left w:w="0" w:type="dxa"/>
                    <w:bottom w:w="0" w:type="dxa"/>
                    <w:right w:w="0" w:type="dxa"/>
                  </w:tcMar>
                  <w:vAlign w:val="center"/>
                </w:tcPr>
                <w:p w14:paraId="0CA5CEBC">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7379CC0C">
                  <w:pPr>
                    <w:pStyle w:val="15"/>
                    <w:bidi w:val="0"/>
                    <w:rPr>
                      <w:rFonts w:hint="eastAsia"/>
                      <w:color w:val="auto"/>
                      <w:sz w:val="18"/>
                      <w:szCs w:val="18"/>
                    </w:rPr>
                  </w:pPr>
                  <w:r>
                    <w:rPr>
                      <w:rFonts w:hint="eastAsia"/>
                      <w:color w:val="auto"/>
                      <w:sz w:val="18"/>
                      <w:szCs w:val="18"/>
                      <w:lang w:val="en-US" w:eastAsia="zh-CN"/>
                    </w:rPr>
                    <w:t>1</w:t>
                  </w:r>
                </w:p>
              </w:tc>
              <w:tc>
                <w:tcPr>
                  <w:tcW w:w="279" w:type="pct"/>
                  <w:tcBorders>
                    <w:tl2br w:val="nil"/>
                    <w:tr2bl w:val="nil"/>
                  </w:tcBorders>
                  <w:shd w:val="clear" w:color="auto" w:fill="auto"/>
                  <w:tcMar>
                    <w:top w:w="0" w:type="dxa"/>
                    <w:left w:w="0" w:type="dxa"/>
                    <w:bottom w:w="0" w:type="dxa"/>
                    <w:right w:w="0" w:type="dxa"/>
                  </w:tcMar>
                  <w:vAlign w:val="center"/>
                </w:tcPr>
                <w:p w14:paraId="1C44DB2B">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22F7F042">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68B68EE">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F7F6E80">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2AEEF28">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31CE1C62">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5F2973B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45AF01B0">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6231C97">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616B709">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E6BCA0F">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1983D2D">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6DB7BA7A">
                  <w:pPr>
                    <w:pStyle w:val="15"/>
                    <w:bidi w:val="0"/>
                    <w:rPr>
                      <w:rFonts w:hint="eastAsia"/>
                      <w:color w:val="auto"/>
                      <w:sz w:val="18"/>
                      <w:szCs w:val="18"/>
                    </w:rPr>
                  </w:pPr>
                  <w:r>
                    <w:rPr>
                      <w:rFonts w:hint="eastAsia"/>
                      <w:color w:val="auto"/>
                      <w:sz w:val="18"/>
                      <w:szCs w:val="18"/>
                      <w:lang w:val="en-US" w:eastAsia="zh-CN"/>
                    </w:rPr>
                    <w:t>0.05</w:t>
                  </w:r>
                </w:p>
              </w:tc>
            </w:tr>
            <w:tr w14:paraId="50B17F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16EA50ED">
                  <w:pPr>
                    <w:pStyle w:val="15"/>
                    <w:bidi w:val="0"/>
                    <w:rPr>
                      <w:rFonts w:hint="eastAsia"/>
                      <w:color w:val="auto"/>
                      <w:sz w:val="18"/>
                      <w:szCs w:val="18"/>
                    </w:rPr>
                  </w:pPr>
                  <w:r>
                    <w:rPr>
                      <w:rFonts w:hint="eastAsia"/>
                      <w:color w:val="auto"/>
                      <w:sz w:val="18"/>
                      <w:szCs w:val="18"/>
                      <w:lang w:val="en-US" w:eastAsia="zh-CN"/>
                    </w:rPr>
                    <w:t>25</w:t>
                  </w:r>
                </w:p>
              </w:tc>
              <w:tc>
                <w:tcPr>
                  <w:tcW w:w="631" w:type="pct"/>
                  <w:tcBorders>
                    <w:tl2br w:val="nil"/>
                    <w:tr2bl w:val="nil"/>
                  </w:tcBorders>
                  <w:shd w:val="clear" w:color="auto" w:fill="auto"/>
                  <w:tcMar>
                    <w:top w:w="0" w:type="dxa"/>
                    <w:left w:w="0" w:type="dxa"/>
                    <w:bottom w:w="0" w:type="dxa"/>
                    <w:right w:w="0" w:type="dxa"/>
                  </w:tcMar>
                  <w:vAlign w:val="center"/>
                </w:tcPr>
                <w:p w14:paraId="65902A36">
                  <w:pPr>
                    <w:pStyle w:val="15"/>
                    <w:bidi w:val="0"/>
                    <w:rPr>
                      <w:rFonts w:hint="eastAsia"/>
                      <w:color w:val="auto"/>
                      <w:sz w:val="18"/>
                      <w:szCs w:val="18"/>
                    </w:rPr>
                  </w:pPr>
                  <w:r>
                    <w:rPr>
                      <w:rFonts w:hint="eastAsia"/>
                      <w:color w:val="auto"/>
                      <w:sz w:val="18"/>
                      <w:szCs w:val="18"/>
                      <w:lang w:val="en-US" w:eastAsia="zh-CN"/>
                    </w:rPr>
                    <w:t>锌</w:t>
                  </w:r>
                </w:p>
              </w:tc>
              <w:tc>
                <w:tcPr>
                  <w:tcW w:w="465" w:type="pct"/>
                  <w:tcBorders>
                    <w:tl2br w:val="nil"/>
                    <w:tr2bl w:val="nil"/>
                  </w:tcBorders>
                  <w:shd w:val="clear" w:color="auto" w:fill="auto"/>
                  <w:tcMar>
                    <w:top w:w="0" w:type="dxa"/>
                    <w:left w:w="0" w:type="dxa"/>
                    <w:bottom w:w="0" w:type="dxa"/>
                    <w:right w:w="0" w:type="dxa"/>
                  </w:tcMar>
                  <w:vAlign w:val="center"/>
                </w:tcPr>
                <w:p w14:paraId="404E5486">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2C03827D">
                  <w:pPr>
                    <w:pStyle w:val="15"/>
                    <w:bidi w:val="0"/>
                    <w:rPr>
                      <w:rFonts w:hint="eastAsia"/>
                      <w:color w:val="auto"/>
                      <w:sz w:val="18"/>
                      <w:szCs w:val="18"/>
                    </w:rPr>
                  </w:pPr>
                  <w:r>
                    <w:rPr>
                      <w:rFonts w:hint="eastAsia"/>
                      <w:color w:val="auto"/>
                      <w:sz w:val="18"/>
                      <w:szCs w:val="18"/>
                      <w:lang w:val="en-US" w:eastAsia="zh-CN"/>
                    </w:rPr>
                    <w:t>1</w:t>
                  </w:r>
                </w:p>
              </w:tc>
              <w:tc>
                <w:tcPr>
                  <w:tcW w:w="279" w:type="pct"/>
                  <w:tcBorders>
                    <w:tl2br w:val="nil"/>
                    <w:tr2bl w:val="nil"/>
                  </w:tcBorders>
                  <w:shd w:val="clear" w:color="auto" w:fill="auto"/>
                  <w:tcMar>
                    <w:top w:w="0" w:type="dxa"/>
                    <w:left w:w="0" w:type="dxa"/>
                    <w:bottom w:w="0" w:type="dxa"/>
                    <w:right w:w="0" w:type="dxa"/>
                  </w:tcMar>
                  <w:vAlign w:val="center"/>
                </w:tcPr>
                <w:p w14:paraId="501C6FB1">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793D1339">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B63E1B0">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7B2B205">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5BCE6025">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4B3C5284">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4A2FCC53">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4DC62DEA">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5CD1FD0">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4364417">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06CD1F6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A6A7B6C">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342AB78A">
                  <w:pPr>
                    <w:pStyle w:val="15"/>
                    <w:bidi w:val="0"/>
                    <w:rPr>
                      <w:rFonts w:hint="eastAsia"/>
                      <w:color w:val="auto"/>
                      <w:sz w:val="18"/>
                      <w:szCs w:val="18"/>
                    </w:rPr>
                  </w:pPr>
                  <w:r>
                    <w:rPr>
                      <w:rFonts w:hint="eastAsia"/>
                      <w:color w:val="auto"/>
                      <w:sz w:val="18"/>
                      <w:szCs w:val="18"/>
                      <w:lang w:val="en-US" w:eastAsia="zh-CN"/>
                    </w:rPr>
                    <w:t>0.05</w:t>
                  </w:r>
                </w:p>
              </w:tc>
            </w:tr>
            <w:tr w14:paraId="2AC275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7537C75">
                  <w:pPr>
                    <w:pStyle w:val="15"/>
                    <w:bidi w:val="0"/>
                    <w:rPr>
                      <w:rFonts w:hint="eastAsia"/>
                      <w:color w:val="auto"/>
                      <w:sz w:val="18"/>
                      <w:szCs w:val="18"/>
                    </w:rPr>
                  </w:pPr>
                  <w:r>
                    <w:rPr>
                      <w:rFonts w:hint="eastAsia"/>
                      <w:color w:val="auto"/>
                      <w:sz w:val="18"/>
                      <w:szCs w:val="18"/>
                      <w:lang w:val="en-US" w:eastAsia="zh-CN"/>
                    </w:rPr>
                    <w:t>26</w:t>
                  </w:r>
                </w:p>
              </w:tc>
              <w:tc>
                <w:tcPr>
                  <w:tcW w:w="631" w:type="pct"/>
                  <w:tcBorders>
                    <w:tl2br w:val="nil"/>
                    <w:tr2bl w:val="nil"/>
                  </w:tcBorders>
                  <w:shd w:val="clear" w:color="auto" w:fill="auto"/>
                  <w:tcMar>
                    <w:top w:w="0" w:type="dxa"/>
                    <w:left w:w="0" w:type="dxa"/>
                    <w:bottom w:w="0" w:type="dxa"/>
                    <w:right w:w="0" w:type="dxa"/>
                  </w:tcMar>
                  <w:vAlign w:val="center"/>
                </w:tcPr>
                <w:p w14:paraId="426F2712">
                  <w:pPr>
                    <w:pStyle w:val="15"/>
                    <w:bidi w:val="0"/>
                    <w:rPr>
                      <w:rFonts w:hint="eastAsia"/>
                      <w:color w:val="auto"/>
                      <w:sz w:val="18"/>
                      <w:szCs w:val="18"/>
                    </w:rPr>
                  </w:pPr>
                  <w:r>
                    <w:rPr>
                      <w:rFonts w:hint="eastAsia"/>
                      <w:color w:val="auto"/>
                      <w:sz w:val="18"/>
                      <w:szCs w:val="18"/>
                      <w:lang w:val="en-US" w:eastAsia="zh-CN"/>
                    </w:rPr>
                    <w:t>铅</w:t>
                  </w:r>
                </w:p>
              </w:tc>
              <w:tc>
                <w:tcPr>
                  <w:tcW w:w="465" w:type="pct"/>
                  <w:tcBorders>
                    <w:tl2br w:val="nil"/>
                    <w:tr2bl w:val="nil"/>
                  </w:tcBorders>
                  <w:shd w:val="clear" w:color="auto" w:fill="auto"/>
                  <w:tcMar>
                    <w:top w:w="0" w:type="dxa"/>
                    <w:left w:w="0" w:type="dxa"/>
                    <w:bottom w:w="0" w:type="dxa"/>
                    <w:right w:w="0" w:type="dxa"/>
                  </w:tcMar>
                  <w:vAlign w:val="center"/>
                </w:tcPr>
                <w:p w14:paraId="3E62E75C">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19107471">
                  <w:pPr>
                    <w:pStyle w:val="15"/>
                    <w:bidi w:val="0"/>
                    <w:rPr>
                      <w:rFonts w:hint="eastAsia"/>
                      <w:color w:val="auto"/>
                      <w:sz w:val="18"/>
                      <w:szCs w:val="18"/>
                    </w:rPr>
                  </w:pPr>
                  <w:r>
                    <w:rPr>
                      <w:rFonts w:hint="eastAsia"/>
                      <w:color w:val="auto"/>
                      <w:sz w:val="18"/>
                      <w:szCs w:val="18"/>
                      <w:lang w:val="en-US" w:eastAsia="zh-CN"/>
                    </w:rPr>
                    <w:t>0.01</w:t>
                  </w:r>
                </w:p>
              </w:tc>
              <w:tc>
                <w:tcPr>
                  <w:tcW w:w="279" w:type="pct"/>
                  <w:tcBorders>
                    <w:tl2br w:val="nil"/>
                    <w:tr2bl w:val="nil"/>
                  </w:tcBorders>
                  <w:shd w:val="clear" w:color="auto" w:fill="auto"/>
                  <w:tcMar>
                    <w:top w:w="0" w:type="dxa"/>
                    <w:left w:w="0" w:type="dxa"/>
                    <w:bottom w:w="0" w:type="dxa"/>
                    <w:right w:w="0" w:type="dxa"/>
                  </w:tcMar>
                  <w:vAlign w:val="center"/>
                </w:tcPr>
                <w:p w14:paraId="330635B1">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51F9594">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FAC90A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49CFA07">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32B1C8E7">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33F467BE">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52630D60">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F792321">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140F120B">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1F432365">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51A5EB4">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9B79BFB">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66425680">
                  <w:pPr>
                    <w:pStyle w:val="15"/>
                    <w:bidi w:val="0"/>
                    <w:rPr>
                      <w:rFonts w:hint="eastAsia"/>
                      <w:color w:val="auto"/>
                      <w:sz w:val="18"/>
                      <w:szCs w:val="18"/>
                    </w:rPr>
                  </w:pPr>
                  <w:r>
                    <w:rPr>
                      <w:rFonts w:hint="eastAsia"/>
                      <w:color w:val="auto"/>
                      <w:sz w:val="18"/>
                      <w:szCs w:val="18"/>
                      <w:lang w:val="en-US" w:eastAsia="zh-CN"/>
                    </w:rPr>
                    <w:t>0.0025</w:t>
                  </w:r>
                </w:p>
              </w:tc>
            </w:tr>
            <w:tr w14:paraId="67A7B7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4B491A36">
                  <w:pPr>
                    <w:pStyle w:val="15"/>
                    <w:bidi w:val="0"/>
                    <w:rPr>
                      <w:rFonts w:hint="eastAsia"/>
                      <w:color w:val="auto"/>
                      <w:sz w:val="18"/>
                      <w:szCs w:val="18"/>
                    </w:rPr>
                  </w:pPr>
                  <w:r>
                    <w:rPr>
                      <w:rFonts w:hint="eastAsia"/>
                      <w:color w:val="auto"/>
                      <w:sz w:val="18"/>
                      <w:szCs w:val="18"/>
                      <w:lang w:val="en-US" w:eastAsia="zh-CN"/>
                    </w:rPr>
                    <w:t>27</w:t>
                  </w:r>
                </w:p>
              </w:tc>
              <w:tc>
                <w:tcPr>
                  <w:tcW w:w="631" w:type="pct"/>
                  <w:tcBorders>
                    <w:tl2br w:val="nil"/>
                    <w:tr2bl w:val="nil"/>
                  </w:tcBorders>
                  <w:shd w:val="clear" w:color="auto" w:fill="auto"/>
                  <w:tcMar>
                    <w:top w:w="0" w:type="dxa"/>
                    <w:left w:w="0" w:type="dxa"/>
                    <w:bottom w:w="0" w:type="dxa"/>
                    <w:right w:w="0" w:type="dxa"/>
                  </w:tcMar>
                  <w:vAlign w:val="center"/>
                </w:tcPr>
                <w:p w14:paraId="2FB34402">
                  <w:pPr>
                    <w:pStyle w:val="15"/>
                    <w:bidi w:val="0"/>
                    <w:rPr>
                      <w:rFonts w:hint="eastAsia"/>
                      <w:color w:val="auto"/>
                      <w:sz w:val="18"/>
                      <w:szCs w:val="18"/>
                    </w:rPr>
                  </w:pPr>
                  <w:r>
                    <w:rPr>
                      <w:rFonts w:hint="eastAsia"/>
                      <w:color w:val="auto"/>
                      <w:sz w:val="18"/>
                      <w:szCs w:val="18"/>
                      <w:lang w:val="en-US" w:eastAsia="zh-CN"/>
                    </w:rPr>
                    <w:t>镉</w:t>
                  </w:r>
                </w:p>
              </w:tc>
              <w:tc>
                <w:tcPr>
                  <w:tcW w:w="465" w:type="pct"/>
                  <w:tcBorders>
                    <w:tl2br w:val="nil"/>
                    <w:tr2bl w:val="nil"/>
                  </w:tcBorders>
                  <w:shd w:val="clear" w:color="auto" w:fill="auto"/>
                  <w:tcMar>
                    <w:top w:w="0" w:type="dxa"/>
                    <w:left w:w="0" w:type="dxa"/>
                    <w:bottom w:w="0" w:type="dxa"/>
                    <w:right w:w="0" w:type="dxa"/>
                  </w:tcMar>
                  <w:vAlign w:val="center"/>
                </w:tcPr>
                <w:p w14:paraId="291A674D">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61117415">
                  <w:pPr>
                    <w:pStyle w:val="15"/>
                    <w:bidi w:val="0"/>
                    <w:rPr>
                      <w:rFonts w:hint="eastAsia"/>
                      <w:color w:val="auto"/>
                      <w:sz w:val="18"/>
                      <w:szCs w:val="18"/>
                    </w:rPr>
                  </w:pPr>
                  <w:r>
                    <w:rPr>
                      <w:rFonts w:hint="eastAsia"/>
                      <w:color w:val="auto"/>
                      <w:sz w:val="18"/>
                      <w:szCs w:val="18"/>
                      <w:lang w:val="en-US" w:eastAsia="zh-CN"/>
                    </w:rPr>
                    <w:t>0.005</w:t>
                  </w:r>
                </w:p>
              </w:tc>
              <w:tc>
                <w:tcPr>
                  <w:tcW w:w="279" w:type="pct"/>
                  <w:tcBorders>
                    <w:tl2br w:val="nil"/>
                    <w:tr2bl w:val="nil"/>
                  </w:tcBorders>
                  <w:shd w:val="clear" w:color="auto" w:fill="auto"/>
                  <w:tcMar>
                    <w:top w:w="0" w:type="dxa"/>
                    <w:left w:w="0" w:type="dxa"/>
                    <w:bottom w:w="0" w:type="dxa"/>
                    <w:right w:w="0" w:type="dxa"/>
                  </w:tcMar>
                  <w:vAlign w:val="center"/>
                </w:tcPr>
                <w:p w14:paraId="6FE26163">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AE93D9F">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4D37B90">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5B66F97">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92854BA">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016EC05F">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37756A59">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2F4D4F5">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77915AD5">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21A05838">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95731E1">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82AA824">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757E0484">
                  <w:pPr>
                    <w:pStyle w:val="15"/>
                    <w:bidi w:val="0"/>
                    <w:rPr>
                      <w:rFonts w:hint="eastAsia"/>
                      <w:color w:val="auto"/>
                      <w:sz w:val="18"/>
                      <w:szCs w:val="18"/>
                    </w:rPr>
                  </w:pPr>
                  <w:r>
                    <w:rPr>
                      <w:rFonts w:hint="eastAsia"/>
                      <w:color w:val="auto"/>
                      <w:sz w:val="18"/>
                      <w:szCs w:val="18"/>
                      <w:lang w:val="en-US" w:eastAsia="zh-CN"/>
                    </w:rPr>
                    <w:t>0.0005</w:t>
                  </w:r>
                </w:p>
              </w:tc>
            </w:tr>
            <w:tr w14:paraId="7CDA3F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0689B6BB">
                  <w:pPr>
                    <w:pStyle w:val="15"/>
                    <w:bidi w:val="0"/>
                    <w:rPr>
                      <w:rFonts w:hint="eastAsia"/>
                      <w:color w:val="auto"/>
                      <w:sz w:val="18"/>
                      <w:szCs w:val="18"/>
                    </w:rPr>
                  </w:pPr>
                  <w:r>
                    <w:rPr>
                      <w:rFonts w:hint="eastAsia"/>
                      <w:color w:val="auto"/>
                      <w:sz w:val="18"/>
                      <w:szCs w:val="18"/>
                      <w:lang w:val="en-US" w:eastAsia="zh-CN"/>
                    </w:rPr>
                    <w:t>28</w:t>
                  </w:r>
                </w:p>
              </w:tc>
              <w:tc>
                <w:tcPr>
                  <w:tcW w:w="631" w:type="pct"/>
                  <w:tcBorders>
                    <w:tl2br w:val="nil"/>
                    <w:tr2bl w:val="nil"/>
                  </w:tcBorders>
                  <w:shd w:val="clear" w:color="auto" w:fill="auto"/>
                  <w:tcMar>
                    <w:top w:w="0" w:type="dxa"/>
                    <w:left w:w="0" w:type="dxa"/>
                    <w:bottom w:w="0" w:type="dxa"/>
                    <w:right w:w="0" w:type="dxa"/>
                  </w:tcMar>
                  <w:vAlign w:val="center"/>
                </w:tcPr>
                <w:p w14:paraId="491BCE08">
                  <w:pPr>
                    <w:pStyle w:val="15"/>
                    <w:bidi w:val="0"/>
                    <w:rPr>
                      <w:rFonts w:hint="eastAsia"/>
                      <w:color w:val="auto"/>
                      <w:sz w:val="18"/>
                      <w:szCs w:val="18"/>
                    </w:rPr>
                  </w:pPr>
                  <w:r>
                    <w:rPr>
                      <w:rFonts w:hint="eastAsia"/>
                      <w:color w:val="auto"/>
                      <w:sz w:val="18"/>
                      <w:szCs w:val="18"/>
                      <w:lang w:val="en-US" w:eastAsia="zh-CN"/>
                    </w:rPr>
                    <w:t>铁</w:t>
                  </w:r>
                </w:p>
              </w:tc>
              <w:tc>
                <w:tcPr>
                  <w:tcW w:w="465" w:type="pct"/>
                  <w:tcBorders>
                    <w:tl2br w:val="nil"/>
                    <w:tr2bl w:val="nil"/>
                  </w:tcBorders>
                  <w:shd w:val="clear" w:color="auto" w:fill="auto"/>
                  <w:tcMar>
                    <w:top w:w="0" w:type="dxa"/>
                    <w:left w:w="0" w:type="dxa"/>
                    <w:bottom w:w="0" w:type="dxa"/>
                    <w:right w:w="0" w:type="dxa"/>
                  </w:tcMar>
                  <w:vAlign w:val="center"/>
                </w:tcPr>
                <w:p w14:paraId="34D7D207">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64D35312">
                  <w:pPr>
                    <w:pStyle w:val="15"/>
                    <w:bidi w:val="0"/>
                    <w:rPr>
                      <w:rFonts w:hint="eastAsia"/>
                      <w:color w:val="auto"/>
                      <w:sz w:val="18"/>
                      <w:szCs w:val="18"/>
                    </w:rPr>
                  </w:pPr>
                  <w:r>
                    <w:rPr>
                      <w:rFonts w:hint="eastAsia"/>
                      <w:color w:val="auto"/>
                      <w:sz w:val="18"/>
                      <w:szCs w:val="18"/>
                      <w:lang w:val="en-US" w:eastAsia="zh-CN"/>
                    </w:rPr>
                    <w:t>0.3</w:t>
                  </w:r>
                </w:p>
              </w:tc>
              <w:tc>
                <w:tcPr>
                  <w:tcW w:w="279" w:type="pct"/>
                  <w:tcBorders>
                    <w:tl2br w:val="nil"/>
                    <w:tr2bl w:val="nil"/>
                  </w:tcBorders>
                  <w:shd w:val="clear" w:color="auto" w:fill="auto"/>
                  <w:tcMar>
                    <w:top w:w="0" w:type="dxa"/>
                    <w:left w:w="0" w:type="dxa"/>
                    <w:bottom w:w="0" w:type="dxa"/>
                    <w:right w:w="0" w:type="dxa"/>
                  </w:tcMar>
                  <w:vAlign w:val="center"/>
                </w:tcPr>
                <w:p w14:paraId="2EB4F6E2">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268400B">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398D9A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492AF666">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29A97578">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37A1E727">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18F1DA96">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67D68DD">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A394737">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2BB7C4AD">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2859CF39">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08279E7">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4A439943">
                  <w:pPr>
                    <w:pStyle w:val="15"/>
                    <w:bidi w:val="0"/>
                    <w:rPr>
                      <w:rFonts w:hint="eastAsia"/>
                      <w:color w:val="auto"/>
                      <w:sz w:val="18"/>
                      <w:szCs w:val="18"/>
                    </w:rPr>
                  </w:pPr>
                  <w:r>
                    <w:rPr>
                      <w:rFonts w:hint="eastAsia"/>
                      <w:color w:val="auto"/>
                      <w:sz w:val="18"/>
                      <w:szCs w:val="18"/>
                      <w:lang w:val="en-US" w:eastAsia="zh-CN"/>
                    </w:rPr>
                    <w:t>0.03</w:t>
                  </w:r>
                </w:p>
              </w:tc>
            </w:tr>
            <w:tr w14:paraId="7C02DF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29501AE8">
                  <w:pPr>
                    <w:pStyle w:val="15"/>
                    <w:bidi w:val="0"/>
                    <w:rPr>
                      <w:rFonts w:hint="eastAsia"/>
                      <w:color w:val="auto"/>
                      <w:sz w:val="18"/>
                      <w:szCs w:val="18"/>
                    </w:rPr>
                  </w:pPr>
                  <w:r>
                    <w:rPr>
                      <w:rFonts w:hint="eastAsia"/>
                      <w:color w:val="auto"/>
                      <w:sz w:val="18"/>
                      <w:szCs w:val="18"/>
                      <w:lang w:val="en-US" w:eastAsia="zh-CN"/>
                    </w:rPr>
                    <w:t>29</w:t>
                  </w:r>
                </w:p>
              </w:tc>
              <w:tc>
                <w:tcPr>
                  <w:tcW w:w="631" w:type="pct"/>
                  <w:tcBorders>
                    <w:tl2br w:val="nil"/>
                    <w:tr2bl w:val="nil"/>
                  </w:tcBorders>
                  <w:shd w:val="clear" w:color="auto" w:fill="auto"/>
                  <w:tcMar>
                    <w:top w:w="0" w:type="dxa"/>
                    <w:left w:w="0" w:type="dxa"/>
                    <w:bottom w:w="0" w:type="dxa"/>
                    <w:right w:w="0" w:type="dxa"/>
                  </w:tcMar>
                  <w:vAlign w:val="center"/>
                </w:tcPr>
                <w:p w14:paraId="466575DA">
                  <w:pPr>
                    <w:pStyle w:val="15"/>
                    <w:bidi w:val="0"/>
                    <w:rPr>
                      <w:rFonts w:hint="eastAsia"/>
                      <w:color w:val="auto"/>
                      <w:sz w:val="18"/>
                      <w:szCs w:val="18"/>
                    </w:rPr>
                  </w:pPr>
                  <w:r>
                    <w:rPr>
                      <w:rFonts w:hint="eastAsia"/>
                      <w:color w:val="auto"/>
                      <w:sz w:val="18"/>
                      <w:szCs w:val="18"/>
                      <w:lang w:val="en-US" w:eastAsia="zh-CN"/>
                    </w:rPr>
                    <w:t>锰</w:t>
                  </w:r>
                </w:p>
              </w:tc>
              <w:tc>
                <w:tcPr>
                  <w:tcW w:w="465" w:type="pct"/>
                  <w:tcBorders>
                    <w:tl2br w:val="nil"/>
                    <w:tr2bl w:val="nil"/>
                  </w:tcBorders>
                  <w:shd w:val="clear" w:color="auto" w:fill="auto"/>
                  <w:tcMar>
                    <w:top w:w="0" w:type="dxa"/>
                    <w:left w:w="0" w:type="dxa"/>
                    <w:bottom w:w="0" w:type="dxa"/>
                    <w:right w:w="0" w:type="dxa"/>
                  </w:tcMar>
                  <w:vAlign w:val="center"/>
                </w:tcPr>
                <w:p w14:paraId="5CA82E5A">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7779EBE4">
                  <w:pPr>
                    <w:pStyle w:val="15"/>
                    <w:bidi w:val="0"/>
                    <w:rPr>
                      <w:rFonts w:hint="eastAsia"/>
                      <w:color w:val="auto"/>
                      <w:sz w:val="18"/>
                      <w:szCs w:val="18"/>
                    </w:rPr>
                  </w:pPr>
                  <w:r>
                    <w:rPr>
                      <w:rFonts w:hint="eastAsia"/>
                      <w:color w:val="auto"/>
                      <w:sz w:val="18"/>
                      <w:szCs w:val="18"/>
                      <w:lang w:val="en-US" w:eastAsia="zh-CN"/>
                    </w:rPr>
                    <w:t>0.1</w:t>
                  </w:r>
                </w:p>
              </w:tc>
              <w:tc>
                <w:tcPr>
                  <w:tcW w:w="279" w:type="pct"/>
                  <w:tcBorders>
                    <w:tl2br w:val="nil"/>
                    <w:tr2bl w:val="nil"/>
                  </w:tcBorders>
                  <w:shd w:val="clear" w:color="auto" w:fill="auto"/>
                  <w:tcMar>
                    <w:top w:w="0" w:type="dxa"/>
                    <w:left w:w="0" w:type="dxa"/>
                    <w:bottom w:w="0" w:type="dxa"/>
                    <w:right w:w="0" w:type="dxa"/>
                  </w:tcMar>
                  <w:vAlign w:val="center"/>
                </w:tcPr>
                <w:p w14:paraId="6ED88549">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5498E614">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6C1EE94">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D1B387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3C807DE7">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2ABF9E9E">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2E64F4C1">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8A6193F">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2E8670CA">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2DA8AC9D">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7911E11B">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60B7AF4">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4F303655">
                  <w:pPr>
                    <w:pStyle w:val="15"/>
                    <w:bidi w:val="0"/>
                    <w:rPr>
                      <w:rFonts w:hint="eastAsia"/>
                      <w:color w:val="auto"/>
                      <w:sz w:val="18"/>
                      <w:szCs w:val="18"/>
                    </w:rPr>
                  </w:pPr>
                  <w:r>
                    <w:rPr>
                      <w:rFonts w:hint="eastAsia"/>
                      <w:color w:val="auto"/>
                      <w:sz w:val="18"/>
                      <w:szCs w:val="18"/>
                      <w:lang w:val="en-US" w:eastAsia="zh-CN"/>
                    </w:rPr>
                    <w:t>0.01</w:t>
                  </w:r>
                </w:p>
              </w:tc>
            </w:tr>
            <w:tr w14:paraId="31903F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373D6DCB">
                  <w:pPr>
                    <w:pStyle w:val="15"/>
                    <w:bidi w:val="0"/>
                    <w:rPr>
                      <w:rFonts w:hint="eastAsia"/>
                      <w:color w:val="auto"/>
                      <w:sz w:val="18"/>
                      <w:szCs w:val="18"/>
                    </w:rPr>
                  </w:pPr>
                  <w:r>
                    <w:rPr>
                      <w:rFonts w:hint="eastAsia"/>
                      <w:color w:val="auto"/>
                      <w:sz w:val="18"/>
                      <w:szCs w:val="18"/>
                      <w:lang w:val="en-US" w:eastAsia="zh-CN"/>
                    </w:rPr>
                    <w:t>30</w:t>
                  </w:r>
                </w:p>
              </w:tc>
              <w:tc>
                <w:tcPr>
                  <w:tcW w:w="631" w:type="pct"/>
                  <w:tcBorders>
                    <w:tl2br w:val="nil"/>
                    <w:tr2bl w:val="nil"/>
                  </w:tcBorders>
                  <w:shd w:val="clear" w:color="auto" w:fill="auto"/>
                  <w:tcMar>
                    <w:top w:w="0" w:type="dxa"/>
                    <w:left w:w="0" w:type="dxa"/>
                    <w:bottom w:w="0" w:type="dxa"/>
                    <w:right w:w="0" w:type="dxa"/>
                  </w:tcMar>
                  <w:vAlign w:val="center"/>
                </w:tcPr>
                <w:p w14:paraId="3E26FDA4">
                  <w:pPr>
                    <w:pStyle w:val="15"/>
                    <w:bidi w:val="0"/>
                    <w:rPr>
                      <w:rFonts w:hint="eastAsia"/>
                      <w:color w:val="auto"/>
                      <w:sz w:val="18"/>
                      <w:szCs w:val="18"/>
                    </w:rPr>
                  </w:pPr>
                  <w:r>
                    <w:rPr>
                      <w:rFonts w:hint="eastAsia"/>
                      <w:color w:val="auto"/>
                      <w:sz w:val="18"/>
                      <w:szCs w:val="18"/>
                      <w:lang w:val="en-US" w:eastAsia="zh-CN"/>
                    </w:rPr>
                    <w:t>钾</w:t>
                  </w:r>
                </w:p>
              </w:tc>
              <w:tc>
                <w:tcPr>
                  <w:tcW w:w="465" w:type="pct"/>
                  <w:tcBorders>
                    <w:tl2br w:val="nil"/>
                    <w:tr2bl w:val="nil"/>
                  </w:tcBorders>
                  <w:shd w:val="clear" w:color="auto" w:fill="auto"/>
                  <w:tcMar>
                    <w:top w:w="0" w:type="dxa"/>
                    <w:left w:w="0" w:type="dxa"/>
                    <w:bottom w:w="0" w:type="dxa"/>
                    <w:right w:w="0" w:type="dxa"/>
                  </w:tcMar>
                  <w:vAlign w:val="center"/>
                </w:tcPr>
                <w:p w14:paraId="1A892F72">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75DFA202">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262C9EC8">
                  <w:pPr>
                    <w:pStyle w:val="15"/>
                    <w:bidi w:val="0"/>
                    <w:rPr>
                      <w:rFonts w:hint="eastAsia"/>
                      <w:color w:val="auto"/>
                      <w:sz w:val="18"/>
                      <w:szCs w:val="18"/>
                    </w:rPr>
                  </w:pPr>
                  <w:r>
                    <w:rPr>
                      <w:rFonts w:hint="eastAsia"/>
                      <w:color w:val="auto"/>
                      <w:sz w:val="18"/>
                      <w:szCs w:val="18"/>
                      <w:lang w:val="en-US" w:eastAsia="zh-CN"/>
                    </w:rPr>
                    <w:t>526</w:t>
                  </w:r>
                </w:p>
              </w:tc>
              <w:tc>
                <w:tcPr>
                  <w:tcW w:w="220" w:type="pct"/>
                  <w:tcBorders>
                    <w:tl2br w:val="nil"/>
                    <w:tr2bl w:val="nil"/>
                  </w:tcBorders>
                  <w:shd w:val="clear" w:color="auto" w:fill="auto"/>
                  <w:tcMar>
                    <w:top w:w="0" w:type="dxa"/>
                    <w:left w:w="0" w:type="dxa"/>
                    <w:bottom w:w="0" w:type="dxa"/>
                    <w:right w:w="0" w:type="dxa"/>
                  </w:tcMar>
                  <w:vAlign w:val="center"/>
                </w:tcPr>
                <w:p w14:paraId="33D84940">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2B9C40A6">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7121FA28">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0C9B79C">
                  <w:pPr>
                    <w:pStyle w:val="15"/>
                    <w:bidi w:val="0"/>
                    <w:rPr>
                      <w:rFonts w:hint="eastAsia"/>
                      <w:color w:val="auto"/>
                      <w:sz w:val="18"/>
                      <w:szCs w:val="18"/>
                    </w:rPr>
                  </w:pPr>
                  <w:r>
                    <w:rPr>
                      <w:rFonts w:hint="eastAsia"/>
                      <w:color w:val="auto"/>
                      <w:sz w:val="18"/>
                      <w:szCs w:val="18"/>
                      <w:lang w:val="en-US" w:eastAsia="zh-CN"/>
                    </w:rPr>
                    <w:t>106</w:t>
                  </w:r>
                </w:p>
              </w:tc>
              <w:tc>
                <w:tcPr>
                  <w:tcW w:w="200" w:type="pct"/>
                  <w:tcBorders>
                    <w:tl2br w:val="nil"/>
                    <w:tr2bl w:val="nil"/>
                  </w:tcBorders>
                  <w:shd w:val="clear" w:color="auto" w:fill="auto"/>
                  <w:tcMar>
                    <w:top w:w="0" w:type="dxa"/>
                    <w:left w:w="0" w:type="dxa"/>
                    <w:bottom w:w="0" w:type="dxa"/>
                    <w:right w:w="0" w:type="dxa"/>
                  </w:tcMar>
                  <w:vAlign w:val="center"/>
                </w:tcPr>
                <w:p w14:paraId="3B6AF9D5">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1DC8168A">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61455505">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15694F36">
                  <w:pPr>
                    <w:pStyle w:val="15"/>
                    <w:bidi w:val="0"/>
                    <w:rPr>
                      <w:rFonts w:hint="eastAsia"/>
                      <w:color w:val="auto"/>
                      <w:sz w:val="18"/>
                      <w:szCs w:val="18"/>
                    </w:rPr>
                  </w:pPr>
                  <w:r>
                    <w:rPr>
                      <w:rFonts w:hint="eastAsia"/>
                      <w:color w:val="auto"/>
                      <w:sz w:val="18"/>
                      <w:szCs w:val="18"/>
                      <w:lang w:val="en-US" w:eastAsia="zh-CN"/>
                    </w:rPr>
                    <w:t>528</w:t>
                  </w:r>
                </w:p>
              </w:tc>
              <w:tc>
                <w:tcPr>
                  <w:tcW w:w="220" w:type="pct"/>
                  <w:tcBorders>
                    <w:tl2br w:val="nil"/>
                    <w:tr2bl w:val="nil"/>
                  </w:tcBorders>
                  <w:shd w:val="clear" w:color="auto" w:fill="auto"/>
                  <w:tcMar>
                    <w:top w:w="0" w:type="dxa"/>
                    <w:left w:w="0" w:type="dxa"/>
                    <w:bottom w:w="0" w:type="dxa"/>
                    <w:right w:w="0" w:type="dxa"/>
                  </w:tcMar>
                  <w:vAlign w:val="center"/>
                </w:tcPr>
                <w:p w14:paraId="1F48D4D9">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BF91C1F">
                  <w:pPr>
                    <w:pStyle w:val="15"/>
                    <w:bidi w:val="0"/>
                    <w:rPr>
                      <w:rFonts w:hint="eastAsia"/>
                      <w:color w:val="auto"/>
                      <w:sz w:val="18"/>
                      <w:szCs w:val="18"/>
                    </w:rPr>
                  </w:pPr>
                  <w:r>
                    <w:rPr>
                      <w:rFonts w:hint="eastAsia"/>
                      <w:color w:val="auto"/>
                      <w:sz w:val="18"/>
                      <w:szCs w:val="18"/>
                      <w:lang w:val="en-US" w:eastAsia="zh-CN"/>
                    </w:rPr>
                    <w:t>/</w:t>
                  </w:r>
                </w:p>
              </w:tc>
              <w:tc>
                <w:tcPr>
                  <w:tcW w:w="279" w:type="pct"/>
                  <w:tcBorders>
                    <w:tl2br w:val="nil"/>
                    <w:tr2bl w:val="nil"/>
                  </w:tcBorders>
                  <w:shd w:val="clear" w:color="auto" w:fill="auto"/>
                  <w:tcMar>
                    <w:top w:w="0" w:type="dxa"/>
                    <w:left w:w="0" w:type="dxa"/>
                    <w:bottom w:w="0" w:type="dxa"/>
                    <w:right w:w="0" w:type="dxa"/>
                  </w:tcMar>
                  <w:vAlign w:val="center"/>
                </w:tcPr>
                <w:p w14:paraId="3113652A">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05971D79">
                  <w:pPr>
                    <w:pStyle w:val="15"/>
                    <w:bidi w:val="0"/>
                    <w:rPr>
                      <w:rFonts w:hint="eastAsia"/>
                      <w:color w:val="auto"/>
                      <w:sz w:val="18"/>
                      <w:szCs w:val="18"/>
                    </w:rPr>
                  </w:pPr>
                  <w:r>
                    <w:rPr>
                      <w:rFonts w:hint="eastAsia"/>
                      <w:color w:val="auto"/>
                      <w:sz w:val="18"/>
                      <w:szCs w:val="18"/>
                      <w:lang w:val="en-US" w:eastAsia="zh-CN"/>
                    </w:rPr>
                    <w:t>0.05</w:t>
                  </w:r>
                </w:p>
              </w:tc>
            </w:tr>
            <w:tr w14:paraId="616590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55A54A37">
                  <w:pPr>
                    <w:pStyle w:val="15"/>
                    <w:bidi w:val="0"/>
                    <w:rPr>
                      <w:rFonts w:hint="eastAsia"/>
                      <w:color w:val="auto"/>
                      <w:sz w:val="18"/>
                      <w:szCs w:val="18"/>
                    </w:rPr>
                  </w:pPr>
                  <w:r>
                    <w:rPr>
                      <w:rFonts w:hint="eastAsia"/>
                      <w:color w:val="auto"/>
                      <w:sz w:val="18"/>
                      <w:szCs w:val="18"/>
                      <w:lang w:val="en-US" w:eastAsia="zh-CN"/>
                    </w:rPr>
                    <w:t>31</w:t>
                  </w:r>
                </w:p>
              </w:tc>
              <w:tc>
                <w:tcPr>
                  <w:tcW w:w="631" w:type="pct"/>
                  <w:tcBorders>
                    <w:tl2br w:val="nil"/>
                    <w:tr2bl w:val="nil"/>
                  </w:tcBorders>
                  <w:shd w:val="clear" w:color="auto" w:fill="auto"/>
                  <w:tcMar>
                    <w:top w:w="0" w:type="dxa"/>
                    <w:left w:w="0" w:type="dxa"/>
                    <w:bottom w:w="0" w:type="dxa"/>
                    <w:right w:w="0" w:type="dxa"/>
                  </w:tcMar>
                  <w:vAlign w:val="center"/>
                </w:tcPr>
                <w:p w14:paraId="5E0F9BE8">
                  <w:pPr>
                    <w:pStyle w:val="15"/>
                    <w:bidi w:val="0"/>
                    <w:rPr>
                      <w:rFonts w:hint="eastAsia"/>
                      <w:color w:val="auto"/>
                      <w:sz w:val="18"/>
                      <w:szCs w:val="18"/>
                    </w:rPr>
                  </w:pPr>
                  <w:r>
                    <w:rPr>
                      <w:rFonts w:hint="eastAsia"/>
                      <w:color w:val="auto"/>
                      <w:sz w:val="18"/>
                      <w:szCs w:val="18"/>
                      <w:lang w:val="en-US" w:eastAsia="zh-CN"/>
                    </w:rPr>
                    <w:t>钠</w:t>
                  </w:r>
                </w:p>
              </w:tc>
              <w:tc>
                <w:tcPr>
                  <w:tcW w:w="465" w:type="pct"/>
                  <w:tcBorders>
                    <w:tl2br w:val="nil"/>
                    <w:tr2bl w:val="nil"/>
                  </w:tcBorders>
                  <w:shd w:val="clear" w:color="auto" w:fill="auto"/>
                  <w:tcMar>
                    <w:top w:w="0" w:type="dxa"/>
                    <w:left w:w="0" w:type="dxa"/>
                    <w:bottom w:w="0" w:type="dxa"/>
                    <w:right w:w="0" w:type="dxa"/>
                  </w:tcMar>
                  <w:vAlign w:val="center"/>
                </w:tcPr>
                <w:p w14:paraId="0403AE0B">
                  <w:pPr>
                    <w:pStyle w:val="15"/>
                    <w:bidi w:val="0"/>
                    <w:rPr>
                      <w:rFonts w:hint="eastAsia"/>
                      <w:color w:val="auto"/>
                      <w:sz w:val="18"/>
                      <w:szCs w:val="18"/>
                    </w:rPr>
                  </w:pPr>
                  <w:r>
                    <w:rPr>
                      <w:rFonts w:hint="eastAsia"/>
                      <w:color w:val="auto"/>
                      <w:sz w:val="18"/>
                      <w:szCs w:val="18"/>
                      <w:lang w:val="en-US" w:eastAsia="zh-CN"/>
                    </w:rPr>
                    <w:t>mg/L</w:t>
                  </w:r>
                </w:p>
              </w:tc>
              <w:tc>
                <w:tcPr>
                  <w:tcW w:w="279" w:type="pct"/>
                  <w:tcBorders>
                    <w:tl2br w:val="nil"/>
                    <w:tr2bl w:val="nil"/>
                  </w:tcBorders>
                  <w:shd w:val="clear" w:color="auto" w:fill="auto"/>
                  <w:tcMar>
                    <w:top w:w="0" w:type="dxa"/>
                    <w:left w:w="0" w:type="dxa"/>
                    <w:bottom w:w="0" w:type="dxa"/>
                    <w:right w:w="0" w:type="dxa"/>
                  </w:tcMar>
                  <w:vAlign w:val="center"/>
                </w:tcPr>
                <w:p w14:paraId="5ADE1CD5">
                  <w:pPr>
                    <w:pStyle w:val="15"/>
                    <w:bidi w:val="0"/>
                    <w:rPr>
                      <w:rFonts w:hint="eastAsia"/>
                      <w:color w:val="auto"/>
                      <w:sz w:val="18"/>
                      <w:szCs w:val="18"/>
                    </w:rPr>
                  </w:pPr>
                  <w:r>
                    <w:rPr>
                      <w:rFonts w:hint="eastAsia"/>
                      <w:color w:val="auto"/>
                      <w:sz w:val="18"/>
                      <w:szCs w:val="18"/>
                      <w:lang w:val="en-US" w:eastAsia="zh-CN"/>
                    </w:rPr>
                    <w:t>200</w:t>
                  </w:r>
                </w:p>
              </w:tc>
              <w:tc>
                <w:tcPr>
                  <w:tcW w:w="279" w:type="pct"/>
                  <w:tcBorders>
                    <w:tl2br w:val="nil"/>
                    <w:tr2bl w:val="nil"/>
                  </w:tcBorders>
                  <w:shd w:val="clear" w:color="auto" w:fill="auto"/>
                  <w:tcMar>
                    <w:top w:w="0" w:type="dxa"/>
                    <w:left w:w="0" w:type="dxa"/>
                    <w:bottom w:w="0" w:type="dxa"/>
                    <w:right w:w="0" w:type="dxa"/>
                  </w:tcMar>
                  <w:vAlign w:val="center"/>
                </w:tcPr>
                <w:p w14:paraId="4D1B9AB0">
                  <w:pPr>
                    <w:pStyle w:val="15"/>
                    <w:bidi w:val="0"/>
                    <w:rPr>
                      <w:rFonts w:hint="eastAsia"/>
                      <w:color w:val="auto"/>
                      <w:sz w:val="18"/>
                      <w:szCs w:val="18"/>
                    </w:rPr>
                  </w:pPr>
                  <w:r>
                    <w:rPr>
                      <w:rFonts w:hint="eastAsia"/>
                      <w:color w:val="auto"/>
                      <w:sz w:val="18"/>
                      <w:szCs w:val="18"/>
                      <w:lang w:val="en-US" w:eastAsia="zh-CN"/>
                    </w:rPr>
                    <w:t>2370</w:t>
                  </w:r>
                </w:p>
              </w:tc>
              <w:tc>
                <w:tcPr>
                  <w:tcW w:w="220" w:type="pct"/>
                  <w:tcBorders>
                    <w:tl2br w:val="nil"/>
                    <w:tr2bl w:val="nil"/>
                  </w:tcBorders>
                  <w:shd w:val="clear" w:color="auto" w:fill="auto"/>
                  <w:tcMar>
                    <w:top w:w="0" w:type="dxa"/>
                    <w:left w:w="0" w:type="dxa"/>
                    <w:bottom w:w="0" w:type="dxa"/>
                    <w:right w:w="0" w:type="dxa"/>
                  </w:tcMar>
                  <w:vAlign w:val="center"/>
                </w:tcPr>
                <w:p w14:paraId="3FCA3944">
                  <w:pPr>
                    <w:pStyle w:val="15"/>
                    <w:bidi w:val="0"/>
                    <w:rPr>
                      <w:rFonts w:hint="eastAsia"/>
                      <w:color w:val="auto"/>
                      <w:sz w:val="18"/>
                      <w:szCs w:val="18"/>
                    </w:rPr>
                  </w:pPr>
                  <w:r>
                    <w:rPr>
                      <w:rFonts w:hint="eastAsia"/>
                      <w:color w:val="auto"/>
                      <w:sz w:val="18"/>
                      <w:szCs w:val="18"/>
                      <w:lang w:val="en-US" w:eastAsia="zh-CN"/>
                    </w:rPr>
                    <w:t>11.85</w:t>
                  </w:r>
                </w:p>
              </w:tc>
              <w:tc>
                <w:tcPr>
                  <w:tcW w:w="278" w:type="pct"/>
                  <w:tcBorders>
                    <w:tl2br w:val="nil"/>
                    <w:tr2bl w:val="nil"/>
                  </w:tcBorders>
                  <w:shd w:val="clear" w:color="auto" w:fill="auto"/>
                  <w:tcMar>
                    <w:top w:w="0" w:type="dxa"/>
                    <w:left w:w="0" w:type="dxa"/>
                    <w:bottom w:w="0" w:type="dxa"/>
                    <w:right w:w="0" w:type="dxa"/>
                  </w:tcMar>
                  <w:vAlign w:val="center"/>
                </w:tcPr>
                <w:p w14:paraId="1C86BEF5">
                  <w:pPr>
                    <w:pStyle w:val="15"/>
                    <w:bidi w:val="0"/>
                    <w:rPr>
                      <w:rFonts w:hint="eastAsia"/>
                      <w:color w:val="auto"/>
                      <w:sz w:val="18"/>
                      <w:szCs w:val="18"/>
                    </w:rPr>
                  </w:pPr>
                  <w:r>
                    <w:rPr>
                      <w:rFonts w:hint="eastAsia"/>
                      <w:color w:val="auto"/>
                      <w:sz w:val="18"/>
                      <w:szCs w:val="18"/>
                      <w:lang w:val="en-US" w:eastAsia="zh-CN"/>
                    </w:rPr>
                    <w:t>1085%</w:t>
                  </w:r>
                </w:p>
              </w:tc>
              <w:tc>
                <w:tcPr>
                  <w:tcW w:w="279" w:type="pct"/>
                  <w:tcBorders>
                    <w:tl2br w:val="nil"/>
                    <w:tr2bl w:val="nil"/>
                  </w:tcBorders>
                  <w:shd w:val="clear" w:color="auto" w:fill="auto"/>
                  <w:tcMar>
                    <w:top w:w="0" w:type="dxa"/>
                    <w:left w:w="0" w:type="dxa"/>
                    <w:bottom w:w="0" w:type="dxa"/>
                    <w:right w:w="0" w:type="dxa"/>
                  </w:tcMar>
                  <w:vAlign w:val="center"/>
                </w:tcPr>
                <w:p w14:paraId="34EBB0B0">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4728C900">
                  <w:pPr>
                    <w:pStyle w:val="15"/>
                    <w:bidi w:val="0"/>
                    <w:rPr>
                      <w:rFonts w:hint="eastAsia"/>
                      <w:color w:val="auto"/>
                      <w:sz w:val="18"/>
                      <w:szCs w:val="18"/>
                    </w:rPr>
                  </w:pPr>
                  <w:r>
                    <w:rPr>
                      <w:rFonts w:hint="eastAsia"/>
                      <w:color w:val="auto"/>
                      <w:sz w:val="18"/>
                      <w:szCs w:val="18"/>
                      <w:lang w:val="en-US" w:eastAsia="zh-CN"/>
                    </w:rPr>
                    <w:t>576</w:t>
                  </w:r>
                </w:p>
              </w:tc>
              <w:tc>
                <w:tcPr>
                  <w:tcW w:w="200" w:type="pct"/>
                  <w:tcBorders>
                    <w:tl2br w:val="nil"/>
                    <w:tr2bl w:val="nil"/>
                  </w:tcBorders>
                  <w:shd w:val="clear" w:color="auto" w:fill="auto"/>
                  <w:tcMar>
                    <w:top w:w="0" w:type="dxa"/>
                    <w:left w:w="0" w:type="dxa"/>
                    <w:bottom w:w="0" w:type="dxa"/>
                    <w:right w:w="0" w:type="dxa"/>
                  </w:tcMar>
                  <w:vAlign w:val="center"/>
                </w:tcPr>
                <w:p w14:paraId="18254E19">
                  <w:pPr>
                    <w:pStyle w:val="15"/>
                    <w:bidi w:val="0"/>
                    <w:rPr>
                      <w:rFonts w:hint="eastAsia"/>
                      <w:color w:val="auto"/>
                      <w:sz w:val="18"/>
                      <w:szCs w:val="18"/>
                    </w:rPr>
                  </w:pPr>
                  <w:r>
                    <w:rPr>
                      <w:rFonts w:hint="eastAsia"/>
                      <w:color w:val="auto"/>
                      <w:sz w:val="18"/>
                      <w:szCs w:val="18"/>
                      <w:lang w:val="en-US" w:eastAsia="zh-CN"/>
                    </w:rPr>
                    <w:t>2.88</w:t>
                  </w:r>
                </w:p>
              </w:tc>
              <w:tc>
                <w:tcPr>
                  <w:tcW w:w="238" w:type="pct"/>
                  <w:tcBorders>
                    <w:tl2br w:val="nil"/>
                    <w:tr2bl w:val="nil"/>
                  </w:tcBorders>
                  <w:shd w:val="clear" w:color="auto" w:fill="auto"/>
                  <w:tcMar>
                    <w:top w:w="0" w:type="dxa"/>
                    <w:left w:w="0" w:type="dxa"/>
                    <w:bottom w:w="0" w:type="dxa"/>
                    <w:right w:w="0" w:type="dxa"/>
                  </w:tcMar>
                  <w:vAlign w:val="center"/>
                </w:tcPr>
                <w:p w14:paraId="0ED06AEF">
                  <w:pPr>
                    <w:pStyle w:val="15"/>
                    <w:bidi w:val="0"/>
                    <w:rPr>
                      <w:rFonts w:hint="eastAsia"/>
                      <w:color w:val="auto"/>
                      <w:sz w:val="18"/>
                      <w:szCs w:val="18"/>
                    </w:rPr>
                  </w:pPr>
                  <w:r>
                    <w:rPr>
                      <w:rFonts w:hint="eastAsia"/>
                      <w:color w:val="auto"/>
                      <w:sz w:val="18"/>
                      <w:szCs w:val="18"/>
                      <w:lang w:val="en-US" w:eastAsia="zh-CN"/>
                    </w:rPr>
                    <w:t>188%</w:t>
                  </w:r>
                </w:p>
              </w:tc>
              <w:tc>
                <w:tcPr>
                  <w:tcW w:w="279" w:type="pct"/>
                  <w:tcBorders>
                    <w:tl2br w:val="nil"/>
                    <w:tr2bl w:val="nil"/>
                  </w:tcBorders>
                  <w:shd w:val="clear" w:color="auto" w:fill="auto"/>
                  <w:tcMar>
                    <w:top w:w="0" w:type="dxa"/>
                    <w:left w:w="0" w:type="dxa"/>
                    <w:bottom w:w="0" w:type="dxa"/>
                    <w:right w:w="0" w:type="dxa"/>
                  </w:tcMar>
                  <w:vAlign w:val="center"/>
                </w:tcPr>
                <w:p w14:paraId="12BA7C81">
                  <w:pPr>
                    <w:pStyle w:val="15"/>
                    <w:bidi w:val="0"/>
                    <w:rPr>
                      <w:rFonts w:hint="eastAsia"/>
                      <w:color w:val="auto"/>
                      <w:sz w:val="18"/>
                      <w:szCs w:val="18"/>
                    </w:rPr>
                  </w:pPr>
                  <w:r>
                    <w:rPr>
                      <w:rFonts w:hint="eastAsia"/>
                      <w:color w:val="auto"/>
                      <w:sz w:val="18"/>
                      <w:szCs w:val="18"/>
                      <w:lang w:val="en-US" w:eastAsia="zh-CN"/>
                    </w:rPr>
                    <w:t>不达标</w:t>
                  </w:r>
                </w:p>
              </w:tc>
              <w:tc>
                <w:tcPr>
                  <w:tcW w:w="279" w:type="pct"/>
                  <w:tcBorders>
                    <w:tl2br w:val="nil"/>
                    <w:tr2bl w:val="nil"/>
                  </w:tcBorders>
                  <w:shd w:val="clear" w:color="auto" w:fill="auto"/>
                  <w:tcMar>
                    <w:top w:w="0" w:type="dxa"/>
                    <w:left w:w="0" w:type="dxa"/>
                    <w:bottom w:w="0" w:type="dxa"/>
                    <w:right w:w="0" w:type="dxa"/>
                  </w:tcMar>
                  <w:vAlign w:val="center"/>
                </w:tcPr>
                <w:p w14:paraId="04CD5582">
                  <w:pPr>
                    <w:pStyle w:val="15"/>
                    <w:bidi w:val="0"/>
                    <w:rPr>
                      <w:rFonts w:hint="eastAsia"/>
                      <w:color w:val="auto"/>
                      <w:sz w:val="18"/>
                      <w:szCs w:val="18"/>
                    </w:rPr>
                  </w:pPr>
                  <w:r>
                    <w:rPr>
                      <w:rFonts w:hint="eastAsia"/>
                      <w:color w:val="auto"/>
                      <w:sz w:val="18"/>
                      <w:szCs w:val="18"/>
                      <w:lang w:val="en-US" w:eastAsia="zh-CN"/>
                    </w:rPr>
                    <w:t>2320</w:t>
                  </w:r>
                </w:p>
              </w:tc>
              <w:tc>
                <w:tcPr>
                  <w:tcW w:w="220" w:type="pct"/>
                  <w:tcBorders>
                    <w:tl2br w:val="nil"/>
                    <w:tr2bl w:val="nil"/>
                  </w:tcBorders>
                  <w:shd w:val="clear" w:color="auto" w:fill="auto"/>
                  <w:tcMar>
                    <w:top w:w="0" w:type="dxa"/>
                    <w:left w:w="0" w:type="dxa"/>
                    <w:bottom w:w="0" w:type="dxa"/>
                    <w:right w:w="0" w:type="dxa"/>
                  </w:tcMar>
                  <w:vAlign w:val="center"/>
                </w:tcPr>
                <w:p w14:paraId="6681DB6E">
                  <w:pPr>
                    <w:pStyle w:val="15"/>
                    <w:bidi w:val="0"/>
                    <w:rPr>
                      <w:rFonts w:hint="eastAsia"/>
                      <w:color w:val="auto"/>
                      <w:sz w:val="18"/>
                      <w:szCs w:val="18"/>
                    </w:rPr>
                  </w:pPr>
                  <w:r>
                    <w:rPr>
                      <w:rFonts w:hint="eastAsia"/>
                      <w:color w:val="auto"/>
                      <w:sz w:val="18"/>
                      <w:szCs w:val="18"/>
                      <w:lang w:val="en-US" w:eastAsia="zh-CN"/>
                    </w:rPr>
                    <w:t>11.60</w:t>
                  </w:r>
                </w:p>
              </w:tc>
              <w:tc>
                <w:tcPr>
                  <w:tcW w:w="278" w:type="pct"/>
                  <w:tcBorders>
                    <w:tl2br w:val="nil"/>
                    <w:tr2bl w:val="nil"/>
                  </w:tcBorders>
                  <w:shd w:val="clear" w:color="auto" w:fill="auto"/>
                  <w:tcMar>
                    <w:top w:w="0" w:type="dxa"/>
                    <w:left w:w="0" w:type="dxa"/>
                    <w:bottom w:w="0" w:type="dxa"/>
                    <w:right w:w="0" w:type="dxa"/>
                  </w:tcMar>
                  <w:vAlign w:val="center"/>
                </w:tcPr>
                <w:p w14:paraId="453985CB">
                  <w:pPr>
                    <w:pStyle w:val="15"/>
                    <w:bidi w:val="0"/>
                    <w:rPr>
                      <w:rFonts w:hint="eastAsia"/>
                      <w:color w:val="auto"/>
                      <w:sz w:val="18"/>
                      <w:szCs w:val="18"/>
                    </w:rPr>
                  </w:pPr>
                  <w:r>
                    <w:rPr>
                      <w:rFonts w:hint="eastAsia"/>
                      <w:color w:val="auto"/>
                      <w:sz w:val="18"/>
                      <w:szCs w:val="18"/>
                      <w:lang w:val="en-US" w:eastAsia="zh-CN"/>
                    </w:rPr>
                    <w:t>1060%</w:t>
                  </w:r>
                </w:p>
              </w:tc>
              <w:tc>
                <w:tcPr>
                  <w:tcW w:w="279" w:type="pct"/>
                  <w:tcBorders>
                    <w:tl2br w:val="nil"/>
                    <w:tr2bl w:val="nil"/>
                  </w:tcBorders>
                  <w:shd w:val="clear" w:color="auto" w:fill="auto"/>
                  <w:tcMar>
                    <w:top w:w="0" w:type="dxa"/>
                    <w:left w:w="0" w:type="dxa"/>
                    <w:bottom w:w="0" w:type="dxa"/>
                    <w:right w:w="0" w:type="dxa"/>
                  </w:tcMar>
                  <w:vAlign w:val="center"/>
                </w:tcPr>
                <w:p w14:paraId="0A128639">
                  <w:pPr>
                    <w:pStyle w:val="15"/>
                    <w:bidi w:val="0"/>
                    <w:rPr>
                      <w:rFonts w:hint="eastAsia"/>
                      <w:color w:val="auto"/>
                      <w:sz w:val="18"/>
                      <w:szCs w:val="18"/>
                    </w:rPr>
                  </w:pPr>
                  <w:r>
                    <w:rPr>
                      <w:rFonts w:hint="eastAsia"/>
                      <w:color w:val="auto"/>
                      <w:sz w:val="18"/>
                      <w:szCs w:val="18"/>
                      <w:lang w:val="en-US" w:eastAsia="zh-CN"/>
                    </w:rPr>
                    <w:t>不达标</w:t>
                  </w:r>
                </w:p>
              </w:tc>
              <w:tc>
                <w:tcPr>
                  <w:tcW w:w="305" w:type="pct"/>
                  <w:tcBorders>
                    <w:tl2br w:val="nil"/>
                    <w:tr2bl w:val="nil"/>
                  </w:tcBorders>
                  <w:shd w:val="clear" w:color="auto" w:fill="auto"/>
                  <w:tcMar>
                    <w:top w:w="0" w:type="dxa"/>
                    <w:left w:w="0" w:type="dxa"/>
                    <w:bottom w:w="0" w:type="dxa"/>
                    <w:right w:w="0" w:type="dxa"/>
                  </w:tcMar>
                  <w:vAlign w:val="center"/>
                </w:tcPr>
                <w:p w14:paraId="6418F4E5">
                  <w:pPr>
                    <w:pStyle w:val="15"/>
                    <w:bidi w:val="0"/>
                    <w:rPr>
                      <w:rFonts w:hint="eastAsia"/>
                      <w:color w:val="auto"/>
                      <w:sz w:val="18"/>
                      <w:szCs w:val="18"/>
                    </w:rPr>
                  </w:pPr>
                  <w:r>
                    <w:rPr>
                      <w:rFonts w:hint="eastAsia"/>
                      <w:color w:val="auto"/>
                      <w:sz w:val="18"/>
                      <w:szCs w:val="18"/>
                      <w:lang w:val="en-US" w:eastAsia="zh-CN"/>
                    </w:rPr>
                    <w:t>0.01</w:t>
                  </w:r>
                </w:p>
              </w:tc>
            </w:tr>
            <w:tr w14:paraId="4378A3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70DE937D">
                  <w:pPr>
                    <w:pStyle w:val="15"/>
                    <w:bidi w:val="0"/>
                    <w:rPr>
                      <w:rFonts w:hint="eastAsia"/>
                      <w:color w:val="auto"/>
                      <w:sz w:val="18"/>
                      <w:szCs w:val="18"/>
                    </w:rPr>
                  </w:pPr>
                  <w:r>
                    <w:rPr>
                      <w:rFonts w:hint="eastAsia"/>
                      <w:color w:val="auto"/>
                      <w:sz w:val="18"/>
                      <w:szCs w:val="18"/>
                      <w:lang w:val="en-US" w:eastAsia="zh-CN"/>
                    </w:rPr>
                    <w:t>32</w:t>
                  </w:r>
                </w:p>
              </w:tc>
              <w:tc>
                <w:tcPr>
                  <w:tcW w:w="631" w:type="pct"/>
                  <w:tcBorders>
                    <w:tl2br w:val="nil"/>
                    <w:tr2bl w:val="nil"/>
                  </w:tcBorders>
                  <w:shd w:val="clear" w:color="auto" w:fill="auto"/>
                  <w:tcMar>
                    <w:top w:w="0" w:type="dxa"/>
                    <w:left w:w="0" w:type="dxa"/>
                    <w:bottom w:w="0" w:type="dxa"/>
                    <w:right w:w="0" w:type="dxa"/>
                  </w:tcMar>
                  <w:vAlign w:val="center"/>
                </w:tcPr>
                <w:p w14:paraId="52176729">
                  <w:pPr>
                    <w:pStyle w:val="15"/>
                    <w:bidi w:val="0"/>
                    <w:rPr>
                      <w:rFonts w:hint="eastAsia"/>
                      <w:color w:val="auto"/>
                      <w:sz w:val="18"/>
                      <w:szCs w:val="18"/>
                    </w:rPr>
                  </w:pPr>
                  <w:r>
                    <w:rPr>
                      <w:rFonts w:hint="eastAsia"/>
                      <w:color w:val="auto"/>
                      <w:sz w:val="18"/>
                      <w:szCs w:val="18"/>
                      <w:lang w:val="en-US" w:eastAsia="zh-CN"/>
                    </w:rPr>
                    <w:t>苯</w:t>
                  </w:r>
                </w:p>
              </w:tc>
              <w:tc>
                <w:tcPr>
                  <w:tcW w:w="465" w:type="pct"/>
                  <w:tcBorders>
                    <w:tl2br w:val="nil"/>
                    <w:tr2bl w:val="nil"/>
                  </w:tcBorders>
                  <w:shd w:val="clear" w:color="auto" w:fill="auto"/>
                  <w:tcMar>
                    <w:top w:w="0" w:type="dxa"/>
                    <w:left w:w="0" w:type="dxa"/>
                    <w:bottom w:w="0" w:type="dxa"/>
                    <w:right w:w="0" w:type="dxa"/>
                  </w:tcMar>
                  <w:vAlign w:val="center"/>
                </w:tcPr>
                <w:p w14:paraId="3A533206">
                  <w:pPr>
                    <w:pStyle w:val="15"/>
                    <w:bidi w:val="0"/>
                    <w:rPr>
                      <w:rFonts w:hint="eastAsia"/>
                      <w:color w:val="auto"/>
                      <w:sz w:val="18"/>
                      <w:szCs w:val="18"/>
                    </w:rPr>
                  </w:pPr>
                  <w:r>
                    <w:rPr>
                      <w:rFonts w:hint="eastAsia"/>
                      <w:color w:val="auto"/>
                      <w:sz w:val="18"/>
                      <w:szCs w:val="18"/>
                      <w:lang w:val="en-US" w:eastAsia="zh-CN"/>
                    </w:rPr>
                    <w:t>µg/L</w:t>
                  </w:r>
                </w:p>
              </w:tc>
              <w:tc>
                <w:tcPr>
                  <w:tcW w:w="279" w:type="pct"/>
                  <w:tcBorders>
                    <w:tl2br w:val="nil"/>
                    <w:tr2bl w:val="nil"/>
                  </w:tcBorders>
                  <w:shd w:val="clear" w:color="auto" w:fill="auto"/>
                  <w:tcMar>
                    <w:top w:w="0" w:type="dxa"/>
                    <w:left w:w="0" w:type="dxa"/>
                    <w:bottom w:w="0" w:type="dxa"/>
                    <w:right w:w="0" w:type="dxa"/>
                  </w:tcMar>
                  <w:vAlign w:val="center"/>
                </w:tcPr>
                <w:p w14:paraId="0245A9FA">
                  <w:pPr>
                    <w:pStyle w:val="15"/>
                    <w:bidi w:val="0"/>
                    <w:rPr>
                      <w:rFonts w:hint="eastAsia"/>
                      <w:color w:val="auto"/>
                      <w:sz w:val="18"/>
                      <w:szCs w:val="18"/>
                    </w:rPr>
                  </w:pPr>
                  <w:r>
                    <w:rPr>
                      <w:rFonts w:hint="eastAsia"/>
                      <w:color w:val="auto"/>
                      <w:sz w:val="18"/>
                      <w:szCs w:val="18"/>
                      <w:lang w:val="en-US" w:eastAsia="zh-CN"/>
                    </w:rPr>
                    <w:t>10</w:t>
                  </w:r>
                </w:p>
              </w:tc>
              <w:tc>
                <w:tcPr>
                  <w:tcW w:w="279" w:type="pct"/>
                  <w:tcBorders>
                    <w:tl2br w:val="nil"/>
                    <w:tr2bl w:val="nil"/>
                  </w:tcBorders>
                  <w:shd w:val="clear" w:color="auto" w:fill="auto"/>
                  <w:tcMar>
                    <w:top w:w="0" w:type="dxa"/>
                    <w:left w:w="0" w:type="dxa"/>
                    <w:bottom w:w="0" w:type="dxa"/>
                    <w:right w:w="0" w:type="dxa"/>
                  </w:tcMar>
                  <w:vAlign w:val="center"/>
                </w:tcPr>
                <w:p w14:paraId="03509772">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5E7F63B5">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020AE7C">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146ECB4C">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48D7E375">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2ECED128">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745A5C2D">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5C64497A">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3BF4D1E6">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56E09C12">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22CE32F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847DD7F">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761A3B97">
                  <w:pPr>
                    <w:pStyle w:val="15"/>
                    <w:bidi w:val="0"/>
                    <w:rPr>
                      <w:rFonts w:hint="eastAsia"/>
                      <w:color w:val="auto"/>
                      <w:sz w:val="18"/>
                      <w:szCs w:val="18"/>
                    </w:rPr>
                  </w:pPr>
                  <w:r>
                    <w:rPr>
                      <w:rFonts w:hint="eastAsia"/>
                      <w:color w:val="auto"/>
                      <w:sz w:val="18"/>
                      <w:szCs w:val="18"/>
                      <w:lang w:val="en-US" w:eastAsia="zh-CN"/>
                    </w:rPr>
                    <w:t>4.69</w:t>
                  </w:r>
                </w:p>
              </w:tc>
            </w:tr>
            <w:tr w14:paraId="68868F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699AAB22">
                  <w:pPr>
                    <w:pStyle w:val="15"/>
                    <w:bidi w:val="0"/>
                    <w:rPr>
                      <w:rFonts w:hint="eastAsia"/>
                      <w:color w:val="auto"/>
                      <w:sz w:val="18"/>
                      <w:szCs w:val="18"/>
                    </w:rPr>
                  </w:pPr>
                  <w:r>
                    <w:rPr>
                      <w:rFonts w:hint="eastAsia"/>
                      <w:color w:val="auto"/>
                      <w:sz w:val="18"/>
                      <w:szCs w:val="18"/>
                      <w:lang w:val="en-US" w:eastAsia="zh-CN"/>
                    </w:rPr>
                    <w:t>33</w:t>
                  </w:r>
                </w:p>
              </w:tc>
              <w:tc>
                <w:tcPr>
                  <w:tcW w:w="631" w:type="pct"/>
                  <w:tcBorders>
                    <w:tl2br w:val="nil"/>
                    <w:tr2bl w:val="nil"/>
                  </w:tcBorders>
                  <w:shd w:val="clear" w:color="auto" w:fill="auto"/>
                  <w:tcMar>
                    <w:top w:w="0" w:type="dxa"/>
                    <w:left w:w="0" w:type="dxa"/>
                    <w:bottom w:w="0" w:type="dxa"/>
                    <w:right w:w="0" w:type="dxa"/>
                  </w:tcMar>
                  <w:vAlign w:val="center"/>
                </w:tcPr>
                <w:p w14:paraId="2A3BE174">
                  <w:pPr>
                    <w:pStyle w:val="15"/>
                    <w:bidi w:val="0"/>
                    <w:rPr>
                      <w:rFonts w:hint="eastAsia"/>
                      <w:color w:val="auto"/>
                      <w:sz w:val="18"/>
                      <w:szCs w:val="18"/>
                    </w:rPr>
                  </w:pPr>
                  <w:r>
                    <w:rPr>
                      <w:rFonts w:hint="eastAsia"/>
                      <w:color w:val="auto"/>
                      <w:sz w:val="18"/>
                      <w:szCs w:val="18"/>
                      <w:lang w:val="en-US" w:eastAsia="zh-CN"/>
                    </w:rPr>
                    <w:t>甲苯</w:t>
                  </w:r>
                </w:p>
              </w:tc>
              <w:tc>
                <w:tcPr>
                  <w:tcW w:w="465" w:type="pct"/>
                  <w:tcBorders>
                    <w:tl2br w:val="nil"/>
                    <w:tr2bl w:val="nil"/>
                  </w:tcBorders>
                  <w:shd w:val="clear" w:color="auto" w:fill="auto"/>
                  <w:tcMar>
                    <w:top w:w="0" w:type="dxa"/>
                    <w:left w:w="0" w:type="dxa"/>
                    <w:bottom w:w="0" w:type="dxa"/>
                    <w:right w:w="0" w:type="dxa"/>
                  </w:tcMar>
                  <w:vAlign w:val="center"/>
                </w:tcPr>
                <w:p w14:paraId="0DBAC84C">
                  <w:pPr>
                    <w:pStyle w:val="15"/>
                    <w:bidi w:val="0"/>
                    <w:rPr>
                      <w:rFonts w:hint="eastAsia"/>
                      <w:color w:val="auto"/>
                      <w:sz w:val="18"/>
                      <w:szCs w:val="18"/>
                    </w:rPr>
                  </w:pPr>
                  <w:r>
                    <w:rPr>
                      <w:rFonts w:hint="eastAsia"/>
                      <w:color w:val="auto"/>
                      <w:sz w:val="18"/>
                      <w:szCs w:val="18"/>
                      <w:lang w:val="en-US" w:eastAsia="zh-CN"/>
                    </w:rPr>
                    <w:t>µg/L</w:t>
                  </w:r>
                </w:p>
              </w:tc>
              <w:tc>
                <w:tcPr>
                  <w:tcW w:w="279" w:type="pct"/>
                  <w:tcBorders>
                    <w:tl2br w:val="nil"/>
                    <w:tr2bl w:val="nil"/>
                  </w:tcBorders>
                  <w:shd w:val="clear" w:color="auto" w:fill="auto"/>
                  <w:tcMar>
                    <w:top w:w="0" w:type="dxa"/>
                    <w:left w:w="0" w:type="dxa"/>
                    <w:bottom w:w="0" w:type="dxa"/>
                    <w:right w:w="0" w:type="dxa"/>
                  </w:tcMar>
                  <w:vAlign w:val="center"/>
                </w:tcPr>
                <w:p w14:paraId="2A66B408">
                  <w:pPr>
                    <w:pStyle w:val="15"/>
                    <w:bidi w:val="0"/>
                    <w:rPr>
                      <w:rFonts w:hint="eastAsia"/>
                      <w:color w:val="auto"/>
                      <w:sz w:val="18"/>
                      <w:szCs w:val="18"/>
                    </w:rPr>
                  </w:pPr>
                  <w:r>
                    <w:rPr>
                      <w:rFonts w:hint="eastAsia"/>
                      <w:color w:val="auto"/>
                      <w:sz w:val="18"/>
                      <w:szCs w:val="18"/>
                      <w:lang w:val="en-US" w:eastAsia="zh-CN"/>
                    </w:rPr>
                    <w:t>700</w:t>
                  </w:r>
                </w:p>
              </w:tc>
              <w:tc>
                <w:tcPr>
                  <w:tcW w:w="279" w:type="pct"/>
                  <w:tcBorders>
                    <w:tl2br w:val="nil"/>
                    <w:tr2bl w:val="nil"/>
                  </w:tcBorders>
                  <w:shd w:val="clear" w:color="auto" w:fill="auto"/>
                  <w:tcMar>
                    <w:top w:w="0" w:type="dxa"/>
                    <w:left w:w="0" w:type="dxa"/>
                    <w:bottom w:w="0" w:type="dxa"/>
                    <w:right w:w="0" w:type="dxa"/>
                  </w:tcMar>
                  <w:vAlign w:val="center"/>
                </w:tcPr>
                <w:p w14:paraId="2D8CA6C5">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0AE2C3A2">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2D92B800">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097D6896">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55BE5489">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0226158F">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68447C07">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02AE4D2">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2D37372E">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21E4D655">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4D47EF6A">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3F70A6F4">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1BA5A646">
                  <w:pPr>
                    <w:pStyle w:val="15"/>
                    <w:bidi w:val="0"/>
                    <w:rPr>
                      <w:rFonts w:hint="eastAsia"/>
                      <w:color w:val="auto"/>
                      <w:sz w:val="18"/>
                      <w:szCs w:val="18"/>
                    </w:rPr>
                  </w:pPr>
                  <w:r>
                    <w:rPr>
                      <w:rFonts w:hint="eastAsia"/>
                      <w:color w:val="auto"/>
                      <w:sz w:val="18"/>
                      <w:szCs w:val="18"/>
                      <w:lang w:val="en-US" w:eastAsia="zh-CN"/>
                    </w:rPr>
                    <w:t>3.13</w:t>
                  </w:r>
                </w:p>
              </w:tc>
            </w:tr>
            <w:tr w14:paraId="32C1B6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6" w:type="pct"/>
                  <w:tcBorders>
                    <w:tl2br w:val="nil"/>
                    <w:tr2bl w:val="nil"/>
                  </w:tcBorders>
                  <w:shd w:val="clear" w:color="auto" w:fill="auto"/>
                  <w:tcMar>
                    <w:top w:w="0" w:type="dxa"/>
                    <w:left w:w="0" w:type="dxa"/>
                    <w:bottom w:w="0" w:type="dxa"/>
                    <w:right w:w="0" w:type="dxa"/>
                  </w:tcMar>
                  <w:vAlign w:val="center"/>
                </w:tcPr>
                <w:p w14:paraId="093F9E57">
                  <w:pPr>
                    <w:pStyle w:val="15"/>
                    <w:bidi w:val="0"/>
                    <w:rPr>
                      <w:rFonts w:hint="eastAsia"/>
                      <w:color w:val="auto"/>
                      <w:sz w:val="18"/>
                      <w:szCs w:val="18"/>
                    </w:rPr>
                  </w:pPr>
                  <w:r>
                    <w:rPr>
                      <w:rFonts w:hint="eastAsia"/>
                      <w:color w:val="auto"/>
                      <w:sz w:val="18"/>
                      <w:szCs w:val="18"/>
                      <w:lang w:val="en-US" w:eastAsia="zh-CN"/>
                    </w:rPr>
                    <w:t>34</w:t>
                  </w:r>
                </w:p>
              </w:tc>
              <w:tc>
                <w:tcPr>
                  <w:tcW w:w="631" w:type="pct"/>
                  <w:tcBorders>
                    <w:tl2br w:val="nil"/>
                    <w:tr2bl w:val="nil"/>
                  </w:tcBorders>
                  <w:shd w:val="clear" w:color="auto" w:fill="auto"/>
                  <w:tcMar>
                    <w:top w:w="0" w:type="dxa"/>
                    <w:left w:w="0" w:type="dxa"/>
                    <w:bottom w:w="0" w:type="dxa"/>
                    <w:right w:w="0" w:type="dxa"/>
                  </w:tcMar>
                  <w:vAlign w:val="center"/>
                </w:tcPr>
                <w:p w14:paraId="14CA8796">
                  <w:pPr>
                    <w:pStyle w:val="15"/>
                    <w:bidi w:val="0"/>
                    <w:rPr>
                      <w:rFonts w:hint="eastAsia"/>
                      <w:color w:val="auto"/>
                      <w:sz w:val="18"/>
                      <w:szCs w:val="18"/>
                    </w:rPr>
                  </w:pPr>
                  <w:r>
                    <w:rPr>
                      <w:rFonts w:hint="eastAsia"/>
                      <w:color w:val="auto"/>
                      <w:sz w:val="18"/>
                      <w:szCs w:val="18"/>
                      <w:lang w:val="en-US" w:eastAsia="zh-CN"/>
                    </w:rPr>
                    <w:t>二甲苯（总量）</w:t>
                  </w:r>
                </w:p>
              </w:tc>
              <w:tc>
                <w:tcPr>
                  <w:tcW w:w="465" w:type="pct"/>
                  <w:tcBorders>
                    <w:tl2br w:val="nil"/>
                    <w:tr2bl w:val="nil"/>
                  </w:tcBorders>
                  <w:shd w:val="clear" w:color="auto" w:fill="auto"/>
                  <w:tcMar>
                    <w:top w:w="0" w:type="dxa"/>
                    <w:left w:w="0" w:type="dxa"/>
                    <w:bottom w:w="0" w:type="dxa"/>
                    <w:right w:w="0" w:type="dxa"/>
                  </w:tcMar>
                  <w:vAlign w:val="center"/>
                </w:tcPr>
                <w:p w14:paraId="7550ED46">
                  <w:pPr>
                    <w:pStyle w:val="15"/>
                    <w:bidi w:val="0"/>
                    <w:rPr>
                      <w:rFonts w:hint="eastAsia"/>
                      <w:color w:val="auto"/>
                      <w:sz w:val="18"/>
                      <w:szCs w:val="18"/>
                    </w:rPr>
                  </w:pPr>
                  <w:r>
                    <w:rPr>
                      <w:rFonts w:hint="eastAsia"/>
                      <w:color w:val="auto"/>
                      <w:sz w:val="18"/>
                      <w:szCs w:val="18"/>
                      <w:lang w:val="en-US" w:eastAsia="zh-CN"/>
                    </w:rPr>
                    <w:t>µg/L</w:t>
                  </w:r>
                </w:p>
              </w:tc>
              <w:tc>
                <w:tcPr>
                  <w:tcW w:w="279" w:type="pct"/>
                  <w:tcBorders>
                    <w:tl2br w:val="nil"/>
                    <w:tr2bl w:val="nil"/>
                  </w:tcBorders>
                  <w:shd w:val="clear" w:color="auto" w:fill="auto"/>
                  <w:tcMar>
                    <w:top w:w="0" w:type="dxa"/>
                    <w:left w:w="0" w:type="dxa"/>
                    <w:bottom w:w="0" w:type="dxa"/>
                    <w:right w:w="0" w:type="dxa"/>
                  </w:tcMar>
                  <w:vAlign w:val="center"/>
                </w:tcPr>
                <w:p w14:paraId="2C44BD61">
                  <w:pPr>
                    <w:pStyle w:val="15"/>
                    <w:bidi w:val="0"/>
                    <w:rPr>
                      <w:rFonts w:hint="eastAsia"/>
                      <w:color w:val="auto"/>
                      <w:sz w:val="18"/>
                      <w:szCs w:val="18"/>
                    </w:rPr>
                  </w:pPr>
                  <w:r>
                    <w:rPr>
                      <w:rFonts w:hint="eastAsia"/>
                      <w:color w:val="auto"/>
                      <w:sz w:val="18"/>
                      <w:szCs w:val="18"/>
                      <w:lang w:val="en-US" w:eastAsia="zh-CN"/>
                    </w:rPr>
                    <w:t>500</w:t>
                  </w:r>
                </w:p>
              </w:tc>
              <w:tc>
                <w:tcPr>
                  <w:tcW w:w="279" w:type="pct"/>
                  <w:tcBorders>
                    <w:tl2br w:val="nil"/>
                    <w:tr2bl w:val="nil"/>
                  </w:tcBorders>
                  <w:shd w:val="clear" w:color="auto" w:fill="auto"/>
                  <w:tcMar>
                    <w:top w:w="0" w:type="dxa"/>
                    <w:left w:w="0" w:type="dxa"/>
                    <w:bottom w:w="0" w:type="dxa"/>
                    <w:right w:w="0" w:type="dxa"/>
                  </w:tcMar>
                  <w:vAlign w:val="center"/>
                </w:tcPr>
                <w:p w14:paraId="0D3E42AD">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4D49B849">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3856F41F">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613B3CBF">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7BA63E54">
                  <w:pPr>
                    <w:pStyle w:val="15"/>
                    <w:bidi w:val="0"/>
                    <w:rPr>
                      <w:rFonts w:hint="eastAsia"/>
                      <w:color w:val="auto"/>
                      <w:sz w:val="18"/>
                      <w:szCs w:val="18"/>
                    </w:rPr>
                  </w:pPr>
                  <w:r>
                    <w:rPr>
                      <w:rFonts w:hint="eastAsia"/>
                      <w:color w:val="auto"/>
                      <w:sz w:val="18"/>
                      <w:szCs w:val="18"/>
                      <w:lang w:val="en-US" w:eastAsia="zh-CN"/>
                    </w:rPr>
                    <w:t>ND</w:t>
                  </w:r>
                </w:p>
              </w:tc>
              <w:tc>
                <w:tcPr>
                  <w:tcW w:w="200" w:type="pct"/>
                  <w:tcBorders>
                    <w:tl2br w:val="nil"/>
                    <w:tr2bl w:val="nil"/>
                  </w:tcBorders>
                  <w:shd w:val="clear" w:color="auto" w:fill="auto"/>
                  <w:tcMar>
                    <w:top w:w="0" w:type="dxa"/>
                    <w:left w:w="0" w:type="dxa"/>
                    <w:bottom w:w="0" w:type="dxa"/>
                    <w:right w:w="0" w:type="dxa"/>
                  </w:tcMar>
                  <w:vAlign w:val="center"/>
                </w:tcPr>
                <w:p w14:paraId="31547564">
                  <w:pPr>
                    <w:pStyle w:val="15"/>
                    <w:bidi w:val="0"/>
                    <w:rPr>
                      <w:rFonts w:hint="eastAsia"/>
                      <w:color w:val="auto"/>
                      <w:sz w:val="18"/>
                      <w:szCs w:val="18"/>
                    </w:rPr>
                  </w:pPr>
                  <w:r>
                    <w:rPr>
                      <w:rFonts w:hint="eastAsia"/>
                      <w:color w:val="auto"/>
                      <w:sz w:val="18"/>
                      <w:szCs w:val="18"/>
                      <w:lang w:val="en-US" w:eastAsia="zh-CN"/>
                    </w:rPr>
                    <w:t>/</w:t>
                  </w:r>
                </w:p>
              </w:tc>
              <w:tc>
                <w:tcPr>
                  <w:tcW w:w="238" w:type="pct"/>
                  <w:tcBorders>
                    <w:tl2br w:val="nil"/>
                    <w:tr2bl w:val="nil"/>
                  </w:tcBorders>
                  <w:shd w:val="clear" w:color="auto" w:fill="auto"/>
                  <w:tcMar>
                    <w:top w:w="0" w:type="dxa"/>
                    <w:left w:w="0" w:type="dxa"/>
                    <w:bottom w:w="0" w:type="dxa"/>
                    <w:right w:w="0" w:type="dxa"/>
                  </w:tcMar>
                  <w:vAlign w:val="center"/>
                </w:tcPr>
                <w:p w14:paraId="01E86C25">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768BB3C9">
                  <w:pPr>
                    <w:pStyle w:val="15"/>
                    <w:bidi w:val="0"/>
                    <w:rPr>
                      <w:rFonts w:hint="eastAsia"/>
                      <w:color w:val="auto"/>
                      <w:sz w:val="18"/>
                      <w:szCs w:val="18"/>
                    </w:rPr>
                  </w:pPr>
                  <w:r>
                    <w:rPr>
                      <w:rFonts w:hint="eastAsia"/>
                      <w:color w:val="auto"/>
                      <w:sz w:val="18"/>
                      <w:szCs w:val="18"/>
                      <w:lang w:val="en-US" w:eastAsia="zh-CN"/>
                    </w:rPr>
                    <w:t>达标</w:t>
                  </w:r>
                </w:p>
              </w:tc>
              <w:tc>
                <w:tcPr>
                  <w:tcW w:w="279" w:type="pct"/>
                  <w:tcBorders>
                    <w:tl2br w:val="nil"/>
                    <w:tr2bl w:val="nil"/>
                  </w:tcBorders>
                  <w:shd w:val="clear" w:color="auto" w:fill="auto"/>
                  <w:tcMar>
                    <w:top w:w="0" w:type="dxa"/>
                    <w:left w:w="0" w:type="dxa"/>
                    <w:bottom w:w="0" w:type="dxa"/>
                    <w:right w:w="0" w:type="dxa"/>
                  </w:tcMar>
                  <w:vAlign w:val="center"/>
                </w:tcPr>
                <w:p w14:paraId="01DB93EB">
                  <w:pPr>
                    <w:pStyle w:val="15"/>
                    <w:bidi w:val="0"/>
                    <w:rPr>
                      <w:rFonts w:hint="eastAsia"/>
                      <w:color w:val="auto"/>
                      <w:sz w:val="18"/>
                      <w:szCs w:val="18"/>
                    </w:rPr>
                  </w:pPr>
                  <w:r>
                    <w:rPr>
                      <w:rFonts w:hint="eastAsia"/>
                      <w:color w:val="auto"/>
                      <w:sz w:val="18"/>
                      <w:szCs w:val="18"/>
                      <w:lang w:val="en-US" w:eastAsia="zh-CN"/>
                    </w:rPr>
                    <w:t>ND</w:t>
                  </w:r>
                </w:p>
              </w:tc>
              <w:tc>
                <w:tcPr>
                  <w:tcW w:w="220" w:type="pct"/>
                  <w:tcBorders>
                    <w:tl2br w:val="nil"/>
                    <w:tr2bl w:val="nil"/>
                  </w:tcBorders>
                  <w:shd w:val="clear" w:color="auto" w:fill="auto"/>
                  <w:tcMar>
                    <w:top w:w="0" w:type="dxa"/>
                    <w:left w:w="0" w:type="dxa"/>
                    <w:bottom w:w="0" w:type="dxa"/>
                    <w:right w:w="0" w:type="dxa"/>
                  </w:tcMar>
                  <w:vAlign w:val="center"/>
                </w:tcPr>
                <w:p w14:paraId="73053ED3">
                  <w:pPr>
                    <w:pStyle w:val="15"/>
                    <w:bidi w:val="0"/>
                    <w:rPr>
                      <w:rFonts w:hint="eastAsia"/>
                      <w:color w:val="auto"/>
                      <w:sz w:val="18"/>
                      <w:szCs w:val="18"/>
                    </w:rPr>
                  </w:pPr>
                  <w:r>
                    <w:rPr>
                      <w:rFonts w:hint="eastAsia"/>
                      <w:color w:val="auto"/>
                      <w:sz w:val="18"/>
                      <w:szCs w:val="18"/>
                      <w:lang w:val="en-US" w:eastAsia="zh-CN"/>
                    </w:rPr>
                    <w:t>/</w:t>
                  </w:r>
                </w:p>
              </w:tc>
              <w:tc>
                <w:tcPr>
                  <w:tcW w:w="278" w:type="pct"/>
                  <w:tcBorders>
                    <w:tl2br w:val="nil"/>
                    <w:tr2bl w:val="nil"/>
                  </w:tcBorders>
                  <w:shd w:val="clear" w:color="auto" w:fill="auto"/>
                  <w:tcMar>
                    <w:top w:w="0" w:type="dxa"/>
                    <w:left w:w="0" w:type="dxa"/>
                    <w:bottom w:w="0" w:type="dxa"/>
                    <w:right w:w="0" w:type="dxa"/>
                  </w:tcMar>
                  <w:vAlign w:val="center"/>
                </w:tcPr>
                <w:p w14:paraId="53FF7E63">
                  <w:pPr>
                    <w:pStyle w:val="15"/>
                    <w:bidi w:val="0"/>
                    <w:rPr>
                      <w:rFonts w:hint="eastAsia"/>
                      <w:color w:val="auto"/>
                      <w:sz w:val="18"/>
                      <w:szCs w:val="18"/>
                    </w:rPr>
                  </w:pPr>
                  <w:r>
                    <w:rPr>
                      <w:rFonts w:hint="eastAsia"/>
                      <w:color w:val="auto"/>
                      <w:sz w:val="18"/>
                      <w:szCs w:val="18"/>
                      <w:lang w:val="en-US" w:eastAsia="zh-CN"/>
                    </w:rPr>
                    <w:t>0%</w:t>
                  </w:r>
                </w:p>
              </w:tc>
              <w:tc>
                <w:tcPr>
                  <w:tcW w:w="279" w:type="pct"/>
                  <w:tcBorders>
                    <w:tl2br w:val="nil"/>
                    <w:tr2bl w:val="nil"/>
                  </w:tcBorders>
                  <w:shd w:val="clear" w:color="auto" w:fill="auto"/>
                  <w:tcMar>
                    <w:top w:w="0" w:type="dxa"/>
                    <w:left w:w="0" w:type="dxa"/>
                    <w:bottom w:w="0" w:type="dxa"/>
                    <w:right w:w="0" w:type="dxa"/>
                  </w:tcMar>
                  <w:vAlign w:val="center"/>
                </w:tcPr>
                <w:p w14:paraId="20866A09">
                  <w:pPr>
                    <w:pStyle w:val="15"/>
                    <w:bidi w:val="0"/>
                    <w:rPr>
                      <w:rFonts w:hint="eastAsia"/>
                      <w:color w:val="auto"/>
                      <w:sz w:val="18"/>
                      <w:szCs w:val="18"/>
                    </w:rPr>
                  </w:pPr>
                  <w:r>
                    <w:rPr>
                      <w:rFonts w:hint="eastAsia"/>
                      <w:color w:val="auto"/>
                      <w:sz w:val="18"/>
                      <w:szCs w:val="18"/>
                      <w:lang w:val="en-US" w:eastAsia="zh-CN"/>
                    </w:rPr>
                    <w:t>达标</w:t>
                  </w:r>
                </w:p>
              </w:tc>
              <w:tc>
                <w:tcPr>
                  <w:tcW w:w="305" w:type="pct"/>
                  <w:tcBorders>
                    <w:tl2br w:val="nil"/>
                    <w:tr2bl w:val="nil"/>
                  </w:tcBorders>
                  <w:shd w:val="clear" w:color="auto" w:fill="auto"/>
                  <w:tcMar>
                    <w:top w:w="0" w:type="dxa"/>
                    <w:left w:w="0" w:type="dxa"/>
                    <w:bottom w:w="0" w:type="dxa"/>
                    <w:right w:w="0" w:type="dxa"/>
                  </w:tcMar>
                  <w:vAlign w:val="center"/>
                </w:tcPr>
                <w:p w14:paraId="398BFDC4">
                  <w:pPr>
                    <w:pStyle w:val="15"/>
                    <w:bidi w:val="0"/>
                    <w:rPr>
                      <w:rFonts w:hint="eastAsia"/>
                      <w:color w:val="auto"/>
                      <w:sz w:val="18"/>
                      <w:szCs w:val="18"/>
                    </w:rPr>
                  </w:pPr>
                  <w:r>
                    <w:rPr>
                      <w:rFonts w:hint="eastAsia"/>
                      <w:color w:val="auto"/>
                      <w:sz w:val="18"/>
                      <w:szCs w:val="18"/>
                      <w:lang w:val="en-US" w:eastAsia="zh-CN"/>
                    </w:rPr>
                    <w:t>7.06</w:t>
                  </w:r>
                </w:p>
              </w:tc>
            </w:tr>
          </w:tbl>
          <w:p w14:paraId="68EC2386">
            <w:pPr>
              <w:pStyle w:val="16"/>
              <w:bidi w:val="0"/>
              <w:rPr>
                <w:rFonts w:hint="eastAsia"/>
                <w:color w:val="auto"/>
                <w:highlight w:val="none"/>
              </w:rPr>
            </w:pPr>
            <w:r>
              <w:t xml:space="preserve">表 </w:t>
            </w:r>
            <w:r>
              <w:fldChar w:fldCharType="begin"/>
            </w:r>
            <w:r>
              <w:instrText xml:space="preserve"> SEQ 表 \* ARABIC </w:instrText>
            </w:r>
            <w:r>
              <w:fldChar w:fldCharType="separate"/>
            </w:r>
            <w:r>
              <w:t>23</w:t>
            </w:r>
            <w:r>
              <w:fldChar w:fldCharType="end"/>
            </w:r>
            <w:r>
              <w:rPr>
                <w:rFonts w:hint="eastAsia"/>
                <w:lang w:val="en-US" w:eastAsia="zh-CN"/>
              </w:rPr>
              <w:t xml:space="preserve">  </w:t>
            </w:r>
            <w:r>
              <w:rPr>
                <w:rFonts w:hint="eastAsia"/>
                <w:color w:val="auto"/>
              </w:rPr>
              <w:t>八项离子监测结果一览表</w:t>
            </w:r>
          </w:p>
          <w:tbl>
            <w:tblPr>
              <w:tblStyle w:val="11"/>
              <w:tblW w:w="5031"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82"/>
              <w:gridCol w:w="436"/>
              <w:gridCol w:w="375"/>
              <w:gridCol w:w="437"/>
              <w:gridCol w:w="440"/>
              <w:gridCol w:w="375"/>
              <w:gridCol w:w="442"/>
              <w:gridCol w:w="470"/>
              <w:gridCol w:w="651"/>
              <w:gridCol w:w="1286"/>
              <w:gridCol w:w="1299"/>
            </w:tblGrid>
            <w:tr w14:paraId="46A116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85" w:type="pct"/>
                  <w:vMerge w:val="restart"/>
                  <w:tcBorders>
                    <w:tl2br w:val="nil"/>
                    <w:tr2bl w:val="nil"/>
                  </w:tcBorders>
                  <w:shd w:val="clear" w:color="auto" w:fill="auto"/>
                  <w:noWrap/>
                  <w:tcMar>
                    <w:top w:w="0" w:type="dxa"/>
                    <w:left w:w="0" w:type="dxa"/>
                    <w:bottom w:w="0" w:type="dxa"/>
                    <w:right w:w="0" w:type="dxa"/>
                  </w:tcMar>
                  <w:vAlign w:val="center"/>
                </w:tcPr>
                <w:p w14:paraId="58158EB2">
                  <w:pPr>
                    <w:pStyle w:val="15"/>
                    <w:keepNext w:val="0"/>
                    <w:keepLines w:val="0"/>
                    <w:widowControl/>
                    <w:suppressLineNumbers w:val="0"/>
                    <w:bidi w:val="0"/>
                    <w:spacing w:before="0" w:after="0"/>
                    <w:ind w:left="0" w:right="0"/>
                    <w:rPr>
                      <w:rFonts w:hint="eastAsia" w:eastAsia="宋体"/>
                      <w:color w:val="auto"/>
                      <w:highlight w:val="none"/>
                      <w:lang w:val="en-US" w:eastAsia="zh-CN"/>
                    </w:rPr>
                  </w:pPr>
                  <w:r>
                    <w:rPr>
                      <w:rFonts w:hint="eastAsia"/>
                      <w:color w:val="auto"/>
                      <w:highlight w:val="none"/>
                      <w:lang w:val="en-US" w:eastAsia="zh-CN"/>
                    </w:rPr>
                    <w:t>监测点位</w:t>
                  </w:r>
                </w:p>
              </w:tc>
              <w:tc>
                <w:tcPr>
                  <w:tcW w:w="1009" w:type="pct"/>
                  <w:gridSpan w:val="4"/>
                  <w:tcBorders>
                    <w:tl2br w:val="nil"/>
                    <w:tr2bl w:val="nil"/>
                  </w:tcBorders>
                  <w:shd w:val="clear" w:color="auto" w:fill="auto"/>
                  <w:noWrap/>
                  <w:tcMar>
                    <w:top w:w="0" w:type="dxa"/>
                    <w:left w:w="0" w:type="dxa"/>
                    <w:bottom w:w="0" w:type="dxa"/>
                    <w:right w:w="0" w:type="dxa"/>
                  </w:tcMar>
                  <w:vAlign w:val="center"/>
                </w:tcPr>
                <w:p w14:paraId="50F1162D">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阳离子</w:t>
                  </w:r>
                </w:p>
              </w:tc>
              <w:tc>
                <w:tcPr>
                  <w:tcW w:w="1159" w:type="pct"/>
                  <w:gridSpan w:val="4"/>
                  <w:tcBorders>
                    <w:tl2br w:val="nil"/>
                    <w:tr2bl w:val="nil"/>
                  </w:tcBorders>
                  <w:shd w:val="clear" w:color="auto" w:fill="auto"/>
                  <w:noWrap/>
                  <w:tcMar>
                    <w:top w:w="0" w:type="dxa"/>
                    <w:left w:w="0" w:type="dxa"/>
                    <w:bottom w:w="0" w:type="dxa"/>
                    <w:right w:w="0" w:type="dxa"/>
                  </w:tcMar>
                  <w:vAlign w:val="center"/>
                </w:tcPr>
                <w:p w14:paraId="3904FDA1">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阴离子</w:t>
                  </w:r>
                </w:p>
              </w:tc>
              <w:tc>
                <w:tcPr>
                  <w:tcW w:w="769" w:type="pct"/>
                  <w:vMerge w:val="restart"/>
                  <w:tcBorders>
                    <w:tl2br w:val="nil"/>
                    <w:tr2bl w:val="nil"/>
                  </w:tcBorders>
                  <w:shd w:val="clear" w:color="auto" w:fill="auto"/>
                  <w:tcMar>
                    <w:top w:w="0" w:type="dxa"/>
                    <w:left w:w="0" w:type="dxa"/>
                    <w:bottom w:w="0" w:type="dxa"/>
                    <w:right w:w="0" w:type="dxa"/>
                  </w:tcMar>
                  <w:vAlign w:val="center"/>
                </w:tcPr>
                <w:p w14:paraId="12864E90">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阳离子总量</w:t>
                  </w:r>
                </w:p>
              </w:tc>
              <w:tc>
                <w:tcPr>
                  <w:tcW w:w="776" w:type="pct"/>
                  <w:vMerge w:val="restart"/>
                  <w:tcBorders>
                    <w:tl2br w:val="nil"/>
                    <w:tr2bl w:val="nil"/>
                  </w:tcBorders>
                  <w:shd w:val="clear" w:color="auto" w:fill="auto"/>
                  <w:tcMar>
                    <w:top w:w="0" w:type="dxa"/>
                    <w:left w:w="0" w:type="dxa"/>
                    <w:bottom w:w="0" w:type="dxa"/>
                    <w:right w:w="0" w:type="dxa"/>
                  </w:tcMar>
                  <w:vAlign w:val="center"/>
                </w:tcPr>
                <w:p w14:paraId="58D2EDA3">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阴离子总量</w:t>
                  </w:r>
                </w:p>
              </w:tc>
            </w:tr>
            <w:tr w14:paraId="13DA6E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85" w:type="pct"/>
                  <w:vMerge w:val="continue"/>
                  <w:tcBorders>
                    <w:tl2br w:val="nil"/>
                    <w:tr2bl w:val="nil"/>
                  </w:tcBorders>
                  <w:shd w:val="clear" w:color="auto" w:fill="auto"/>
                  <w:noWrap/>
                  <w:tcMar>
                    <w:top w:w="0" w:type="dxa"/>
                    <w:left w:w="0" w:type="dxa"/>
                    <w:bottom w:w="0" w:type="dxa"/>
                    <w:right w:w="0" w:type="dxa"/>
                  </w:tcMar>
                  <w:vAlign w:val="center"/>
                </w:tcPr>
                <w:p w14:paraId="321D35E9">
                  <w:pPr>
                    <w:pStyle w:val="15"/>
                    <w:keepNext w:val="0"/>
                    <w:keepLines w:val="0"/>
                    <w:widowControl/>
                    <w:suppressLineNumbers w:val="0"/>
                    <w:bidi w:val="0"/>
                    <w:spacing w:before="0" w:after="0"/>
                    <w:ind w:left="0" w:right="0"/>
                    <w:rPr>
                      <w:rFonts w:hint="eastAsia"/>
                      <w:color w:val="auto"/>
                      <w:highlight w:val="none"/>
                    </w:rPr>
                  </w:pPr>
                </w:p>
              </w:tc>
              <w:tc>
                <w:tcPr>
                  <w:tcW w:w="260" w:type="pct"/>
                  <w:tcBorders>
                    <w:tl2br w:val="nil"/>
                    <w:tr2bl w:val="nil"/>
                  </w:tcBorders>
                  <w:shd w:val="clear" w:color="auto" w:fill="auto"/>
                  <w:noWrap/>
                  <w:tcMar>
                    <w:top w:w="0" w:type="dxa"/>
                    <w:left w:w="0" w:type="dxa"/>
                    <w:bottom w:w="0" w:type="dxa"/>
                    <w:right w:w="0" w:type="dxa"/>
                  </w:tcMar>
                  <w:vAlign w:val="center"/>
                </w:tcPr>
                <w:p w14:paraId="3AD438A7">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K</w:t>
                  </w:r>
                </w:p>
              </w:tc>
              <w:tc>
                <w:tcPr>
                  <w:tcW w:w="224" w:type="pct"/>
                  <w:tcBorders>
                    <w:tl2br w:val="nil"/>
                    <w:tr2bl w:val="nil"/>
                  </w:tcBorders>
                  <w:shd w:val="clear" w:color="auto" w:fill="auto"/>
                  <w:noWrap/>
                  <w:tcMar>
                    <w:top w:w="0" w:type="dxa"/>
                    <w:left w:w="0" w:type="dxa"/>
                    <w:bottom w:w="0" w:type="dxa"/>
                    <w:right w:w="0" w:type="dxa"/>
                  </w:tcMar>
                  <w:vAlign w:val="center"/>
                </w:tcPr>
                <w:p w14:paraId="06E05D83">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Na</w:t>
                  </w:r>
                </w:p>
              </w:tc>
              <w:tc>
                <w:tcPr>
                  <w:tcW w:w="261" w:type="pct"/>
                  <w:tcBorders>
                    <w:tl2br w:val="nil"/>
                    <w:tr2bl w:val="nil"/>
                  </w:tcBorders>
                  <w:shd w:val="clear" w:color="auto" w:fill="auto"/>
                  <w:noWrap/>
                  <w:tcMar>
                    <w:top w:w="0" w:type="dxa"/>
                    <w:left w:w="0" w:type="dxa"/>
                    <w:bottom w:w="0" w:type="dxa"/>
                    <w:right w:w="0" w:type="dxa"/>
                  </w:tcMar>
                  <w:vAlign w:val="center"/>
                </w:tcPr>
                <w:p w14:paraId="6F4C95CB">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Ca</w:t>
                  </w:r>
                </w:p>
              </w:tc>
              <w:tc>
                <w:tcPr>
                  <w:tcW w:w="263" w:type="pct"/>
                  <w:tcBorders>
                    <w:tl2br w:val="nil"/>
                    <w:tr2bl w:val="nil"/>
                  </w:tcBorders>
                  <w:shd w:val="clear" w:color="auto" w:fill="auto"/>
                  <w:noWrap/>
                  <w:tcMar>
                    <w:top w:w="0" w:type="dxa"/>
                    <w:left w:w="0" w:type="dxa"/>
                    <w:bottom w:w="0" w:type="dxa"/>
                    <w:right w:w="0" w:type="dxa"/>
                  </w:tcMar>
                  <w:vAlign w:val="center"/>
                </w:tcPr>
                <w:p w14:paraId="14D988EC">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Mg</w:t>
                  </w:r>
                </w:p>
              </w:tc>
              <w:tc>
                <w:tcPr>
                  <w:tcW w:w="224" w:type="pct"/>
                  <w:tcBorders>
                    <w:tl2br w:val="nil"/>
                    <w:tr2bl w:val="nil"/>
                  </w:tcBorders>
                  <w:shd w:val="clear" w:color="auto" w:fill="auto"/>
                  <w:noWrap/>
                  <w:tcMar>
                    <w:top w:w="0" w:type="dxa"/>
                    <w:left w:w="0" w:type="dxa"/>
                    <w:bottom w:w="0" w:type="dxa"/>
                    <w:right w:w="0" w:type="dxa"/>
                  </w:tcMar>
                  <w:vAlign w:val="center"/>
                </w:tcPr>
                <w:p w14:paraId="1EA58855">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Cl</w:t>
                  </w:r>
                </w:p>
              </w:tc>
              <w:tc>
                <w:tcPr>
                  <w:tcW w:w="264" w:type="pct"/>
                  <w:tcBorders>
                    <w:tl2br w:val="nil"/>
                    <w:tr2bl w:val="nil"/>
                  </w:tcBorders>
                  <w:shd w:val="clear" w:color="auto" w:fill="auto"/>
                  <w:noWrap/>
                  <w:tcMar>
                    <w:top w:w="0" w:type="dxa"/>
                    <w:left w:w="0" w:type="dxa"/>
                    <w:bottom w:w="0" w:type="dxa"/>
                    <w:right w:w="0" w:type="dxa"/>
                  </w:tcMar>
                  <w:vAlign w:val="center"/>
                </w:tcPr>
                <w:p w14:paraId="3FD0844C">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SO</w:t>
                  </w:r>
                  <w:r>
                    <w:rPr>
                      <w:rFonts w:hint="eastAsia"/>
                      <w:color w:val="auto"/>
                      <w:highlight w:val="none"/>
                      <w:vertAlign w:val="subscript"/>
                      <w:lang w:val="en-US" w:eastAsia="zh-CN"/>
                    </w:rPr>
                    <w:t>4</w:t>
                  </w:r>
                </w:p>
              </w:tc>
              <w:tc>
                <w:tcPr>
                  <w:tcW w:w="281" w:type="pct"/>
                  <w:tcBorders>
                    <w:tl2br w:val="nil"/>
                    <w:tr2bl w:val="nil"/>
                  </w:tcBorders>
                  <w:shd w:val="clear" w:color="auto" w:fill="auto"/>
                  <w:noWrap/>
                  <w:tcMar>
                    <w:top w:w="0" w:type="dxa"/>
                    <w:left w:w="0" w:type="dxa"/>
                    <w:bottom w:w="0" w:type="dxa"/>
                    <w:right w:w="0" w:type="dxa"/>
                  </w:tcMar>
                  <w:vAlign w:val="center"/>
                </w:tcPr>
                <w:p w14:paraId="4B6DFD50">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CO</w:t>
                  </w:r>
                  <w:r>
                    <w:rPr>
                      <w:rFonts w:hint="eastAsia"/>
                      <w:color w:val="auto"/>
                      <w:highlight w:val="none"/>
                      <w:vertAlign w:val="subscript"/>
                      <w:lang w:val="en-US" w:eastAsia="zh-CN"/>
                    </w:rPr>
                    <w:t>3</w:t>
                  </w:r>
                </w:p>
              </w:tc>
              <w:tc>
                <w:tcPr>
                  <w:tcW w:w="389" w:type="pct"/>
                  <w:tcBorders>
                    <w:tl2br w:val="nil"/>
                    <w:tr2bl w:val="nil"/>
                  </w:tcBorders>
                  <w:shd w:val="clear" w:color="auto" w:fill="auto"/>
                  <w:noWrap/>
                  <w:tcMar>
                    <w:top w:w="0" w:type="dxa"/>
                    <w:left w:w="0" w:type="dxa"/>
                    <w:bottom w:w="0" w:type="dxa"/>
                    <w:right w:w="0" w:type="dxa"/>
                  </w:tcMar>
                  <w:vAlign w:val="center"/>
                </w:tcPr>
                <w:p w14:paraId="360BD871">
                  <w:pPr>
                    <w:pStyle w:val="15"/>
                    <w:keepNext w:val="0"/>
                    <w:keepLines w:val="0"/>
                    <w:widowControl/>
                    <w:suppressLineNumbers w:val="0"/>
                    <w:bidi w:val="0"/>
                    <w:spacing w:before="0" w:after="0"/>
                    <w:ind w:left="0" w:right="0"/>
                    <w:rPr>
                      <w:rFonts w:hint="eastAsia"/>
                      <w:color w:val="auto"/>
                      <w:highlight w:val="none"/>
                    </w:rPr>
                  </w:pPr>
                  <w:r>
                    <w:rPr>
                      <w:rFonts w:hint="eastAsia"/>
                      <w:color w:val="auto"/>
                      <w:highlight w:val="none"/>
                      <w:lang w:val="en-US" w:eastAsia="zh-CN"/>
                    </w:rPr>
                    <w:t>HCO</w:t>
                  </w:r>
                  <w:r>
                    <w:rPr>
                      <w:rFonts w:hint="eastAsia"/>
                      <w:color w:val="auto"/>
                      <w:highlight w:val="none"/>
                      <w:vertAlign w:val="subscript"/>
                      <w:lang w:val="en-US" w:eastAsia="zh-CN"/>
                    </w:rPr>
                    <w:t>3</w:t>
                  </w:r>
                </w:p>
              </w:tc>
              <w:tc>
                <w:tcPr>
                  <w:tcW w:w="769" w:type="pct"/>
                  <w:vMerge w:val="continue"/>
                  <w:tcBorders>
                    <w:tl2br w:val="nil"/>
                    <w:tr2bl w:val="nil"/>
                  </w:tcBorders>
                  <w:shd w:val="clear" w:color="auto" w:fill="auto"/>
                  <w:tcMar>
                    <w:top w:w="0" w:type="dxa"/>
                    <w:left w:w="0" w:type="dxa"/>
                    <w:bottom w:w="0" w:type="dxa"/>
                    <w:right w:w="0" w:type="dxa"/>
                  </w:tcMar>
                  <w:vAlign w:val="center"/>
                </w:tcPr>
                <w:p w14:paraId="17A58C8A">
                  <w:pPr>
                    <w:pStyle w:val="15"/>
                    <w:keepNext w:val="0"/>
                    <w:keepLines w:val="0"/>
                    <w:widowControl/>
                    <w:suppressLineNumbers w:val="0"/>
                    <w:bidi w:val="0"/>
                    <w:spacing w:before="0" w:after="0"/>
                    <w:ind w:left="0" w:right="0"/>
                    <w:rPr>
                      <w:rFonts w:hint="eastAsia"/>
                      <w:color w:val="auto"/>
                      <w:highlight w:val="none"/>
                    </w:rPr>
                  </w:pPr>
                </w:p>
              </w:tc>
              <w:tc>
                <w:tcPr>
                  <w:tcW w:w="776" w:type="pct"/>
                  <w:vMerge w:val="continue"/>
                  <w:tcBorders>
                    <w:tl2br w:val="nil"/>
                    <w:tr2bl w:val="nil"/>
                  </w:tcBorders>
                  <w:shd w:val="clear" w:color="auto" w:fill="auto"/>
                  <w:tcMar>
                    <w:top w:w="0" w:type="dxa"/>
                    <w:left w:w="0" w:type="dxa"/>
                    <w:bottom w:w="0" w:type="dxa"/>
                    <w:right w:w="0" w:type="dxa"/>
                  </w:tcMar>
                  <w:vAlign w:val="center"/>
                </w:tcPr>
                <w:p w14:paraId="7F548F21">
                  <w:pPr>
                    <w:pStyle w:val="15"/>
                    <w:keepNext w:val="0"/>
                    <w:keepLines w:val="0"/>
                    <w:widowControl/>
                    <w:suppressLineNumbers w:val="0"/>
                    <w:bidi w:val="0"/>
                    <w:spacing w:before="0" w:after="0"/>
                    <w:ind w:left="0" w:right="0"/>
                    <w:rPr>
                      <w:rFonts w:hint="eastAsia"/>
                      <w:color w:val="auto"/>
                      <w:highlight w:val="none"/>
                    </w:rPr>
                  </w:pPr>
                </w:p>
              </w:tc>
            </w:tr>
            <w:tr w14:paraId="1C2B2F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85" w:type="pct"/>
                  <w:tcBorders>
                    <w:tl2br w:val="nil"/>
                    <w:tr2bl w:val="nil"/>
                  </w:tcBorders>
                  <w:shd w:val="clear" w:color="auto" w:fill="auto"/>
                  <w:noWrap/>
                  <w:tcMar>
                    <w:top w:w="0" w:type="dxa"/>
                    <w:left w:w="0" w:type="dxa"/>
                    <w:bottom w:w="0" w:type="dxa"/>
                    <w:right w:w="0" w:type="dxa"/>
                  </w:tcMar>
                  <w:vAlign w:val="center"/>
                </w:tcPr>
                <w:p w14:paraId="2F3189F9">
                  <w:pPr>
                    <w:pStyle w:val="15"/>
                    <w:keepNext w:val="0"/>
                    <w:keepLines w:val="0"/>
                    <w:widowControl/>
                    <w:suppressLineNumbers w:val="0"/>
                    <w:bidi w:val="0"/>
                    <w:spacing w:before="0" w:after="0"/>
                    <w:ind w:left="0" w:right="0"/>
                    <w:rPr>
                      <w:rFonts w:hint="default" w:eastAsia="宋体"/>
                      <w:color w:val="auto"/>
                      <w:highlight w:val="none"/>
                      <w:lang w:val="en-US" w:eastAsia="zh-CN"/>
                    </w:rPr>
                  </w:pPr>
                  <w:r>
                    <w:rPr>
                      <w:rFonts w:hint="eastAsia"/>
                      <w:color w:val="auto"/>
                      <w:highlight w:val="none"/>
                      <w:lang w:val="en-US" w:eastAsia="zh-CN"/>
                    </w:rPr>
                    <w:t>地下水现状监测点1</w:t>
                  </w:r>
                </w:p>
              </w:tc>
              <w:tc>
                <w:tcPr>
                  <w:tcW w:w="436" w:type="dxa"/>
                  <w:tcBorders>
                    <w:tl2br w:val="nil"/>
                    <w:tr2bl w:val="nil"/>
                  </w:tcBorders>
                  <w:shd w:val="clear" w:color="auto" w:fill="auto"/>
                  <w:noWrap/>
                  <w:tcMar>
                    <w:top w:w="0" w:type="dxa"/>
                    <w:left w:w="0" w:type="dxa"/>
                    <w:bottom w:w="0" w:type="dxa"/>
                    <w:right w:w="0" w:type="dxa"/>
                  </w:tcMar>
                  <w:vAlign w:val="center"/>
                </w:tcPr>
                <w:p w14:paraId="430C30E6">
                  <w:pPr>
                    <w:pStyle w:val="15"/>
                    <w:bidi w:val="0"/>
                    <w:rPr>
                      <w:rFonts w:hint="default"/>
                      <w:color w:val="auto"/>
                    </w:rPr>
                  </w:pPr>
                  <w:r>
                    <w:rPr>
                      <w:rFonts w:hint="eastAsia"/>
                      <w:color w:val="auto"/>
                      <w:lang w:val="en-US" w:eastAsia="zh-CN"/>
                    </w:rPr>
                    <w:t>53</w:t>
                  </w:r>
                </w:p>
              </w:tc>
              <w:tc>
                <w:tcPr>
                  <w:tcW w:w="375" w:type="dxa"/>
                  <w:tcBorders>
                    <w:tl2br w:val="nil"/>
                    <w:tr2bl w:val="nil"/>
                  </w:tcBorders>
                  <w:shd w:val="clear" w:color="auto" w:fill="auto"/>
                  <w:noWrap/>
                  <w:tcMar>
                    <w:top w:w="0" w:type="dxa"/>
                    <w:left w:w="0" w:type="dxa"/>
                    <w:bottom w:w="0" w:type="dxa"/>
                    <w:right w:w="0" w:type="dxa"/>
                  </w:tcMar>
                  <w:vAlign w:val="center"/>
                </w:tcPr>
                <w:p w14:paraId="7FDF3563">
                  <w:pPr>
                    <w:pStyle w:val="15"/>
                    <w:bidi w:val="0"/>
                    <w:rPr>
                      <w:rFonts w:hint="eastAsia"/>
                      <w:color w:val="auto"/>
                    </w:rPr>
                  </w:pPr>
                  <w:r>
                    <w:rPr>
                      <w:rFonts w:hint="eastAsia"/>
                      <w:color w:val="auto"/>
                      <w:lang w:val="en-US" w:eastAsia="zh-CN"/>
                    </w:rPr>
                    <w:t>240</w:t>
                  </w:r>
                </w:p>
              </w:tc>
              <w:tc>
                <w:tcPr>
                  <w:tcW w:w="437" w:type="dxa"/>
                  <w:tcBorders>
                    <w:tl2br w:val="nil"/>
                    <w:tr2bl w:val="nil"/>
                  </w:tcBorders>
                  <w:shd w:val="clear" w:color="auto" w:fill="auto"/>
                  <w:noWrap/>
                  <w:tcMar>
                    <w:top w:w="0" w:type="dxa"/>
                    <w:left w:w="0" w:type="dxa"/>
                    <w:bottom w:w="0" w:type="dxa"/>
                    <w:right w:w="0" w:type="dxa"/>
                  </w:tcMar>
                  <w:vAlign w:val="center"/>
                </w:tcPr>
                <w:p w14:paraId="072CE464">
                  <w:pPr>
                    <w:pStyle w:val="15"/>
                    <w:bidi w:val="0"/>
                    <w:rPr>
                      <w:rFonts w:hint="eastAsia"/>
                      <w:color w:val="auto"/>
                    </w:rPr>
                  </w:pPr>
                  <w:r>
                    <w:rPr>
                      <w:rFonts w:hint="eastAsia"/>
                      <w:color w:val="auto"/>
                      <w:lang w:val="en-US" w:eastAsia="zh-CN"/>
                    </w:rPr>
                    <w:t>308</w:t>
                  </w:r>
                </w:p>
              </w:tc>
              <w:tc>
                <w:tcPr>
                  <w:tcW w:w="440" w:type="dxa"/>
                  <w:tcBorders>
                    <w:tl2br w:val="nil"/>
                    <w:tr2bl w:val="nil"/>
                  </w:tcBorders>
                  <w:shd w:val="clear" w:color="auto" w:fill="auto"/>
                  <w:noWrap/>
                  <w:tcMar>
                    <w:top w:w="0" w:type="dxa"/>
                    <w:left w:w="0" w:type="dxa"/>
                    <w:bottom w:w="0" w:type="dxa"/>
                    <w:right w:w="0" w:type="dxa"/>
                  </w:tcMar>
                  <w:vAlign w:val="center"/>
                </w:tcPr>
                <w:p w14:paraId="031B7DE0">
                  <w:pPr>
                    <w:pStyle w:val="15"/>
                    <w:bidi w:val="0"/>
                    <w:rPr>
                      <w:rFonts w:hint="eastAsia"/>
                      <w:color w:val="auto"/>
                    </w:rPr>
                  </w:pPr>
                  <w:r>
                    <w:rPr>
                      <w:rFonts w:hint="eastAsia"/>
                      <w:color w:val="auto"/>
                      <w:lang w:val="en-US" w:eastAsia="zh-CN"/>
                    </w:rPr>
                    <w:t>168</w:t>
                  </w:r>
                </w:p>
              </w:tc>
              <w:tc>
                <w:tcPr>
                  <w:tcW w:w="375" w:type="dxa"/>
                  <w:tcBorders>
                    <w:tl2br w:val="nil"/>
                    <w:tr2bl w:val="nil"/>
                  </w:tcBorders>
                  <w:shd w:val="clear" w:color="auto" w:fill="auto"/>
                  <w:noWrap/>
                  <w:tcMar>
                    <w:top w:w="0" w:type="dxa"/>
                    <w:left w:w="0" w:type="dxa"/>
                    <w:bottom w:w="0" w:type="dxa"/>
                    <w:right w:w="0" w:type="dxa"/>
                  </w:tcMar>
                  <w:vAlign w:val="center"/>
                </w:tcPr>
                <w:p w14:paraId="2CD5BCA1">
                  <w:pPr>
                    <w:pStyle w:val="15"/>
                    <w:bidi w:val="0"/>
                    <w:rPr>
                      <w:rFonts w:hint="eastAsia"/>
                      <w:color w:val="auto"/>
                    </w:rPr>
                  </w:pPr>
                  <w:r>
                    <w:rPr>
                      <w:rFonts w:hint="eastAsia"/>
                      <w:color w:val="auto"/>
                      <w:lang w:val="en-US" w:eastAsia="zh-CN"/>
                    </w:rPr>
                    <w:t>1150</w:t>
                  </w:r>
                </w:p>
              </w:tc>
              <w:tc>
                <w:tcPr>
                  <w:tcW w:w="442" w:type="dxa"/>
                  <w:tcBorders>
                    <w:tl2br w:val="nil"/>
                    <w:tr2bl w:val="nil"/>
                  </w:tcBorders>
                  <w:shd w:val="clear" w:color="auto" w:fill="auto"/>
                  <w:noWrap/>
                  <w:tcMar>
                    <w:top w:w="0" w:type="dxa"/>
                    <w:left w:w="0" w:type="dxa"/>
                    <w:bottom w:w="0" w:type="dxa"/>
                    <w:right w:w="0" w:type="dxa"/>
                  </w:tcMar>
                  <w:vAlign w:val="center"/>
                </w:tcPr>
                <w:p w14:paraId="065D7C6B">
                  <w:pPr>
                    <w:pStyle w:val="15"/>
                    <w:bidi w:val="0"/>
                    <w:rPr>
                      <w:rFonts w:hint="eastAsia"/>
                      <w:color w:val="auto"/>
                    </w:rPr>
                  </w:pPr>
                  <w:r>
                    <w:rPr>
                      <w:rFonts w:hint="eastAsia"/>
                      <w:color w:val="auto"/>
                      <w:lang w:val="en-US" w:eastAsia="zh-CN"/>
                    </w:rPr>
                    <w:t>712</w:t>
                  </w:r>
                </w:p>
              </w:tc>
              <w:tc>
                <w:tcPr>
                  <w:tcW w:w="470" w:type="dxa"/>
                  <w:tcBorders>
                    <w:tl2br w:val="nil"/>
                    <w:tr2bl w:val="nil"/>
                  </w:tcBorders>
                  <w:shd w:val="clear" w:color="auto" w:fill="auto"/>
                  <w:noWrap/>
                  <w:tcMar>
                    <w:top w:w="0" w:type="dxa"/>
                    <w:left w:w="0" w:type="dxa"/>
                    <w:bottom w:w="0" w:type="dxa"/>
                    <w:right w:w="0" w:type="dxa"/>
                  </w:tcMar>
                  <w:vAlign w:val="center"/>
                </w:tcPr>
                <w:p w14:paraId="31762D6C">
                  <w:pPr>
                    <w:pStyle w:val="15"/>
                    <w:bidi w:val="0"/>
                    <w:rPr>
                      <w:rFonts w:hint="eastAsia"/>
                      <w:color w:val="auto"/>
                    </w:rPr>
                  </w:pPr>
                  <w:r>
                    <w:rPr>
                      <w:rFonts w:hint="eastAsia"/>
                      <w:color w:val="auto"/>
                      <w:lang w:val="en-US" w:eastAsia="zh-CN"/>
                    </w:rPr>
                    <w:t>0</w:t>
                  </w:r>
                </w:p>
              </w:tc>
              <w:tc>
                <w:tcPr>
                  <w:tcW w:w="651" w:type="dxa"/>
                  <w:tcBorders>
                    <w:tl2br w:val="nil"/>
                    <w:tr2bl w:val="nil"/>
                  </w:tcBorders>
                  <w:shd w:val="clear" w:color="auto" w:fill="auto"/>
                  <w:noWrap/>
                  <w:tcMar>
                    <w:top w:w="0" w:type="dxa"/>
                    <w:left w:w="0" w:type="dxa"/>
                    <w:bottom w:w="0" w:type="dxa"/>
                    <w:right w:w="0" w:type="dxa"/>
                  </w:tcMar>
                  <w:vAlign w:val="center"/>
                </w:tcPr>
                <w:p w14:paraId="7814C153">
                  <w:pPr>
                    <w:pStyle w:val="15"/>
                    <w:bidi w:val="0"/>
                    <w:rPr>
                      <w:rFonts w:hint="eastAsia"/>
                      <w:color w:val="auto"/>
                    </w:rPr>
                  </w:pPr>
                  <w:r>
                    <w:rPr>
                      <w:rFonts w:hint="eastAsia"/>
                      <w:color w:val="auto"/>
                      <w:lang w:val="en-US" w:eastAsia="zh-CN"/>
                    </w:rPr>
                    <w:t>91</w:t>
                  </w:r>
                </w:p>
              </w:tc>
              <w:tc>
                <w:tcPr>
                  <w:tcW w:w="1286" w:type="dxa"/>
                  <w:tcBorders>
                    <w:tl2br w:val="nil"/>
                    <w:tr2bl w:val="nil"/>
                  </w:tcBorders>
                  <w:shd w:val="clear" w:color="auto" w:fill="auto"/>
                  <w:noWrap/>
                  <w:tcMar>
                    <w:top w:w="0" w:type="dxa"/>
                    <w:left w:w="0" w:type="dxa"/>
                    <w:bottom w:w="0" w:type="dxa"/>
                    <w:right w:w="0" w:type="dxa"/>
                  </w:tcMar>
                  <w:vAlign w:val="center"/>
                </w:tcPr>
                <w:p w14:paraId="42EC0C34">
                  <w:pPr>
                    <w:pStyle w:val="15"/>
                    <w:bidi w:val="0"/>
                    <w:rPr>
                      <w:rFonts w:hint="eastAsia"/>
                      <w:color w:val="auto"/>
                    </w:rPr>
                  </w:pPr>
                  <w:r>
                    <w:rPr>
                      <w:rFonts w:hint="eastAsia"/>
                      <w:color w:val="auto"/>
                      <w:lang w:val="en-US" w:eastAsia="zh-CN"/>
                    </w:rPr>
                    <w:t>41.19375697</w:t>
                  </w:r>
                </w:p>
              </w:tc>
              <w:tc>
                <w:tcPr>
                  <w:tcW w:w="1298" w:type="dxa"/>
                  <w:tcBorders>
                    <w:tl2br w:val="nil"/>
                    <w:tr2bl w:val="nil"/>
                  </w:tcBorders>
                  <w:shd w:val="clear" w:color="auto" w:fill="auto"/>
                  <w:noWrap/>
                  <w:tcMar>
                    <w:top w:w="0" w:type="dxa"/>
                    <w:left w:w="0" w:type="dxa"/>
                    <w:bottom w:w="0" w:type="dxa"/>
                    <w:right w:w="0" w:type="dxa"/>
                  </w:tcMar>
                  <w:vAlign w:val="center"/>
                </w:tcPr>
                <w:p w14:paraId="61B22D6F">
                  <w:pPr>
                    <w:pStyle w:val="15"/>
                    <w:bidi w:val="0"/>
                    <w:rPr>
                      <w:rFonts w:hint="eastAsia"/>
                      <w:color w:val="auto"/>
                    </w:rPr>
                  </w:pPr>
                  <w:r>
                    <w:rPr>
                      <w:rFonts w:hint="eastAsia"/>
                      <w:color w:val="auto"/>
                      <w:lang w:val="en-US" w:eastAsia="zh-CN"/>
                    </w:rPr>
                    <w:t>48.71950281</w:t>
                  </w:r>
                </w:p>
              </w:tc>
            </w:tr>
            <w:tr w14:paraId="0F5470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85" w:type="pct"/>
                  <w:tcBorders>
                    <w:tl2br w:val="nil"/>
                    <w:tr2bl w:val="nil"/>
                  </w:tcBorders>
                  <w:shd w:val="clear" w:color="auto" w:fill="auto"/>
                  <w:noWrap/>
                  <w:tcMar>
                    <w:top w:w="0" w:type="dxa"/>
                    <w:left w:w="0" w:type="dxa"/>
                    <w:bottom w:w="0" w:type="dxa"/>
                    <w:right w:w="0" w:type="dxa"/>
                  </w:tcMar>
                  <w:vAlign w:val="center"/>
                </w:tcPr>
                <w:p w14:paraId="5FECD293">
                  <w:pPr>
                    <w:pStyle w:val="15"/>
                    <w:keepNext w:val="0"/>
                    <w:keepLines w:val="0"/>
                    <w:widowControl/>
                    <w:suppressLineNumbers w:val="0"/>
                    <w:bidi w:val="0"/>
                    <w:spacing w:before="0" w:after="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地下水现状监测点2</w:t>
                  </w:r>
                </w:p>
              </w:tc>
              <w:tc>
                <w:tcPr>
                  <w:tcW w:w="436" w:type="dxa"/>
                  <w:tcBorders>
                    <w:tl2br w:val="nil"/>
                    <w:tr2bl w:val="nil"/>
                  </w:tcBorders>
                  <w:shd w:val="clear" w:color="auto" w:fill="auto"/>
                  <w:noWrap/>
                  <w:tcMar>
                    <w:top w:w="0" w:type="dxa"/>
                    <w:left w:w="0" w:type="dxa"/>
                    <w:bottom w:w="0" w:type="dxa"/>
                    <w:right w:w="0" w:type="dxa"/>
                  </w:tcMar>
                  <w:vAlign w:val="center"/>
                </w:tcPr>
                <w:p w14:paraId="08BC3CDB">
                  <w:pPr>
                    <w:pStyle w:val="15"/>
                    <w:bidi w:val="0"/>
                    <w:rPr>
                      <w:rFonts w:hint="eastAsia"/>
                      <w:color w:val="auto"/>
                    </w:rPr>
                  </w:pPr>
                  <w:r>
                    <w:rPr>
                      <w:rFonts w:hint="eastAsia"/>
                      <w:color w:val="auto"/>
                      <w:lang w:val="en-US" w:eastAsia="zh-CN"/>
                    </w:rPr>
                    <w:t>52.8</w:t>
                  </w:r>
                </w:p>
              </w:tc>
              <w:tc>
                <w:tcPr>
                  <w:tcW w:w="375" w:type="dxa"/>
                  <w:tcBorders>
                    <w:tl2br w:val="nil"/>
                    <w:tr2bl w:val="nil"/>
                  </w:tcBorders>
                  <w:shd w:val="clear" w:color="auto" w:fill="auto"/>
                  <w:noWrap/>
                  <w:tcMar>
                    <w:top w:w="0" w:type="dxa"/>
                    <w:left w:w="0" w:type="dxa"/>
                    <w:bottom w:w="0" w:type="dxa"/>
                    <w:right w:w="0" w:type="dxa"/>
                  </w:tcMar>
                  <w:vAlign w:val="center"/>
                </w:tcPr>
                <w:p w14:paraId="61E2274F">
                  <w:pPr>
                    <w:pStyle w:val="15"/>
                    <w:bidi w:val="0"/>
                    <w:rPr>
                      <w:rFonts w:hint="eastAsia"/>
                      <w:color w:val="auto"/>
                    </w:rPr>
                  </w:pPr>
                  <w:r>
                    <w:rPr>
                      <w:rFonts w:hint="eastAsia"/>
                      <w:color w:val="auto"/>
                      <w:lang w:val="en-US" w:eastAsia="zh-CN"/>
                    </w:rPr>
                    <w:t>295</w:t>
                  </w:r>
                </w:p>
              </w:tc>
              <w:tc>
                <w:tcPr>
                  <w:tcW w:w="437" w:type="dxa"/>
                  <w:tcBorders>
                    <w:tl2br w:val="nil"/>
                    <w:tr2bl w:val="nil"/>
                  </w:tcBorders>
                  <w:shd w:val="clear" w:color="auto" w:fill="auto"/>
                  <w:noWrap/>
                  <w:tcMar>
                    <w:top w:w="0" w:type="dxa"/>
                    <w:left w:w="0" w:type="dxa"/>
                    <w:bottom w:w="0" w:type="dxa"/>
                    <w:right w:w="0" w:type="dxa"/>
                  </w:tcMar>
                  <w:vAlign w:val="center"/>
                </w:tcPr>
                <w:p w14:paraId="17C6D0B7">
                  <w:pPr>
                    <w:pStyle w:val="15"/>
                    <w:bidi w:val="0"/>
                    <w:rPr>
                      <w:rFonts w:hint="eastAsia"/>
                      <w:color w:val="auto"/>
                    </w:rPr>
                  </w:pPr>
                  <w:r>
                    <w:rPr>
                      <w:rFonts w:hint="eastAsia"/>
                      <w:color w:val="auto"/>
                      <w:lang w:val="en-US" w:eastAsia="zh-CN"/>
                    </w:rPr>
                    <w:t>305</w:t>
                  </w:r>
                </w:p>
              </w:tc>
              <w:tc>
                <w:tcPr>
                  <w:tcW w:w="440" w:type="dxa"/>
                  <w:tcBorders>
                    <w:tl2br w:val="nil"/>
                    <w:tr2bl w:val="nil"/>
                  </w:tcBorders>
                  <w:shd w:val="clear" w:color="auto" w:fill="auto"/>
                  <w:noWrap/>
                  <w:tcMar>
                    <w:top w:w="0" w:type="dxa"/>
                    <w:left w:w="0" w:type="dxa"/>
                    <w:bottom w:w="0" w:type="dxa"/>
                    <w:right w:w="0" w:type="dxa"/>
                  </w:tcMar>
                  <w:vAlign w:val="center"/>
                </w:tcPr>
                <w:p w14:paraId="3D811648">
                  <w:pPr>
                    <w:pStyle w:val="15"/>
                    <w:bidi w:val="0"/>
                    <w:rPr>
                      <w:rFonts w:hint="eastAsia"/>
                      <w:color w:val="auto"/>
                    </w:rPr>
                  </w:pPr>
                  <w:r>
                    <w:rPr>
                      <w:rFonts w:hint="eastAsia"/>
                      <w:color w:val="auto"/>
                      <w:lang w:val="en-US" w:eastAsia="zh-CN"/>
                    </w:rPr>
                    <w:t>235</w:t>
                  </w:r>
                </w:p>
              </w:tc>
              <w:tc>
                <w:tcPr>
                  <w:tcW w:w="375" w:type="dxa"/>
                  <w:tcBorders>
                    <w:tl2br w:val="nil"/>
                    <w:tr2bl w:val="nil"/>
                  </w:tcBorders>
                  <w:shd w:val="clear" w:color="auto" w:fill="auto"/>
                  <w:noWrap/>
                  <w:tcMar>
                    <w:top w:w="0" w:type="dxa"/>
                    <w:left w:w="0" w:type="dxa"/>
                    <w:bottom w:w="0" w:type="dxa"/>
                    <w:right w:w="0" w:type="dxa"/>
                  </w:tcMar>
                  <w:vAlign w:val="center"/>
                </w:tcPr>
                <w:p w14:paraId="1BCD414B">
                  <w:pPr>
                    <w:pStyle w:val="15"/>
                    <w:bidi w:val="0"/>
                    <w:rPr>
                      <w:rFonts w:hint="eastAsia"/>
                      <w:color w:val="auto"/>
                    </w:rPr>
                  </w:pPr>
                  <w:r>
                    <w:rPr>
                      <w:rFonts w:hint="eastAsia"/>
                      <w:color w:val="auto"/>
                      <w:lang w:val="en-US" w:eastAsia="zh-CN"/>
                    </w:rPr>
                    <w:t>830</w:t>
                  </w:r>
                </w:p>
              </w:tc>
              <w:tc>
                <w:tcPr>
                  <w:tcW w:w="442" w:type="dxa"/>
                  <w:tcBorders>
                    <w:tl2br w:val="nil"/>
                    <w:tr2bl w:val="nil"/>
                  </w:tcBorders>
                  <w:shd w:val="clear" w:color="auto" w:fill="auto"/>
                  <w:noWrap/>
                  <w:tcMar>
                    <w:top w:w="0" w:type="dxa"/>
                    <w:left w:w="0" w:type="dxa"/>
                    <w:bottom w:w="0" w:type="dxa"/>
                    <w:right w:w="0" w:type="dxa"/>
                  </w:tcMar>
                  <w:vAlign w:val="center"/>
                </w:tcPr>
                <w:p w14:paraId="0D4BCCE4">
                  <w:pPr>
                    <w:pStyle w:val="15"/>
                    <w:bidi w:val="0"/>
                    <w:rPr>
                      <w:rFonts w:hint="eastAsia"/>
                      <w:color w:val="auto"/>
                    </w:rPr>
                  </w:pPr>
                  <w:r>
                    <w:rPr>
                      <w:rFonts w:hint="eastAsia"/>
                      <w:color w:val="auto"/>
                      <w:lang w:val="en-US" w:eastAsia="zh-CN"/>
                    </w:rPr>
                    <w:t>743</w:t>
                  </w:r>
                </w:p>
              </w:tc>
              <w:tc>
                <w:tcPr>
                  <w:tcW w:w="470" w:type="dxa"/>
                  <w:tcBorders>
                    <w:tl2br w:val="nil"/>
                    <w:tr2bl w:val="nil"/>
                  </w:tcBorders>
                  <w:shd w:val="clear" w:color="auto" w:fill="auto"/>
                  <w:noWrap/>
                  <w:tcMar>
                    <w:top w:w="0" w:type="dxa"/>
                    <w:left w:w="0" w:type="dxa"/>
                    <w:bottom w:w="0" w:type="dxa"/>
                    <w:right w:w="0" w:type="dxa"/>
                  </w:tcMar>
                  <w:vAlign w:val="center"/>
                </w:tcPr>
                <w:p w14:paraId="5F5EB8FC">
                  <w:pPr>
                    <w:pStyle w:val="15"/>
                    <w:bidi w:val="0"/>
                    <w:rPr>
                      <w:rFonts w:hint="eastAsia"/>
                      <w:color w:val="auto"/>
                    </w:rPr>
                  </w:pPr>
                  <w:r>
                    <w:rPr>
                      <w:rFonts w:hint="eastAsia"/>
                      <w:color w:val="auto"/>
                      <w:lang w:val="en-US" w:eastAsia="zh-CN"/>
                    </w:rPr>
                    <w:t>0</w:t>
                  </w:r>
                </w:p>
              </w:tc>
              <w:tc>
                <w:tcPr>
                  <w:tcW w:w="651" w:type="dxa"/>
                  <w:tcBorders>
                    <w:tl2br w:val="nil"/>
                    <w:tr2bl w:val="nil"/>
                  </w:tcBorders>
                  <w:shd w:val="clear" w:color="auto" w:fill="auto"/>
                  <w:noWrap/>
                  <w:tcMar>
                    <w:top w:w="0" w:type="dxa"/>
                    <w:left w:w="0" w:type="dxa"/>
                    <w:bottom w:w="0" w:type="dxa"/>
                    <w:right w:w="0" w:type="dxa"/>
                  </w:tcMar>
                  <w:vAlign w:val="center"/>
                </w:tcPr>
                <w:p w14:paraId="27409F04">
                  <w:pPr>
                    <w:pStyle w:val="15"/>
                    <w:bidi w:val="0"/>
                    <w:rPr>
                      <w:rFonts w:hint="eastAsia"/>
                      <w:color w:val="auto"/>
                    </w:rPr>
                  </w:pPr>
                  <w:r>
                    <w:rPr>
                      <w:rFonts w:hint="eastAsia"/>
                      <w:color w:val="auto"/>
                      <w:lang w:val="en-US" w:eastAsia="zh-CN"/>
                    </w:rPr>
                    <w:t>78.4</w:t>
                  </w:r>
                </w:p>
              </w:tc>
              <w:tc>
                <w:tcPr>
                  <w:tcW w:w="1286" w:type="dxa"/>
                  <w:tcBorders>
                    <w:tl2br w:val="nil"/>
                    <w:tr2bl w:val="nil"/>
                  </w:tcBorders>
                  <w:shd w:val="clear" w:color="auto" w:fill="auto"/>
                  <w:noWrap/>
                  <w:tcMar>
                    <w:top w:w="0" w:type="dxa"/>
                    <w:left w:w="0" w:type="dxa"/>
                    <w:bottom w:w="0" w:type="dxa"/>
                    <w:right w:w="0" w:type="dxa"/>
                  </w:tcMar>
                  <w:vAlign w:val="center"/>
                </w:tcPr>
                <w:p w14:paraId="51FC8789">
                  <w:pPr>
                    <w:pStyle w:val="15"/>
                    <w:bidi w:val="0"/>
                    <w:rPr>
                      <w:rFonts w:hint="eastAsia"/>
                      <w:color w:val="auto"/>
                    </w:rPr>
                  </w:pPr>
                  <w:r>
                    <w:rPr>
                      <w:rFonts w:hint="eastAsia"/>
                      <w:color w:val="auto"/>
                      <w:lang w:val="en-US" w:eastAsia="zh-CN"/>
                    </w:rPr>
                    <w:t>49.01326644</w:t>
                  </w:r>
                </w:p>
              </w:tc>
              <w:tc>
                <w:tcPr>
                  <w:tcW w:w="1298" w:type="dxa"/>
                  <w:tcBorders>
                    <w:tl2br w:val="nil"/>
                    <w:tr2bl w:val="nil"/>
                  </w:tcBorders>
                  <w:shd w:val="clear" w:color="auto" w:fill="auto"/>
                  <w:noWrap/>
                  <w:tcMar>
                    <w:top w:w="0" w:type="dxa"/>
                    <w:left w:w="0" w:type="dxa"/>
                    <w:bottom w:w="0" w:type="dxa"/>
                    <w:right w:w="0" w:type="dxa"/>
                  </w:tcMar>
                  <w:vAlign w:val="center"/>
                </w:tcPr>
                <w:p w14:paraId="71D57E38">
                  <w:pPr>
                    <w:pStyle w:val="15"/>
                    <w:bidi w:val="0"/>
                    <w:rPr>
                      <w:rFonts w:hint="eastAsia"/>
                      <w:color w:val="auto"/>
                    </w:rPr>
                  </w:pPr>
                  <w:r>
                    <w:rPr>
                      <w:rFonts w:hint="eastAsia"/>
                      <w:color w:val="auto"/>
                      <w:lang w:val="en-US" w:eastAsia="zh-CN"/>
                    </w:rPr>
                    <w:t>40.14469426</w:t>
                  </w:r>
                </w:p>
              </w:tc>
            </w:tr>
            <w:tr w14:paraId="0D6D98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85" w:type="pct"/>
                  <w:tcBorders>
                    <w:tl2br w:val="nil"/>
                    <w:tr2bl w:val="nil"/>
                  </w:tcBorders>
                  <w:shd w:val="clear" w:color="auto" w:fill="auto"/>
                  <w:noWrap/>
                  <w:tcMar>
                    <w:top w:w="0" w:type="dxa"/>
                    <w:left w:w="0" w:type="dxa"/>
                    <w:bottom w:w="0" w:type="dxa"/>
                    <w:right w:w="0" w:type="dxa"/>
                  </w:tcMar>
                  <w:vAlign w:val="center"/>
                </w:tcPr>
                <w:p w14:paraId="616D815A">
                  <w:pPr>
                    <w:pStyle w:val="15"/>
                    <w:keepNext w:val="0"/>
                    <w:keepLines w:val="0"/>
                    <w:widowControl/>
                    <w:suppressLineNumbers w:val="0"/>
                    <w:bidi w:val="0"/>
                    <w:spacing w:before="0" w:after="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地下水现状监测点3</w:t>
                  </w:r>
                </w:p>
              </w:tc>
              <w:tc>
                <w:tcPr>
                  <w:tcW w:w="436" w:type="dxa"/>
                  <w:tcBorders>
                    <w:tl2br w:val="nil"/>
                    <w:tr2bl w:val="nil"/>
                  </w:tcBorders>
                  <w:shd w:val="clear" w:color="auto" w:fill="auto"/>
                  <w:noWrap/>
                  <w:tcMar>
                    <w:top w:w="0" w:type="dxa"/>
                    <w:left w:w="0" w:type="dxa"/>
                    <w:bottom w:w="0" w:type="dxa"/>
                    <w:right w:w="0" w:type="dxa"/>
                  </w:tcMar>
                  <w:vAlign w:val="center"/>
                </w:tcPr>
                <w:p w14:paraId="09317FB1">
                  <w:pPr>
                    <w:pStyle w:val="15"/>
                    <w:bidi w:val="0"/>
                    <w:rPr>
                      <w:rFonts w:hint="eastAsia"/>
                      <w:color w:val="auto"/>
                    </w:rPr>
                  </w:pPr>
                  <w:r>
                    <w:rPr>
                      <w:rFonts w:hint="eastAsia"/>
                      <w:color w:val="auto"/>
                      <w:lang w:val="en-US" w:eastAsia="zh-CN"/>
                    </w:rPr>
                    <w:t>526</w:t>
                  </w:r>
                </w:p>
              </w:tc>
              <w:tc>
                <w:tcPr>
                  <w:tcW w:w="375" w:type="dxa"/>
                  <w:tcBorders>
                    <w:tl2br w:val="nil"/>
                    <w:tr2bl w:val="nil"/>
                  </w:tcBorders>
                  <w:shd w:val="clear" w:color="auto" w:fill="auto"/>
                  <w:noWrap/>
                  <w:tcMar>
                    <w:top w:w="0" w:type="dxa"/>
                    <w:left w:w="0" w:type="dxa"/>
                    <w:bottom w:w="0" w:type="dxa"/>
                    <w:right w:w="0" w:type="dxa"/>
                  </w:tcMar>
                  <w:vAlign w:val="center"/>
                </w:tcPr>
                <w:p w14:paraId="76FE7DDC">
                  <w:pPr>
                    <w:pStyle w:val="15"/>
                    <w:bidi w:val="0"/>
                    <w:rPr>
                      <w:rFonts w:hint="eastAsia"/>
                      <w:color w:val="auto"/>
                    </w:rPr>
                  </w:pPr>
                  <w:r>
                    <w:rPr>
                      <w:rFonts w:hint="eastAsia"/>
                      <w:color w:val="auto"/>
                      <w:lang w:val="en-US" w:eastAsia="zh-CN"/>
                    </w:rPr>
                    <w:t>2370</w:t>
                  </w:r>
                </w:p>
              </w:tc>
              <w:tc>
                <w:tcPr>
                  <w:tcW w:w="437" w:type="dxa"/>
                  <w:tcBorders>
                    <w:tl2br w:val="nil"/>
                    <w:tr2bl w:val="nil"/>
                  </w:tcBorders>
                  <w:shd w:val="clear" w:color="auto" w:fill="auto"/>
                  <w:noWrap/>
                  <w:tcMar>
                    <w:top w:w="0" w:type="dxa"/>
                    <w:left w:w="0" w:type="dxa"/>
                    <w:bottom w:w="0" w:type="dxa"/>
                    <w:right w:w="0" w:type="dxa"/>
                  </w:tcMar>
                  <w:vAlign w:val="center"/>
                </w:tcPr>
                <w:p w14:paraId="0B856CBA">
                  <w:pPr>
                    <w:pStyle w:val="15"/>
                    <w:bidi w:val="0"/>
                    <w:rPr>
                      <w:rFonts w:hint="eastAsia"/>
                      <w:color w:val="auto"/>
                    </w:rPr>
                  </w:pPr>
                  <w:r>
                    <w:rPr>
                      <w:rFonts w:hint="eastAsia"/>
                      <w:color w:val="auto"/>
                      <w:lang w:val="en-US" w:eastAsia="zh-CN"/>
                    </w:rPr>
                    <w:t>745</w:t>
                  </w:r>
                </w:p>
              </w:tc>
              <w:tc>
                <w:tcPr>
                  <w:tcW w:w="440" w:type="dxa"/>
                  <w:tcBorders>
                    <w:tl2br w:val="nil"/>
                    <w:tr2bl w:val="nil"/>
                  </w:tcBorders>
                  <w:shd w:val="clear" w:color="auto" w:fill="auto"/>
                  <w:noWrap/>
                  <w:tcMar>
                    <w:top w:w="0" w:type="dxa"/>
                    <w:left w:w="0" w:type="dxa"/>
                    <w:bottom w:w="0" w:type="dxa"/>
                    <w:right w:w="0" w:type="dxa"/>
                  </w:tcMar>
                  <w:vAlign w:val="center"/>
                </w:tcPr>
                <w:p w14:paraId="580F21A2">
                  <w:pPr>
                    <w:pStyle w:val="15"/>
                    <w:bidi w:val="0"/>
                    <w:rPr>
                      <w:rFonts w:hint="eastAsia"/>
                      <w:color w:val="auto"/>
                    </w:rPr>
                  </w:pPr>
                  <w:r>
                    <w:rPr>
                      <w:rFonts w:hint="eastAsia"/>
                      <w:color w:val="auto"/>
                      <w:lang w:val="en-US" w:eastAsia="zh-CN"/>
                    </w:rPr>
                    <w:t>1710</w:t>
                  </w:r>
                </w:p>
              </w:tc>
              <w:tc>
                <w:tcPr>
                  <w:tcW w:w="375" w:type="dxa"/>
                  <w:tcBorders>
                    <w:tl2br w:val="nil"/>
                    <w:tr2bl w:val="nil"/>
                  </w:tcBorders>
                  <w:shd w:val="clear" w:color="auto" w:fill="auto"/>
                  <w:noWrap/>
                  <w:tcMar>
                    <w:top w:w="0" w:type="dxa"/>
                    <w:left w:w="0" w:type="dxa"/>
                    <w:bottom w:w="0" w:type="dxa"/>
                    <w:right w:w="0" w:type="dxa"/>
                  </w:tcMar>
                  <w:vAlign w:val="center"/>
                </w:tcPr>
                <w:p w14:paraId="0988276E">
                  <w:pPr>
                    <w:pStyle w:val="15"/>
                    <w:bidi w:val="0"/>
                    <w:rPr>
                      <w:rFonts w:hint="eastAsia"/>
                      <w:color w:val="auto"/>
                    </w:rPr>
                  </w:pPr>
                  <w:r>
                    <w:rPr>
                      <w:rFonts w:hint="eastAsia"/>
                      <w:color w:val="auto"/>
                      <w:lang w:val="en-US" w:eastAsia="zh-CN"/>
                    </w:rPr>
                    <w:t>4980</w:t>
                  </w:r>
                </w:p>
              </w:tc>
              <w:tc>
                <w:tcPr>
                  <w:tcW w:w="442" w:type="dxa"/>
                  <w:tcBorders>
                    <w:tl2br w:val="nil"/>
                    <w:tr2bl w:val="nil"/>
                  </w:tcBorders>
                  <w:shd w:val="clear" w:color="auto" w:fill="auto"/>
                  <w:noWrap/>
                  <w:tcMar>
                    <w:top w:w="0" w:type="dxa"/>
                    <w:left w:w="0" w:type="dxa"/>
                    <w:bottom w:w="0" w:type="dxa"/>
                    <w:right w:w="0" w:type="dxa"/>
                  </w:tcMar>
                  <w:vAlign w:val="center"/>
                </w:tcPr>
                <w:p w14:paraId="74A83156">
                  <w:pPr>
                    <w:pStyle w:val="15"/>
                    <w:bidi w:val="0"/>
                    <w:rPr>
                      <w:rFonts w:hint="eastAsia"/>
                      <w:color w:val="auto"/>
                    </w:rPr>
                  </w:pPr>
                  <w:r>
                    <w:rPr>
                      <w:rFonts w:hint="eastAsia"/>
                      <w:color w:val="auto"/>
                      <w:lang w:val="en-US" w:eastAsia="zh-CN"/>
                    </w:rPr>
                    <w:t>5220</w:t>
                  </w:r>
                </w:p>
              </w:tc>
              <w:tc>
                <w:tcPr>
                  <w:tcW w:w="470" w:type="dxa"/>
                  <w:tcBorders>
                    <w:tl2br w:val="nil"/>
                    <w:tr2bl w:val="nil"/>
                  </w:tcBorders>
                  <w:shd w:val="clear" w:color="auto" w:fill="auto"/>
                  <w:noWrap/>
                  <w:tcMar>
                    <w:top w:w="0" w:type="dxa"/>
                    <w:left w:w="0" w:type="dxa"/>
                    <w:bottom w:w="0" w:type="dxa"/>
                    <w:right w:w="0" w:type="dxa"/>
                  </w:tcMar>
                  <w:vAlign w:val="center"/>
                </w:tcPr>
                <w:p w14:paraId="6A6F8B1C">
                  <w:pPr>
                    <w:pStyle w:val="15"/>
                    <w:bidi w:val="0"/>
                    <w:rPr>
                      <w:rFonts w:hint="eastAsia"/>
                      <w:color w:val="auto"/>
                    </w:rPr>
                  </w:pPr>
                  <w:r>
                    <w:rPr>
                      <w:rFonts w:hint="eastAsia"/>
                      <w:color w:val="auto"/>
                      <w:lang w:val="en-US" w:eastAsia="zh-CN"/>
                    </w:rPr>
                    <w:t>0</w:t>
                  </w:r>
                </w:p>
              </w:tc>
              <w:tc>
                <w:tcPr>
                  <w:tcW w:w="651" w:type="dxa"/>
                  <w:tcBorders>
                    <w:tl2br w:val="nil"/>
                    <w:tr2bl w:val="nil"/>
                  </w:tcBorders>
                  <w:shd w:val="clear" w:color="auto" w:fill="auto"/>
                  <w:noWrap/>
                  <w:tcMar>
                    <w:top w:w="0" w:type="dxa"/>
                    <w:left w:w="0" w:type="dxa"/>
                    <w:bottom w:w="0" w:type="dxa"/>
                    <w:right w:w="0" w:type="dxa"/>
                  </w:tcMar>
                  <w:vAlign w:val="center"/>
                </w:tcPr>
                <w:p w14:paraId="12B085FA">
                  <w:pPr>
                    <w:pStyle w:val="15"/>
                    <w:bidi w:val="0"/>
                    <w:rPr>
                      <w:rFonts w:hint="eastAsia"/>
                      <w:color w:val="auto"/>
                    </w:rPr>
                  </w:pPr>
                  <w:r>
                    <w:rPr>
                      <w:rFonts w:hint="eastAsia"/>
                      <w:color w:val="auto"/>
                      <w:lang w:val="en-US" w:eastAsia="zh-CN"/>
                    </w:rPr>
                    <w:t>384</w:t>
                  </w:r>
                </w:p>
              </w:tc>
              <w:tc>
                <w:tcPr>
                  <w:tcW w:w="1286" w:type="dxa"/>
                  <w:tcBorders>
                    <w:tl2br w:val="nil"/>
                    <w:tr2bl w:val="nil"/>
                  </w:tcBorders>
                  <w:shd w:val="clear" w:color="auto" w:fill="auto"/>
                  <w:noWrap/>
                  <w:tcMar>
                    <w:top w:w="0" w:type="dxa"/>
                    <w:left w:w="0" w:type="dxa"/>
                    <w:bottom w:w="0" w:type="dxa"/>
                    <w:right w:w="0" w:type="dxa"/>
                  </w:tcMar>
                  <w:vAlign w:val="center"/>
                </w:tcPr>
                <w:p w14:paraId="5E7F746C">
                  <w:pPr>
                    <w:pStyle w:val="15"/>
                    <w:bidi w:val="0"/>
                    <w:rPr>
                      <w:rFonts w:hint="eastAsia"/>
                      <w:color w:val="auto"/>
                    </w:rPr>
                  </w:pPr>
                  <w:r>
                    <w:rPr>
                      <w:rFonts w:hint="eastAsia"/>
                      <w:color w:val="auto"/>
                      <w:lang w:val="en-US" w:eastAsia="zh-CN"/>
                    </w:rPr>
                    <w:t>296.2806577</w:t>
                  </w:r>
                </w:p>
              </w:tc>
              <w:tc>
                <w:tcPr>
                  <w:tcW w:w="1298" w:type="dxa"/>
                  <w:tcBorders>
                    <w:tl2br w:val="nil"/>
                    <w:tr2bl w:val="nil"/>
                  </w:tcBorders>
                  <w:shd w:val="clear" w:color="auto" w:fill="auto"/>
                  <w:noWrap/>
                  <w:tcMar>
                    <w:top w:w="0" w:type="dxa"/>
                    <w:left w:w="0" w:type="dxa"/>
                    <w:bottom w:w="0" w:type="dxa"/>
                    <w:right w:w="0" w:type="dxa"/>
                  </w:tcMar>
                  <w:vAlign w:val="center"/>
                </w:tcPr>
                <w:p w14:paraId="71EF5550">
                  <w:pPr>
                    <w:pStyle w:val="15"/>
                    <w:bidi w:val="0"/>
                    <w:rPr>
                      <w:rFonts w:hint="eastAsia"/>
                      <w:color w:val="auto"/>
                    </w:rPr>
                  </w:pPr>
                  <w:r>
                    <w:rPr>
                      <w:rFonts w:hint="eastAsia"/>
                      <w:color w:val="auto"/>
                      <w:lang w:val="en-US" w:eastAsia="zh-CN"/>
                    </w:rPr>
                    <w:t>255.3267721</w:t>
                  </w:r>
                </w:p>
              </w:tc>
            </w:tr>
            <w:tr w14:paraId="43A36E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85" w:type="pct"/>
                  <w:tcBorders>
                    <w:tl2br w:val="nil"/>
                    <w:tr2bl w:val="nil"/>
                  </w:tcBorders>
                  <w:shd w:val="clear" w:color="auto" w:fill="auto"/>
                  <w:noWrap/>
                  <w:tcMar>
                    <w:top w:w="0" w:type="dxa"/>
                    <w:left w:w="0" w:type="dxa"/>
                    <w:bottom w:w="0" w:type="dxa"/>
                    <w:right w:w="0" w:type="dxa"/>
                  </w:tcMar>
                  <w:vAlign w:val="center"/>
                </w:tcPr>
                <w:p w14:paraId="6B5F6518">
                  <w:pPr>
                    <w:pStyle w:val="15"/>
                    <w:keepNext w:val="0"/>
                    <w:keepLines w:val="0"/>
                    <w:widowControl/>
                    <w:suppressLineNumbers w:val="0"/>
                    <w:bidi w:val="0"/>
                    <w:spacing w:before="0" w:after="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地下水现状监测点4</w:t>
                  </w:r>
                </w:p>
              </w:tc>
              <w:tc>
                <w:tcPr>
                  <w:tcW w:w="436" w:type="dxa"/>
                  <w:tcBorders>
                    <w:tl2br w:val="nil"/>
                    <w:tr2bl w:val="nil"/>
                  </w:tcBorders>
                  <w:shd w:val="clear" w:color="auto" w:fill="auto"/>
                  <w:tcMar>
                    <w:top w:w="0" w:type="dxa"/>
                    <w:left w:w="0" w:type="dxa"/>
                    <w:bottom w:w="0" w:type="dxa"/>
                    <w:right w:w="0" w:type="dxa"/>
                  </w:tcMar>
                  <w:vAlign w:val="center"/>
                </w:tcPr>
                <w:p w14:paraId="47769A12">
                  <w:pPr>
                    <w:pStyle w:val="15"/>
                    <w:bidi w:val="0"/>
                    <w:rPr>
                      <w:rFonts w:hint="eastAsia"/>
                      <w:color w:val="auto"/>
                    </w:rPr>
                  </w:pPr>
                  <w:r>
                    <w:rPr>
                      <w:rFonts w:hint="eastAsia"/>
                      <w:color w:val="auto"/>
                      <w:lang w:val="en-US" w:eastAsia="zh-CN"/>
                    </w:rPr>
                    <w:t>106</w:t>
                  </w:r>
                </w:p>
              </w:tc>
              <w:tc>
                <w:tcPr>
                  <w:tcW w:w="375" w:type="dxa"/>
                  <w:tcBorders>
                    <w:tl2br w:val="nil"/>
                    <w:tr2bl w:val="nil"/>
                  </w:tcBorders>
                  <w:shd w:val="clear" w:color="auto" w:fill="auto"/>
                  <w:tcMar>
                    <w:top w:w="0" w:type="dxa"/>
                    <w:left w:w="0" w:type="dxa"/>
                    <w:bottom w:w="0" w:type="dxa"/>
                    <w:right w:w="0" w:type="dxa"/>
                  </w:tcMar>
                  <w:vAlign w:val="center"/>
                </w:tcPr>
                <w:p w14:paraId="270652C3">
                  <w:pPr>
                    <w:pStyle w:val="15"/>
                    <w:bidi w:val="0"/>
                    <w:rPr>
                      <w:rFonts w:hint="eastAsia"/>
                      <w:color w:val="auto"/>
                    </w:rPr>
                  </w:pPr>
                  <w:r>
                    <w:rPr>
                      <w:rFonts w:hint="eastAsia"/>
                      <w:color w:val="auto"/>
                      <w:lang w:val="en-US" w:eastAsia="zh-CN"/>
                    </w:rPr>
                    <w:t>576</w:t>
                  </w:r>
                </w:p>
              </w:tc>
              <w:tc>
                <w:tcPr>
                  <w:tcW w:w="437" w:type="dxa"/>
                  <w:tcBorders>
                    <w:tl2br w:val="nil"/>
                    <w:tr2bl w:val="nil"/>
                  </w:tcBorders>
                  <w:shd w:val="clear" w:color="auto" w:fill="auto"/>
                  <w:tcMar>
                    <w:top w:w="0" w:type="dxa"/>
                    <w:left w:w="0" w:type="dxa"/>
                    <w:bottom w:w="0" w:type="dxa"/>
                    <w:right w:w="0" w:type="dxa"/>
                  </w:tcMar>
                  <w:vAlign w:val="center"/>
                </w:tcPr>
                <w:p w14:paraId="36DEF148">
                  <w:pPr>
                    <w:pStyle w:val="15"/>
                    <w:bidi w:val="0"/>
                    <w:rPr>
                      <w:rFonts w:hint="eastAsia"/>
                      <w:color w:val="auto"/>
                    </w:rPr>
                  </w:pPr>
                  <w:r>
                    <w:rPr>
                      <w:rFonts w:hint="eastAsia"/>
                      <w:color w:val="auto"/>
                      <w:lang w:val="en-US" w:eastAsia="zh-CN"/>
                    </w:rPr>
                    <w:t>261</w:t>
                  </w:r>
                </w:p>
              </w:tc>
              <w:tc>
                <w:tcPr>
                  <w:tcW w:w="440" w:type="dxa"/>
                  <w:tcBorders>
                    <w:tl2br w:val="nil"/>
                    <w:tr2bl w:val="nil"/>
                  </w:tcBorders>
                  <w:shd w:val="clear" w:color="auto" w:fill="auto"/>
                  <w:tcMar>
                    <w:top w:w="0" w:type="dxa"/>
                    <w:left w:w="0" w:type="dxa"/>
                    <w:bottom w:w="0" w:type="dxa"/>
                    <w:right w:w="0" w:type="dxa"/>
                  </w:tcMar>
                  <w:vAlign w:val="center"/>
                </w:tcPr>
                <w:p w14:paraId="2D623EB9">
                  <w:pPr>
                    <w:pStyle w:val="15"/>
                    <w:bidi w:val="0"/>
                    <w:rPr>
                      <w:rFonts w:hint="eastAsia"/>
                      <w:color w:val="auto"/>
                    </w:rPr>
                  </w:pPr>
                  <w:r>
                    <w:rPr>
                      <w:rFonts w:hint="eastAsia"/>
                      <w:color w:val="auto"/>
                      <w:lang w:val="en-US" w:eastAsia="zh-CN"/>
                    </w:rPr>
                    <w:t>54</w:t>
                  </w:r>
                </w:p>
              </w:tc>
              <w:tc>
                <w:tcPr>
                  <w:tcW w:w="375" w:type="dxa"/>
                  <w:tcBorders>
                    <w:tl2br w:val="nil"/>
                    <w:tr2bl w:val="nil"/>
                  </w:tcBorders>
                  <w:shd w:val="clear" w:color="auto" w:fill="auto"/>
                  <w:tcMar>
                    <w:top w:w="0" w:type="dxa"/>
                    <w:left w:w="0" w:type="dxa"/>
                    <w:bottom w:w="0" w:type="dxa"/>
                    <w:right w:w="0" w:type="dxa"/>
                  </w:tcMar>
                  <w:vAlign w:val="center"/>
                </w:tcPr>
                <w:p w14:paraId="0BA2E908">
                  <w:pPr>
                    <w:pStyle w:val="15"/>
                    <w:bidi w:val="0"/>
                    <w:rPr>
                      <w:rFonts w:hint="eastAsia"/>
                      <w:color w:val="auto"/>
                    </w:rPr>
                  </w:pPr>
                  <w:r>
                    <w:rPr>
                      <w:rFonts w:hint="eastAsia"/>
                      <w:color w:val="auto"/>
                      <w:lang w:val="en-US" w:eastAsia="zh-CN"/>
                    </w:rPr>
                    <w:t>650</w:t>
                  </w:r>
                </w:p>
              </w:tc>
              <w:tc>
                <w:tcPr>
                  <w:tcW w:w="442" w:type="dxa"/>
                  <w:tcBorders>
                    <w:tl2br w:val="nil"/>
                    <w:tr2bl w:val="nil"/>
                  </w:tcBorders>
                  <w:shd w:val="clear" w:color="auto" w:fill="auto"/>
                  <w:tcMar>
                    <w:top w:w="0" w:type="dxa"/>
                    <w:left w:w="0" w:type="dxa"/>
                    <w:bottom w:w="0" w:type="dxa"/>
                    <w:right w:w="0" w:type="dxa"/>
                  </w:tcMar>
                  <w:vAlign w:val="center"/>
                </w:tcPr>
                <w:p w14:paraId="03870719">
                  <w:pPr>
                    <w:pStyle w:val="15"/>
                    <w:bidi w:val="0"/>
                    <w:rPr>
                      <w:rFonts w:hint="eastAsia"/>
                      <w:color w:val="auto"/>
                    </w:rPr>
                  </w:pPr>
                  <w:r>
                    <w:rPr>
                      <w:rFonts w:hint="eastAsia"/>
                      <w:color w:val="auto"/>
                      <w:lang w:val="en-US" w:eastAsia="zh-CN"/>
                    </w:rPr>
                    <w:t>823</w:t>
                  </w:r>
                </w:p>
              </w:tc>
              <w:tc>
                <w:tcPr>
                  <w:tcW w:w="470" w:type="dxa"/>
                  <w:tcBorders>
                    <w:tl2br w:val="nil"/>
                    <w:tr2bl w:val="nil"/>
                  </w:tcBorders>
                  <w:shd w:val="clear" w:color="auto" w:fill="auto"/>
                  <w:tcMar>
                    <w:top w:w="0" w:type="dxa"/>
                    <w:left w:w="0" w:type="dxa"/>
                    <w:bottom w:w="0" w:type="dxa"/>
                    <w:right w:w="0" w:type="dxa"/>
                  </w:tcMar>
                  <w:vAlign w:val="center"/>
                </w:tcPr>
                <w:p w14:paraId="44DF04D8">
                  <w:pPr>
                    <w:pStyle w:val="15"/>
                    <w:bidi w:val="0"/>
                    <w:rPr>
                      <w:rFonts w:hint="eastAsia"/>
                      <w:color w:val="auto"/>
                    </w:rPr>
                  </w:pPr>
                  <w:r>
                    <w:rPr>
                      <w:rFonts w:hint="eastAsia"/>
                      <w:color w:val="auto"/>
                      <w:lang w:val="en-US" w:eastAsia="zh-CN"/>
                    </w:rPr>
                    <w:t>0</w:t>
                  </w:r>
                </w:p>
              </w:tc>
              <w:tc>
                <w:tcPr>
                  <w:tcW w:w="651" w:type="dxa"/>
                  <w:tcBorders>
                    <w:tl2br w:val="nil"/>
                    <w:tr2bl w:val="nil"/>
                  </w:tcBorders>
                  <w:shd w:val="clear" w:color="auto" w:fill="auto"/>
                  <w:tcMar>
                    <w:top w:w="0" w:type="dxa"/>
                    <w:left w:w="0" w:type="dxa"/>
                    <w:bottom w:w="0" w:type="dxa"/>
                    <w:right w:w="0" w:type="dxa"/>
                  </w:tcMar>
                  <w:vAlign w:val="center"/>
                </w:tcPr>
                <w:p w14:paraId="3E8C03B9">
                  <w:pPr>
                    <w:pStyle w:val="15"/>
                    <w:bidi w:val="0"/>
                    <w:rPr>
                      <w:rFonts w:hint="eastAsia"/>
                      <w:color w:val="auto"/>
                    </w:rPr>
                  </w:pPr>
                  <w:r>
                    <w:rPr>
                      <w:rFonts w:hint="eastAsia"/>
                      <w:color w:val="auto"/>
                      <w:lang w:val="en-US" w:eastAsia="zh-CN"/>
                    </w:rPr>
                    <w:t>107</w:t>
                  </w:r>
                </w:p>
              </w:tc>
              <w:tc>
                <w:tcPr>
                  <w:tcW w:w="1286" w:type="dxa"/>
                  <w:tcBorders>
                    <w:tl2br w:val="nil"/>
                    <w:tr2bl w:val="nil"/>
                  </w:tcBorders>
                  <w:shd w:val="clear" w:color="auto" w:fill="auto"/>
                  <w:noWrap/>
                  <w:tcMar>
                    <w:top w:w="0" w:type="dxa"/>
                    <w:left w:w="0" w:type="dxa"/>
                    <w:bottom w:w="0" w:type="dxa"/>
                    <w:right w:w="0" w:type="dxa"/>
                  </w:tcMar>
                  <w:vAlign w:val="center"/>
                </w:tcPr>
                <w:p w14:paraId="3E38A5D7">
                  <w:pPr>
                    <w:pStyle w:val="15"/>
                    <w:bidi w:val="0"/>
                    <w:rPr>
                      <w:rFonts w:hint="eastAsia"/>
                      <w:color w:val="auto"/>
                    </w:rPr>
                  </w:pPr>
                  <w:r>
                    <w:rPr>
                      <w:rFonts w:hint="eastAsia"/>
                      <w:color w:val="auto"/>
                      <w:lang w:val="en-US" w:eastAsia="zh-CN"/>
                    </w:rPr>
                    <w:t>45.31142698</w:t>
                  </w:r>
                </w:p>
              </w:tc>
              <w:tc>
                <w:tcPr>
                  <w:tcW w:w="1298" w:type="dxa"/>
                  <w:tcBorders>
                    <w:tl2br w:val="nil"/>
                    <w:tr2bl w:val="nil"/>
                  </w:tcBorders>
                  <w:shd w:val="clear" w:color="auto" w:fill="auto"/>
                  <w:noWrap/>
                  <w:tcMar>
                    <w:top w:w="0" w:type="dxa"/>
                    <w:left w:w="0" w:type="dxa"/>
                    <w:bottom w:w="0" w:type="dxa"/>
                    <w:right w:w="0" w:type="dxa"/>
                  </w:tcMar>
                  <w:vAlign w:val="center"/>
                </w:tcPr>
                <w:p w14:paraId="19D15D1A">
                  <w:pPr>
                    <w:pStyle w:val="15"/>
                    <w:bidi w:val="0"/>
                    <w:rPr>
                      <w:rFonts w:hint="eastAsia"/>
                      <w:color w:val="auto"/>
                    </w:rPr>
                  </w:pPr>
                  <w:r>
                    <w:rPr>
                      <w:rFonts w:hint="eastAsia"/>
                      <w:color w:val="auto"/>
                      <w:lang w:val="en-US" w:eastAsia="zh-CN"/>
                    </w:rPr>
                    <w:t>37.20979085</w:t>
                  </w:r>
                </w:p>
              </w:tc>
            </w:tr>
            <w:tr w14:paraId="189680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5" w:type="pct"/>
                  <w:tcBorders>
                    <w:tl2br w:val="nil"/>
                    <w:tr2bl w:val="nil"/>
                  </w:tcBorders>
                  <w:shd w:val="clear" w:color="auto" w:fill="auto"/>
                  <w:noWrap/>
                  <w:tcMar>
                    <w:top w:w="0" w:type="dxa"/>
                    <w:left w:w="0" w:type="dxa"/>
                    <w:bottom w:w="0" w:type="dxa"/>
                    <w:right w:w="0" w:type="dxa"/>
                  </w:tcMar>
                  <w:vAlign w:val="center"/>
                </w:tcPr>
                <w:p w14:paraId="5FF81D2B">
                  <w:pPr>
                    <w:pStyle w:val="15"/>
                    <w:keepNext w:val="0"/>
                    <w:keepLines w:val="0"/>
                    <w:widowControl/>
                    <w:suppressLineNumbers w:val="0"/>
                    <w:bidi w:val="0"/>
                    <w:spacing w:before="0" w:after="0"/>
                    <w:ind w:left="0" w:leftChars="0" w:right="0" w:rightChars="0" w:firstLine="0" w:firstLineChars="0"/>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地下水现状监测点5</w:t>
                  </w:r>
                </w:p>
              </w:tc>
              <w:tc>
                <w:tcPr>
                  <w:tcW w:w="436" w:type="dxa"/>
                  <w:tcBorders>
                    <w:tl2br w:val="nil"/>
                    <w:tr2bl w:val="nil"/>
                  </w:tcBorders>
                  <w:shd w:val="clear" w:color="auto" w:fill="auto"/>
                  <w:tcMar>
                    <w:top w:w="0" w:type="dxa"/>
                    <w:left w:w="0" w:type="dxa"/>
                    <w:bottom w:w="0" w:type="dxa"/>
                    <w:right w:w="0" w:type="dxa"/>
                  </w:tcMar>
                  <w:vAlign w:val="center"/>
                </w:tcPr>
                <w:p w14:paraId="47771789">
                  <w:pPr>
                    <w:pStyle w:val="15"/>
                    <w:bidi w:val="0"/>
                    <w:rPr>
                      <w:rFonts w:hint="eastAsia"/>
                      <w:color w:val="auto"/>
                    </w:rPr>
                  </w:pPr>
                  <w:r>
                    <w:rPr>
                      <w:rFonts w:hint="eastAsia"/>
                      <w:color w:val="auto"/>
                      <w:lang w:val="en-US" w:eastAsia="zh-CN"/>
                    </w:rPr>
                    <w:t>528</w:t>
                  </w:r>
                </w:p>
              </w:tc>
              <w:tc>
                <w:tcPr>
                  <w:tcW w:w="375" w:type="dxa"/>
                  <w:tcBorders>
                    <w:tl2br w:val="nil"/>
                    <w:tr2bl w:val="nil"/>
                  </w:tcBorders>
                  <w:shd w:val="clear" w:color="auto" w:fill="auto"/>
                  <w:tcMar>
                    <w:top w:w="0" w:type="dxa"/>
                    <w:left w:w="0" w:type="dxa"/>
                    <w:bottom w:w="0" w:type="dxa"/>
                    <w:right w:w="0" w:type="dxa"/>
                  </w:tcMar>
                  <w:vAlign w:val="center"/>
                </w:tcPr>
                <w:p w14:paraId="6E700477">
                  <w:pPr>
                    <w:pStyle w:val="15"/>
                    <w:bidi w:val="0"/>
                    <w:rPr>
                      <w:rFonts w:hint="eastAsia"/>
                      <w:color w:val="auto"/>
                    </w:rPr>
                  </w:pPr>
                  <w:r>
                    <w:rPr>
                      <w:rFonts w:hint="eastAsia"/>
                      <w:color w:val="auto"/>
                      <w:lang w:val="en-US" w:eastAsia="zh-CN"/>
                    </w:rPr>
                    <w:t>2320</w:t>
                  </w:r>
                </w:p>
              </w:tc>
              <w:tc>
                <w:tcPr>
                  <w:tcW w:w="437" w:type="dxa"/>
                  <w:tcBorders>
                    <w:tl2br w:val="nil"/>
                    <w:tr2bl w:val="nil"/>
                  </w:tcBorders>
                  <w:shd w:val="clear" w:color="auto" w:fill="auto"/>
                  <w:tcMar>
                    <w:top w:w="0" w:type="dxa"/>
                    <w:left w:w="0" w:type="dxa"/>
                    <w:bottom w:w="0" w:type="dxa"/>
                    <w:right w:w="0" w:type="dxa"/>
                  </w:tcMar>
                  <w:vAlign w:val="center"/>
                </w:tcPr>
                <w:p w14:paraId="542D8F0A">
                  <w:pPr>
                    <w:pStyle w:val="15"/>
                    <w:bidi w:val="0"/>
                    <w:rPr>
                      <w:rFonts w:hint="eastAsia"/>
                      <w:color w:val="auto"/>
                    </w:rPr>
                  </w:pPr>
                  <w:r>
                    <w:rPr>
                      <w:rFonts w:hint="eastAsia"/>
                      <w:color w:val="auto"/>
                      <w:lang w:val="en-US" w:eastAsia="zh-CN"/>
                    </w:rPr>
                    <w:t>757</w:t>
                  </w:r>
                </w:p>
              </w:tc>
              <w:tc>
                <w:tcPr>
                  <w:tcW w:w="440" w:type="dxa"/>
                  <w:tcBorders>
                    <w:tl2br w:val="nil"/>
                    <w:tr2bl w:val="nil"/>
                  </w:tcBorders>
                  <w:shd w:val="clear" w:color="auto" w:fill="auto"/>
                  <w:tcMar>
                    <w:top w:w="0" w:type="dxa"/>
                    <w:left w:w="0" w:type="dxa"/>
                    <w:bottom w:w="0" w:type="dxa"/>
                    <w:right w:w="0" w:type="dxa"/>
                  </w:tcMar>
                  <w:vAlign w:val="center"/>
                </w:tcPr>
                <w:p w14:paraId="3AAAF2E8">
                  <w:pPr>
                    <w:pStyle w:val="15"/>
                    <w:bidi w:val="0"/>
                    <w:rPr>
                      <w:rFonts w:hint="eastAsia"/>
                      <w:color w:val="auto"/>
                    </w:rPr>
                  </w:pPr>
                  <w:r>
                    <w:rPr>
                      <w:rFonts w:hint="eastAsia"/>
                      <w:color w:val="auto"/>
                      <w:lang w:val="en-US" w:eastAsia="zh-CN"/>
                    </w:rPr>
                    <w:t>2720</w:t>
                  </w:r>
                </w:p>
              </w:tc>
              <w:tc>
                <w:tcPr>
                  <w:tcW w:w="375" w:type="dxa"/>
                  <w:tcBorders>
                    <w:tl2br w:val="nil"/>
                    <w:tr2bl w:val="nil"/>
                  </w:tcBorders>
                  <w:shd w:val="clear" w:color="auto" w:fill="auto"/>
                  <w:tcMar>
                    <w:top w:w="0" w:type="dxa"/>
                    <w:left w:w="0" w:type="dxa"/>
                    <w:bottom w:w="0" w:type="dxa"/>
                    <w:right w:w="0" w:type="dxa"/>
                  </w:tcMar>
                  <w:vAlign w:val="center"/>
                </w:tcPr>
                <w:p w14:paraId="49F7AD38">
                  <w:pPr>
                    <w:pStyle w:val="15"/>
                    <w:bidi w:val="0"/>
                    <w:rPr>
                      <w:rFonts w:hint="eastAsia"/>
                      <w:color w:val="auto"/>
                    </w:rPr>
                  </w:pPr>
                  <w:r>
                    <w:rPr>
                      <w:rFonts w:hint="eastAsia"/>
                      <w:color w:val="auto"/>
                      <w:lang w:val="en-US" w:eastAsia="zh-CN"/>
                    </w:rPr>
                    <w:t>6890</w:t>
                  </w:r>
                </w:p>
              </w:tc>
              <w:tc>
                <w:tcPr>
                  <w:tcW w:w="442" w:type="dxa"/>
                  <w:tcBorders>
                    <w:tl2br w:val="nil"/>
                    <w:tr2bl w:val="nil"/>
                  </w:tcBorders>
                  <w:shd w:val="clear" w:color="auto" w:fill="auto"/>
                  <w:tcMar>
                    <w:top w:w="0" w:type="dxa"/>
                    <w:left w:w="0" w:type="dxa"/>
                    <w:bottom w:w="0" w:type="dxa"/>
                    <w:right w:w="0" w:type="dxa"/>
                  </w:tcMar>
                  <w:vAlign w:val="center"/>
                </w:tcPr>
                <w:p w14:paraId="2F2F4F2D">
                  <w:pPr>
                    <w:pStyle w:val="15"/>
                    <w:bidi w:val="0"/>
                    <w:rPr>
                      <w:rFonts w:hint="eastAsia"/>
                      <w:color w:val="auto"/>
                    </w:rPr>
                  </w:pPr>
                  <w:r>
                    <w:rPr>
                      <w:rFonts w:hint="eastAsia"/>
                      <w:color w:val="auto"/>
                      <w:lang w:val="en-US" w:eastAsia="zh-CN"/>
                    </w:rPr>
                    <w:t>5280</w:t>
                  </w:r>
                </w:p>
              </w:tc>
              <w:tc>
                <w:tcPr>
                  <w:tcW w:w="470" w:type="dxa"/>
                  <w:tcBorders>
                    <w:tl2br w:val="nil"/>
                    <w:tr2bl w:val="nil"/>
                  </w:tcBorders>
                  <w:shd w:val="clear" w:color="auto" w:fill="auto"/>
                  <w:tcMar>
                    <w:top w:w="0" w:type="dxa"/>
                    <w:left w:w="0" w:type="dxa"/>
                    <w:bottom w:w="0" w:type="dxa"/>
                    <w:right w:w="0" w:type="dxa"/>
                  </w:tcMar>
                  <w:vAlign w:val="center"/>
                </w:tcPr>
                <w:p w14:paraId="31ED4C9E">
                  <w:pPr>
                    <w:pStyle w:val="15"/>
                    <w:bidi w:val="0"/>
                    <w:rPr>
                      <w:rFonts w:hint="eastAsia"/>
                      <w:color w:val="auto"/>
                    </w:rPr>
                  </w:pPr>
                  <w:r>
                    <w:rPr>
                      <w:rFonts w:hint="eastAsia"/>
                      <w:color w:val="auto"/>
                      <w:lang w:val="en-US" w:eastAsia="zh-CN"/>
                    </w:rPr>
                    <w:t>0</w:t>
                  </w:r>
                </w:p>
              </w:tc>
              <w:tc>
                <w:tcPr>
                  <w:tcW w:w="651" w:type="dxa"/>
                  <w:tcBorders>
                    <w:tl2br w:val="nil"/>
                    <w:tr2bl w:val="nil"/>
                  </w:tcBorders>
                  <w:shd w:val="clear" w:color="auto" w:fill="auto"/>
                  <w:tcMar>
                    <w:top w:w="0" w:type="dxa"/>
                    <w:left w:w="0" w:type="dxa"/>
                    <w:bottom w:w="0" w:type="dxa"/>
                    <w:right w:w="0" w:type="dxa"/>
                  </w:tcMar>
                  <w:vAlign w:val="center"/>
                </w:tcPr>
                <w:p w14:paraId="20400901">
                  <w:pPr>
                    <w:pStyle w:val="15"/>
                    <w:bidi w:val="0"/>
                    <w:rPr>
                      <w:rFonts w:hint="eastAsia"/>
                      <w:color w:val="auto"/>
                    </w:rPr>
                  </w:pPr>
                  <w:r>
                    <w:rPr>
                      <w:rFonts w:hint="eastAsia"/>
                      <w:color w:val="auto"/>
                      <w:lang w:val="en-US" w:eastAsia="zh-CN"/>
                    </w:rPr>
                    <w:t>387</w:t>
                  </w:r>
                </w:p>
              </w:tc>
              <w:tc>
                <w:tcPr>
                  <w:tcW w:w="1286" w:type="dxa"/>
                  <w:tcBorders>
                    <w:tl2br w:val="nil"/>
                    <w:tr2bl w:val="nil"/>
                  </w:tcBorders>
                  <w:shd w:val="clear" w:color="auto" w:fill="auto"/>
                  <w:noWrap/>
                  <w:tcMar>
                    <w:top w:w="0" w:type="dxa"/>
                    <w:left w:w="0" w:type="dxa"/>
                    <w:bottom w:w="0" w:type="dxa"/>
                    <w:right w:w="0" w:type="dxa"/>
                  </w:tcMar>
                  <w:vAlign w:val="center"/>
                </w:tcPr>
                <w:p w14:paraId="30FEE30C">
                  <w:pPr>
                    <w:pStyle w:val="15"/>
                    <w:bidi w:val="0"/>
                    <w:rPr>
                      <w:rFonts w:hint="eastAsia"/>
                      <w:color w:val="auto"/>
                    </w:rPr>
                  </w:pPr>
                  <w:r>
                    <w:rPr>
                      <w:rFonts w:hint="eastAsia"/>
                      <w:color w:val="auto"/>
                      <w:lang w:val="en-US" w:eastAsia="zh-CN"/>
                    </w:rPr>
                    <w:t>378.9246934</w:t>
                  </w:r>
                </w:p>
              </w:tc>
              <w:tc>
                <w:tcPr>
                  <w:tcW w:w="1298" w:type="dxa"/>
                  <w:tcBorders>
                    <w:tl2br w:val="nil"/>
                    <w:tr2bl w:val="nil"/>
                  </w:tcBorders>
                  <w:shd w:val="clear" w:color="auto" w:fill="auto"/>
                  <w:noWrap/>
                  <w:tcMar>
                    <w:top w:w="0" w:type="dxa"/>
                    <w:left w:w="0" w:type="dxa"/>
                    <w:bottom w:w="0" w:type="dxa"/>
                    <w:right w:w="0" w:type="dxa"/>
                  </w:tcMar>
                  <w:vAlign w:val="center"/>
                </w:tcPr>
                <w:p w14:paraId="62936C55">
                  <w:pPr>
                    <w:pStyle w:val="15"/>
                    <w:bidi w:val="0"/>
                    <w:rPr>
                      <w:rFonts w:hint="eastAsia"/>
                      <w:color w:val="auto"/>
                    </w:rPr>
                  </w:pPr>
                  <w:r>
                    <w:rPr>
                      <w:rFonts w:hint="eastAsia"/>
                      <w:color w:val="auto"/>
                      <w:lang w:val="en-US" w:eastAsia="zh-CN"/>
                    </w:rPr>
                    <w:t>310.4287693</w:t>
                  </w:r>
                </w:p>
              </w:tc>
            </w:tr>
          </w:tbl>
          <w:p w14:paraId="5380D89E">
            <w:pPr>
              <w:rPr>
                <w:rFonts w:hint="eastAsia"/>
                <w:color w:val="auto"/>
                <w:lang w:val="en-US" w:eastAsia="zh-CN"/>
              </w:rPr>
            </w:pPr>
            <w:r>
              <w:rPr>
                <w:rFonts w:hint="eastAsia"/>
                <w:color w:val="auto"/>
                <w:lang w:val="en-US" w:eastAsia="zh-CN"/>
              </w:rPr>
              <w:t>从地下水水质现状监测结果可以看出，项目所在区域地下水除了总硬度、溶解性总固体、硫酸盐、氯化物、氟化物及钠超标外，其余各项监测因子均满足《地下水质量标准》（GB/T14848-2017）中Ⅲ类标准限值的要求。超标主要原因是与区域天然水文地质、土壤、岩性等情况有关，是自然背景值较高导致。</w:t>
            </w:r>
          </w:p>
          <w:p w14:paraId="0558968E">
            <w:pPr>
              <w:bidi w:val="0"/>
              <w:rPr>
                <w:rFonts w:ascii="Times New Roman" w:hAnsi="Times New Roman"/>
                <w:color w:val="auto"/>
                <w:lang w:val="zh-CN"/>
              </w:rPr>
            </w:pPr>
            <w:r>
              <w:rPr>
                <w:rFonts w:hint="eastAsia"/>
                <w:color w:val="auto"/>
                <w:lang w:val="en-US" w:eastAsia="zh-CN"/>
              </w:rPr>
              <w:t>查阅《新疆久塔锦晨生物科技股份有限公司精细化工项目（一期）环境影响报告书》，中</w:t>
            </w:r>
            <w:r>
              <w:rPr>
                <w:color w:val="auto"/>
              </w:rPr>
              <w:t>2017年8月22日、11月24日</w:t>
            </w:r>
            <w:r>
              <w:rPr>
                <w:rFonts w:hint="eastAsia"/>
                <w:color w:val="auto"/>
                <w:lang w:eastAsia="zh-CN"/>
              </w:rPr>
              <w:t>、</w:t>
            </w:r>
            <w:r>
              <w:rPr>
                <w:color w:val="auto"/>
              </w:rPr>
              <w:t>201</w:t>
            </w:r>
            <w:r>
              <w:rPr>
                <w:color w:val="auto"/>
                <w:lang w:eastAsia="zh-CN"/>
              </w:rPr>
              <w:t>8</w:t>
            </w:r>
            <w:r>
              <w:rPr>
                <w:color w:val="auto"/>
              </w:rPr>
              <w:t>年</w:t>
            </w:r>
            <w:r>
              <w:rPr>
                <w:color w:val="auto"/>
                <w:lang w:eastAsia="zh-CN"/>
              </w:rPr>
              <w:t>7</w:t>
            </w:r>
            <w:r>
              <w:rPr>
                <w:color w:val="auto"/>
              </w:rPr>
              <w:t>月</w:t>
            </w:r>
            <w:r>
              <w:rPr>
                <w:color w:val="auto"/>
                <w:lang w:eastAsia="zh-CN"/>
              </w:rPr>
              <w:t>30</w:t>
            </w:r>
            <w:r>
              <w:rPr>
                <w:color w:val="auto"/>
              </w:rPr>
              <w:t>日</w:t>
            </w:r>
            <w:r>
              <w:rPr>
                <w:rFonts w:hint="eastAsia"/>
                <w:color w:val="auto"/>
                <w:lang w:val="en-US" w:eastAsia="zh-CN"/>
              </w:rPr>
              <w:t>对本项目所在区域地下水质量监测结果，</w:t>
            </w:r>
            <w:r>
              <w:rPr>
                <w:rFonts w:ascii="Times New Roman" w:hAnsi="Times New Roman"/>
                <w:color w:val="auto"/>
                <w:lang w:val="zh-CN"/>
              </w:rPr>
              <w:t>区域地下水中</w:t>
            </w:r>
            <w:r>
              <w:rPr>
                <w:rFonts w:ascii="Times New Roman" w:hAnsi="Times New Roman"/>
                <w:color w:val="auto"/>
                <w:lang w:eastAsia="zh-CN"/>
              </w:rPr>
              <w:t>耗氧量、氨氮、</w:t>
            </w:r>
            <w:r>
              <w:rPr>
                <w:rFonts w:ascii="Times New Roman" w:hAnsi="Times New Roman"/>
                <w:color w:val="auto"/>
              </w:rPr>
              <w:t>溶解性总固体、总硬度、氟化物、氯化物、硫酸盐</w:t>
            </w:r>
            <w:r>
              <w:rPr>
                <w:rFonts w:ascii="Times New Roman" w:hAnsi="Times New Roman"/>
                <w:color w:val="auto"/>
                <w:lang w:val="zh-CN"/>
              </w:rPr>
              <w:t>超标，主要是跟区域水文地质情况有关，是自然背景值较高导致。</w:t>
            </w:r>
          </w:p>
          <w:p w14:paraId="32BA988B">
            <w:pPr>
              <w:bidi w:val="0"/>
              <w:rPr>
                <w:rFonts w:hint="default"/>
                <w:color w:val="auto"/>
                <w:lang w:val="en-US" w:eastAsia="zh-CN"/>
              </w:rPr>
            </w:pPr>
            <w:r>
              <w:rPr>
                <w:rFonts w:hint="eastAsia"/>
                <w:color w:val="auto"/>
                <w:lang w:val="en-US" w:eastAsia="zh-CN"/>
              </w:rPr>
              <w:t>查阅《胡杨河经济技术开发区总体规划（2021—2035年）环境影响报告书》中区域地下水环境质量演变趋势，对区域地下水收集整理出2011年—2020年开发区南园区和纺织工业园所在区域的地下水环境质量监测资料，区域地下水中溶解性总固体、总硬度、硫酸盐、氯化物、氟化物、砷出现超标（砷的标准限值在2018年5月1日之前为0.05mg/L，2018年5月1日起为0.01mg/L），这主要与所在区域土壤岩性和水文地质原生条件有关，自然背景值高所致，其余监测因子均满足《地下水质量标准》（GB/T14848-2017）中Ⅲ类标准的限值要求。</w:t>
            </w:r>
          </w:p>
          <w:p w14:paraId="51DC043F">
            <w:pPr>
              <w:pStyle w:val="3"/>
              <w:bidi w:val="0"/>
              <w:rPr>
                <w:b/>
                <w:bCs/>
                <w:color w:val="auto"/>
                <w:kern w:val="0"/>
                <w:szCs w:val="21"/>
              </w:rPr>
            </w:pPr>
            <w:r>
              <w:rPr>
                <w:rFonts w:hint="eastAsia"/>
                <w:b/>
                <w:bCs/>
                <w:color w:val="auto"/>
                <w:kern w:val="0"/>
                <w:szCs w:val="21"/>
                <w:lang w:val="en-US" w:eastAsia="zh-CN"/>
              </w:rPr>
              <w:t>4.</w:t>
            </w:r>
            <w:r>
              <w:rPr>
                <w:b/>
                <w:bCs/>
                <w:color w:val="auto"/>
                <w:kern w:val="0"/>
                <w:szCs w:val="21"/>
              </w:rPr>
              <w:t>声环境</w:t>
            </w:r>
          </w:p>
          <w:p w14:paraId="0ECFD900">
            <w:pPr>
              <w:adjustRightInd w:val="0"/>
              <w:snapToGrid w:val="0"/>
              <w:spacing w:line="360" w:lineRule="auto"/>
              <w:ind w:firstLine="480" w:firstLineChars="200"/>
              <w:jc w:val="left"/>
              <w:rPr>
                <w:color w:val="auto"/>
              </w:rPr>
            </w:pPr>
            <w:r>
              <w:rPr>
                <w:color w:val="auto"/>
                <w:kern w:val="0"/>
                <w:szCs w:val="21"/>
              </w:rPr>
              <w:t>根据《建设项目环境影响报告表编制技术指南（污染影响类）（试行）》本项目厂界50m范围内无声环境保护目标，因此不进行现状监测。</w:t>
            </w:r>
          </w:p>
          <w:p w14:paraId="13DAAD03">
            <w:pPr>
              <w:pStyle w:val="3"/>
              <w:bidi w:val="0"/>
              <w:rPr>
                <w:rFonts w:hint="eastAsia"/>
                <w:lang w:val="en-US" w:eastAsia="zh-CN"/>
              </w:rPr>
            </w:pPr>
            <w:r>
              <w:rPr>
                <w:rFonts w:hint="eastAsia"/>
                <w:lang w:val="en-US" w:eastAsia="zh-CN"/>
              </w:rPr>
              <w:t>5.生态环境</w:t>
            </w:r>
          </w:p>
          <w:p w14:paraId="294C9B03">
            <w:pPr>
              <w:pStyle w:val="4"/>
              <w:bidi w:val="0"/>
              <w:rPr>
                <w:rFonts w:hint="eastAsia"/>
                <w:lang w:val="en-US" w:eastAsia="zh-CN"/>
              </w:rPr>
            </w:pPr>
            <w:r>
              <w:rPr>
                <w:rFonts w:hint="eastAsia"/>
                <w:lang w:val="en-US" w:eastAsia="zh-CN"/>
              </w:rPr>
              <w:t>5.1生态环境功能区划</w:t>
            </w:r>
          </w:p>
          <w:p w14:paraId="0B8D5E40">
            <w:pPr>
              <w:bidi w:val="0"/>
              <w:rPr>
                <w:rFonts w:hint="eastAsia"/>
                <w:color w:val="auto"/>
                <w:lang w:val="en-US" w:eastAsia="zh-CN"/>
              </w:rPr>
            </w:pPr>
            <w:r>
              <w:rPr>
                <w:rFonts w:hint="default"/>
                <w:color w:val="auto"/>
                <w:lang w:val="en-US" w:eastAsia="zh-CN"/>
              </w:rPr>
              <w:t>根据《新疆生产建设兵团生态功能区划》，建设项目位于新疆胡杨河市胡杨河经济技术开发区南区，该生态功能区的主要生态服务功能、主要生态环境问题和主要保护目标、保护措施及发展方向见</w:t>
            </w:r>
            <w:r>
              <w:rPr>
                <w:rFonts w:hint="eastAsia"/>
                <w:color w:val="auto"/>
                <w:lang w:val="en-US" w:eastAsia="zh-CN"/>
              </w:rPr>
              <w:t>下表24。</w:t>
            </w:r>
          </w:p>
          <w:p w14:paraId="5BD31FBA">
            <w:pPr>
              <w:pStyle w:val="16"/>
              <w:bidi w:val="0"/>
              <w:rPr>
                <w:rFonts w:hint="default"/>
                <w:color w:val="auto"/>
                <w:lang w:val="en-US" w:eastAsia="zh-CN"/>
              </w:rPr>
            </w:pPr>
            <w:r>
              <w:t xml:space="preserve">表 </w:t>
            </w:r>
            <w:r>
              <w:fldChar w:fldCharType="begin"/>
            </w:r>
            <w:r>
              <w:instrText xml:space="preserve"> SEQ 表 \* ARABIC </w:instrText>
            </w:r>
            <w:r>
              <w:fldChar w:fldCharType="separate"/>
            </w:r>
            <w:r>
              <w:t>24</w:t>
            </w:r>
            <w:r>
              <w:fldChar w:fldCharType="end"/>
            </w:r>
            <w:r>
              <w:rPr>
                <w:rFonts w:hint="eastAsia"/>
                <w:color w:val="auto"/>
                <w:lang w:val="en-US" w:eastAsia="zh-CN"/>
              </w:rPr>
              <w:t xml:space="preserve">  </w:t>
            </w:r>
            <w:r>
              <w:rPr>
                <w:color w:val="auto"/>
              </w:rPr>
              <w:t>本项目与新疆生产建设兵团生态功能区划关系一览表</w:t>
            </w:r>
          </w:p>
          <w:tbl>
            <w:tblPr>
              <w:tblStyle w:val="17"/>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368"/>
              <w:gridCol w:w="5781"/>
            </w:tblGrid>
            <w:tr w14:paraId="6FDB3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15" w:type="pct"/>
                  <w:vMerge w:val="restart"/>
                  <w:tcBorders>
                    <w:tl2br w:val="nil"/>
                    <w:tr2bl w:val="nil"/>
                  </w:tcBorders>
                  <w:tcMar>
                    <w:top w:w="0" w:type="dxa"/>
                    <w:left w:w="0" w:type="dxa"/>
                    <w:bottom w:w="0" w:type="dxa"/>
                    <w:right w:w="0" w:type="dxa"/>
                  </w:tcMar>
                  <w:vAlign w:val="center"/>
                </w:tcPr>
                <w:p w14:paraId="7D8AC316">
                  <w:pPr>
                    <w:pStyle w:val="15"/>
                    <w:bidi w:val="0"/>
                    <w:jc w:val="center"/>
                    <w:rPr>
                      <w:color w:val="auto"/>
                    </w:rPr>
                  </w:pPr>
                  <w:r>
                    <w:rPr>
                      <w:color w:val="auto"/>
                    </w:rPr>
                    <w:t>生态功能分区单元</w:t>
                  </w:r>
                </w:p>
              </w:tc>
              <w:tc>
                <w:tcPr>
                  <w:tcW w:w="857" w:type="pct"/>
                  <w:tcBorders>
                    <w:tl2br w:val="nil"/>
                    <w:tr2bl w:val="nil"/>
                  </w:tcBorders>
                  <w:tcMar>
                    <w:top w:w="0" w:type="dxa"/>
                    <w:left w:w="0" w:type="dxa"/>
                    <w:bottom w:w="0" w:type="dxa"/>
                    <w:right w:w="0" w:type="dxa"/>
                  </w:tcMar>
                  <w:vAlign w:val="center"/>
                </w:tcPr>
                <w:p w14:paraId="3DD2C66B">
                  <w:pPr>
                    <w:pStyle w:val="15"/>
                    <w:bidi w:val="0"/>
                    <w:jc w:val="center"/>
                    <w:rPr>
                      <w:color w:val="auto"/>
                    </w:rPr>
                  </w:pPr>
                  <w:r>
                    <w:rPr>
                      <w:color w:val="auto"/>
                    </w:rPr>
                    <w:t>生态区</w:t>
                  </w:r>
                </w:p>
              </w:tc>
              <w:tc>
                <w:tcPr>
                  <w:tcW w:w="3626" w:type="pct"/>
                  <w:tcBorders>
                    <w:tl2br w:val="nil"/>
                    <w:tr2bl w:val="nil"/>
                  </w:tcBorders>
                  <w:tcMar>
                    <w:top w:w="0" w:type="dxa"/>
                    <w:left w:w="0" w:type="dxa"/>
                    <w:bottom w:w="0" w:type="dxa"/>
                    <w:right w:w="0" w:type="dxa"/>
                  </w:tcMar>
                  <w:vAlign w:val="center"/>
                </w:tcPr>
                <w:p w14:paraId="4A4D17C8">
                  <w:pPr>
                    <w:pStyle w:val="15"/>
                    <w:bidi w:val="0"/>
                    <w:jc w:val="center"/>
                    <w:rPr>
                      <w:color w:val="auto"/>
                    </w:rPr>
                  </w:pPr>
                  <w:r>
                    <w:rPr>
                      <w:color w:val="auto"/>
                    </w:rPr>
                    <w:t>Ⅱ兵团准噶尔盆地温带干旱荒漠与绿洲生态区</w:t>
                  </w:r>
                </w:p>
              </w:tc>
            </w:tr>
            <w:tr w14:paraId="28735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15" w:type="pct"/>
                  <w:vMerge w:val="continue"/>
                  <w:tcBorders>
                    <w:tl2br w:val="nil"/>
                    <w:tr2bl w:val="nil"/>
                  </w:tcBorders>
                  <w:tcMar>
                    <w:top w:w="0" w:type="dxa"/>
                    <w:left w:w="0" w:type="dxa"/>
                    <w:bottom w:w="0" w:type="dxa"/>
                    <w:right w:w="0" w:type="dxa"/>
                  </w:tcMar>
                  <w:vAlign w:val="center"/>
                </w:tcPr>
                <w:p w14:paraId="67581655">
                  <w:pPr>
                    <w:pStyle w:val="15"/>
                    <w:bidi w:val="0"/>
                    <w:jc w:val="center"/>
                    <w:rPr>
                      <w:color w:val="auto"/>
                    </w:rPr>
                  </w:pPr>
                </w:p>
              </w:tc>
              <w:tc>
                <w:tcPr>
                  <w:tcW w:w="857" w:type="pct"/>
                  <w:tcBorders>
                    <w:tl2br w:val="nil"/>
                    <w:tr2bl w:val="nil"/>
                  </w:tcBorders>
                  <w:tcMar>
                    <w:top w:w="0" w:type="dxa"/>
                    <w:left w:w="0" w:type="dxa"/>
                    <w:bottom w:w="0" w:type="dxa"/>
                    <w:right w:w="0" w:type="dxa"/>
                  </w:tcMar>
                  <w:vAlign w:val="center"/>
                </w:tcPr>
                <w:p w14:paraId="7F4B49A7">
                  <w:pPr>
                    <w:pStyle w:val="15"/>
                    <w:bidi w:val="0"/>
                    <w:jc w:val="center"/>
                    <w:rPr>
                      <w:color w:val="auto"/>
                    </w:rPr>
                  </w:pPr>
                  <w:r>
                    <w:rPr>
                      <w:color w:val="auto"/>
                    </w:rPr>
                    <w:t>生态亚区</w:t>
                  </w:r>
                </w:p>
              </w:tc>
              <w:tc>
                <w:tcPr>
                  <w:tcW w:w="3626" w:type="pct"/>
                  <w:tcBorders>
                    <w:tl2br w:val="nil"/>
                    <w:tr2bl w:val="nil"/>
                  </w:tcBorders>
                  <w:tcMar>
                    <w:top w:w="0" w:type="dxa"/>
                    <w:left w:w="0" w:type="dxa"/>
                    <w:bottom w:w="0" w:type="dxa"/>
                    <w:right w:w="0" w:type="dxa"/>
                  </w:tcMar>
                  <w:vAlign w:val="center"/>
                </w:tcPr>
                <w:p w14:paraId="4B2491E8">
                  <w:pPr>
                    <w:pStyle w:val="15"/>
                    <w:bidi w:val="0"/>
                    <w:jc w:val="center"/>
                    <w:rPr>
                      <w:color w:val="auto"/>
                    </w:rPr>
                  </w:pPr>
                  <w:r>
                    <w:rPr>
                      <w:color w:val="auto"/>
                    </w:rPr>
                    <w:t>Ⅱ3.六、七、八、十二师准噶尔盆地南部灌木、半灌木荒漠、绿洲农业生态亚区</w:t>
                  </w:r>
                </w:p>
              </w:tc>
            </w:tr>
            <w:tr w14:paraId="5833E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15" w:type="pct"/>
                  <w:vMerge w:val="continue"/>
                  <w:tcBorders>
                    <w:tl2br w:val="nil"/>
                    <w:tr2bl w:val="nil"/>
                  </w:tcBorders>
                  <w:tcMar>
                    <w:top w:w="0" w:type="dxa"/>
                    <w:left w:w="0" w:type="dxa"/>
                    <w:bottom w:w="0" w:type="dxa"/>
                    <w:right w:w="0" w:type="dxa"/>
                  </w:tcMar>
                  <w:vAlign w:val="center"/>
                </w:tcPr>
                <w:p w14:paraId="3E4F16FF">
                  <w:pPr>
                    <w:pStyle w:val="15"/>
                    <w:bidi w:val="0"/>
                    <w:jc w:val="center"/>
                    <w:rPr>
                      <w:color w:val="auto"/>
                    </w:rPr>
                  </w:pPr>
                </w:p>
              </w:tc>
              <w:tc>
                <w:tcPr>
                  <w:tcW w:w="857" w:type="pct"/>
                  <w:tcBorders>
                    <w:tl2br w:val="nil"/>
                    <w:tr2bl w:val="nil"/>
                  </w:tcBorders>
                  <w:tcMar>
                    <w:top w:w="0" w:type="dxa"/>
                    <w:left w:w="0" w:type="dxa"/>
                    <w:bottom w:w="0" w:type="dxa"/>
                    <w:right w:w="0" w:type="dxa"/>
                  </w:tcMar>
                  <w:vAlign w:val="center"/>
                </w:tcPr>
                <w:p w14:paraId="1E40A7E4">
                  <w:pPr>
                    <w:pStyle w:val="15"/>
                    <w:bidi w:val="0"/>
                    <w:jc w:val="center"/>
                    <w:rPr>
                      <w:color w:val="auto"/>
                    </w:rPr>
                  </w:pPr>
                  <w:r>
                    <w:rPr>
                      <w:color w:val="auto"/>
                    </w:rPr>
                    <w:t>生态功能区</w:t>
                  </w:r>
                </w:p>
              </w:tc>
              <w:tc>
                <w:tcPr>
                  <w:tcW w:w="3626" w:type="pct"/>
                  <w:tcBorders>
                    <w:tl2br w:val="nil"/>
                    <w:tr2bl w:val="nil"/>
                  </w:tcBorders>
                  <w:tcMar>
                    <w:top w:w="0" w:type="dxa"/>
                    <w:left w:w="0" w:type="dxa"/>
                    <w:bottom w:w="0" w:type="dxa"/>
                    <w:right w:w="0" w:type="dxa"/>
                  </w:tcMar>
                  <w:vAlign w:val="center"/>
                </w:tcPr>
                <w:p w14:paraId="081BB43E">
                  <w:pPr>
                    <w:pStyle w:val="15"/>
                    <w:bidi w:val="0"/>
                    <w:jc w:val="center"/>
                    <w:rPr>
                      <w:color w:val="auto"/>
                    </w:rPr>
                  </w:pPr>
                  <w:r>
                    <w:rPr>
                      <w:color w:val="auto"/>
                    </w:rPr>
                    <w:t>11.六、七、八师奎屯—石河子— 五家渠城镇与绿洲生态功能区。</w:t>
                  </w:r>
                </w:p>
              </w:tc>
            </w:tr>
            <w:tr w14:paraId="2D135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73" w:type="pct"/>
                  <w:gridSpan w:val="2"/>
                  <w:tcBorders>
                    <w:tl2br w:val="nil"/>
                    <w:tr2bl w:val="nil"/>
                  </w:tcBorders>
                  <w:tcMar>
                    <w:top w:w="0" w:type="dxa"/>
                    <w:left w:w="0" w:type="dxa"/>
                    <w:bottom w:w="0" w:type="dxa"/>
                    <w:right w:w="0" w:type="dxa"/>
                  </w:tcMar>
                  <w:vAlign w:val="center"/>
                </w:tcPr>
                <w:p w14:paraId="34D2205F">
                  <w:pPr>
                    <w:pStyle w:val="15"/>
                    <w:bidi w:val="0"/>
                    <w:jc w:val="center"/>
                    <w:rPr>
                      <w:color w:val="auto"/>
                    </w:rPr>
                  </w:pPr>
                  <w:r>
                    <w:rPr>
                      <w:color w:val="auto"/>
                    </w:rPr>
                    <w:t>主要生态服务功能</w:t>
                  </w:r>
                </w:p>
              </w:tc>
              <w:tc>
                <w:tcPr>
                  <w:tcW w:w="3626" w:type="pct"/>
                  <w:tcBorders>
                    <w:tl2br w:val="nil"/>
                    <w:tr2bl w:val="nil"/>
                  </w:tcBorders>
                  <w:tcMar>
                    <w:top w:w="0" w:type="dxa"/>
                    <w:left w:w="0" w:type="dxa"/>
                    <w:bottom w:w="0" w:type="dxa"/>
                    <w:right w:w="0" w:type="dxa"/>
                  </w:tcMar>
                  <w:vAlign w:val="center"/>
                </w:tcPr>
                <w:p w14:paraId="730AD586">
                  <w:pPr>
                    <w:pStyle w:val="15"/>
                    <w:bidi w:val="0"/>
                    <w:jc w:val="center"/>
                    <w:rPr>
                      <w:color w:val="auto"/>
                    </w:rPr>
                  </w:pPr>
                  <w:r>
                    <w:rPr>
                      <w:color w:val="auto"/>
                    </w:rPr>
                    <w:t>工农畜产品生产、人居环境、荒漠化控制</w:t>
                  </w:r>
                </w:p>
              </w:tc>
            </w:tr>
            <w:tr w14:paraId="439FF3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73" w:type="pct"/>
                  <w:gridSpan w:val="2"/>
                  <w:tcBorders>
                    <w:tl2br w:val="nil"/>
                    <w:tr2bl w:val="nil"/>
                  </w:tcBorders>
                  <w:tcMar>
                    <w:top w:w="0" w:type="dxa"/>
                    <w:left w:w="0" w:type="dxa"/>
                    <w:bottom w:w="0" w:type="dxa"/>
                    <w:right w:w="0" w:type="dxa"/>
                  </w:tcMar>
                  <w:vAlign w:val="center"/>
                </w:tcPr>
                <w:p w14:paraId="075FF318">
                  <w:pPr>
                    <w:pStyle w:val="15"/>
                    <w:bidi w:val="0"/>
                    <w:jc w:val="center"/>
                    <w:rPr>
                      <w:color w:val="auto"/>
                    </w:rPr>
                  </w:pPr>
                  <w:r>
                    <w:rPr>
                      <w:color w:val="auto"/>
                    </w:rPr>
                    <w:t>主要生态环境问题</w:t>
                  </w:r>
                </w:p>
              </w:tc>
              <w:tc>
                <w:tcPr>
                  <w:tcW w:w="3626" w:type="pct"/>
                  <w:tcBorders>
                    <w:tl2br w:val="nil"/>
                    <w:tr2bl w:val="nil"/>
                  </w:tcBorders>
                  <w:tcMar>
                    <w:top w:w="0" w:type="dxa"/>
                    <w:left w:w="0" w:type="dxa"/>
                    <w:bottom w:w="0" w:type="dxa"/>
                    <w:right w:w="0" w:type="dxa"/>
                  </w:tcMar>
                  <w:vAlign w:val="center"/>
                </w:tcPr>
                <w:p w14:paraId="59CCDFDD">
                  <w:pPr>
                    <w:pStyle w:val="15"/>
                    <w:bidi w:val="0"/>
                    <w:jc w:val="center"/>
                    <w:rPr>
                      <w:color w:val="auto"/>
                    </w:rPr>
                  </w:pPr>
                  <w:r>
                    <w:rPr>
                      <w:color w:val="auto"/>
                    </w:rPr>
                    <w:t>地下水超采、荒漠植被退化、河流萎缩断流、土地荒漠化与盐渍化、工业污染严重、绿洲外围受到沙漠化威胁</w:t>
                  </w:r>
                </w:p>
              </w:tc>
            </w:tr>
            <w:tr w14:paraId="6580B5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73" w:type="pct"/>
                  <w:gridSpan w:val="2"/>
                  <w:tcBorders>
                    <w:tl2br w:val="nil"/>
                    <w:tr2bl w:val="nil"/>
                  </w:tcBorders>
                  <w:tcMar>
                    <w:top w:w="0" w:type="dxa"/>
                    <w:left w:w="0" w:type="dxa"/>
                    <w:bottom w:w="0" w:type="dxa"/>
                    <w:right w:w="0" w:type="dxa"/>
                  </w:tcMar>
                  <w:vAlign w:val="center"/>
                </w:tcPr>
                <w:p w14:paraId="2B50C108">
                  <w:pPr>
                    <w:pStyle w:val="15"/>
                    <w:bidi w:val="0"/>
                    <w:jc w:val="center"/>
                    <w:rPr>
                      <w:color w:val="auto"/>
                    </w:rPr>
                  </w:pPr>
                  <w:r>
                    <w:rPr>
                      <w:color w:val="auto"/>
                    </w:rPr>
                    <w:t>主要保护目标</w:t>
                  </w:r>
                </w:p>
              </w:tc>
              <w:tc>
                <w:tcPr>
                  <w:tcW w:w="3626" w:type="pct"/>
                  <w:tcBorders>
                    <w:tl2br w:val="nil"/>
                    <w:tr2bl w:val="nil"/>
                  </w:tcBorders>
                  <w:tcMar>
                    <w:top w:w="0" w:type="dxa"/>
                    <w:left w:w="0" w:type="dxa"/>
                    <w:bottom w:w="0" w:type="dxa"/>
                    <w:right w:w="0" w:type="dxa"/>
                  </w:tcMar>
                  <w:vAlign w:val="center"/>
                </w:tcPr>
                <w:p w14:paraId="06B9174E">
                  <w:pPr>
                    <w:pStyle w:val="15"/>
                    <w:bidi w:val="0"/>
                    <w:jc w:val="center"/>
                    <w:rPr>
                      <w:color w:val="auto"/>
                    </w:rPr>
                  </w:pPr>
                  <w:r>
                    <w:rPr>
                      <w:color w:val="auto"/>
                    </w:rPr>
                    <w:t>保护绿洲农田 生态系统及农田土壤环境质量、保护城市环境质量、保护荒漠植被</w:t>
                  </w:r>
                </w:p>
              </w:tc>
            </w:tr>
            <w:tr w14:paraId="42A7A7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73" w:type="pct"/>
                  <w:gridSpan w:val="2"/>
                  <w:tcBorders>
                    <w:tl2br w:val="nil"/>
                    <w:tr2bl w:val="nil"/>
                  </w:tcBorders>
                  <w:tcMar>
                    <w:top w:w="0" w:type="dxa"/>
                    <w:left w:w="0" w:type="dxa"/>
                    <w:bottom w:w="0" w:type="dxa"/>
                    <w:right w:w="0" w:type="dxa"/>
                  </w:tcMar>
                  <w:vAlign w:val="center"/>
                </w:tcPr>
                <w:p w14:paraId="2E4A2ADF">
                  <w:pPr>
                    <w:pStyle w:val="15"/>
                    <w:bidi w:val="0"/>
                    <w:jc w:val="center"/>
                    <w:rPr>
                      <w:color w:val="auto"/>
                    </w:rPr>
                  </w:pPr>
                  <w:r>
                    <w:rPr>
                      <w:color w:val="auto"/>
                    </w:rPr>
                    <w:t>主要保护措施</w:t>
                  </w:r>
                </w:p>
              </w:tc>
              <w:tc>
                <w:tcPr>
                  <w:tcW w:w="3626" w:type="pct"/>
                  <w:tcBorders>
                    <w:tl2br w:val="nil"/>
                    <w:tr2bl w:val="nil"/>
                  </w:tcBorders>
                  <w:tcMar>
                    <w:top w:w="0" w:type="dxa"/>
                    <w:left w:w="0" w:type="dxa"/>
                    <w:bottom w:w="0" w:type="dxa"/>
                    <w:right w:w="0" w:type="dxa"/>
                  </w:tcMar>
                  <w:vAlign w:val="center"/>
                </w:tcPr>
                <w:p w14:paraId="1316D683">
                  <w:pPr>
                    <w:pStyle w:val="15"/>
                    <w:bidi w:val="0"/>
                    <w:jc w:val="center"/>
                    <w:rPr>
                      <w:color w:val="auto"/>
                    </w:rPr>
                  </w:pPr>
                  <w:r>
                    <w:rPr>
                      <w:color w:val="auto"/>
                    </w:rPr>
                    <w:t>节水灌溉、合理控制地下水开采，各类污染物达标排放、提高城市环境质量，保护绿洲外围荒漠植被、完善防护林体系、加强农田投入品的使用管</w:t>
                  </w:r>
                  <w:r>
                    <w:rPr>
                      <w:rFonts w:hint="eastAsia"/>
                      <w:color w:val="auto"/>
                      <w:lang w:eastAsia="zh-CN"/>
                    </w:rPr>
                    <w:t>理和</w:t>
                  </w:r>
                  <w:r>
                    <w:rPr>
                      <w:color w:val="auto"/>
                    </w:rPr>
                    <w:t>重要工业的建设。</w:t>
                  </w:r>
                </w:p>
              </w:tc>
            </w:tr>
            <w:tr w14:paraId="06046D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73" w:type="pct"/>
                  <w:gridSpan w:val="2"/>
                  <w:tcBorders>
                    <w:tl2br w:val="nil"/>
                    <w:tr2bl w:val="nil"/>
                  </w:tcBorders>
                  <w:tcMar>
                    <w:top w:w="0" w:type="dxa"/>
                    <w:left w:w="0" w:type="dxa"/>
                    <w:bottom w:w="0" w:type="dxa"/>
                    <w:right w:w="0" w:type="dxa"/>
                  </w:tcMar>
                  <w:vAlign w:val="center"/>
                </w:tcPr>
                <w:p w14:paraId="4B499CB4">
                  <w:pPr>
                    <w:pStyle w:val="15"/>
                    <w:bidi w:val="0"/>
                    <w:jc w:val="center"/>
                    <w:rPr>
                      <w:color w:val="auto"/>
                    </w:rPr>
                  </w:pPr>
                  <w:r>
                    <w:rPr>
                      <w:color w:val="auto"/>
                    </w:rPr>
                    <w:t>适宜发展方向</w:t>
                  </w:r>
                </w:p>
              </w:tc>
              <w:tc>
                <w:tcPr>
                  <w:tcW w:w="3626" w:type="pct"/>
                  <w:tcBorders>
                    <w:tl2br w:val="nil"/>
                    <w:tr2bl w:val="nil"/>
                  </w:tcBorders>
                  <w:tcMar>
                    <w:top w:w="0" w:type="dxa"/>
                    <w:left w:w="0" w:type="dxa"/>
                    <w:bottom w:w="0" w:type="dxa"/>
                    <w:right w:w="0" w:type="dxa"/>
                  </w:tcMar>
                  <w:vAlign w:val="center"/>
                </w:tcPr>
                <w:p w14:paraId="011E46BD">
                  <w:pPr>
                    <w:pStyle w:val="15"/>
                    <w:bidi w:val="0"/>
                    <w:jc w:val="center"/>
                    <w:rPr>
                      <w:color w:val="auto"/>
                    </w:rPr>
                  </w:pPr>
                  <w:r>
                    <w:rPr>
                      <w:color w:val="auto"/>
                    </w:rPr>
                    <w:t>发展以棉花为主 导的优质、高效、特色农业；加快高标准城镇</w:t>
                  </w:r>
                  <w:r>
                    <w:rPr>
                      <w:rFonts w:hint="eastAsia"/>
                      <w:color w:val="auto"/>
                      <w:lang w:eastAsia="zh-CN"/>
                    </w:rPr>
                    <w:t>（</w:t>
                  </w:r>
                  <w:r>
                    <w:rPr>
                      <w:color w:val="auto"/>
                    </w:rPr>
                    <w:t>市</w:t>
                  </w:r>
                  <w:r>
                    <w:rPr>
                      <w:rFonts w:hint="eastAsia"/>
                      <w:color w:val="auto"/>
                      <w:lang w:eastAsia="zh-CN"/>
                    </w:rPr>
                    <w:t>）</w:t>
                  </w:r>
                  <w:r>
                    <w:rPr>
                      <w:color w:val="auto"/>
                    </w:rPr>
                    <w:t>化建设；发展和做强棉纺业、塑化节水器材产业、化工业 等</w:t>
                  </w:r>
                </w:p>
              </w:tc>
            </w:tr>
          </w:tbl>
          <w:p w14:paraId="66A3D384">
            <w:pPr>
              <w:rPr>
                <w:rFonts w:hint="eastAsia"/>
                <w:lang w:val="en-US" w:eastAsia="zh-CN"/>
              </w:rPr>
            </w:pPr>
            <w:r>
              <w:rPr>
                <w:rFonts w:hint="default"/>
                <w:color w:val="auto"/>
                <w:lang w:val="en-US" w:eastAsia="zh-CN"/>
              </w:rPr>
              <w:t>本项目位于新疆胡杨河市胡杨河经济技术开发区，根据现场勘查，</w:t>
            </w:r>
            <w:r>
              <w:rPr>
                <w:rFonts w:hint="eastAsia"/>
                <w:color w:val="auto"/>
                <w:lang w:val="en-US" w:eastAsia="zh-CN"/>
              </w:rPr>
              <w:t>本项目位于已开发建设的厂区内，区域总体呈现为戈壁荒地。</w:t>
            </w:r>
          </w:p>
          <w:p w14:paraId="6A6537D7">
            <w:pPr>
              <w:pStyle w:val="4"/>
              <w:bidi w:val="0"/>
              <w:rPr>
                <w:rFonts w:hint="default"/>
                <w:color w:val="auto"/>
                <w:lang w:val="en-US" w:eastAsia="zh-CN"/>
              </w:rPr>
            </w:pPr>
            <w:r>
              <w:rPr>
                <w:rFonts w:hint="eastAsia"/>
                <w:lang w:val="en-US" w:eastAsia="zh-CN"/>
              </w:rPr>
              <w:t>5.2</w:t>
            </w:r>
            <w:r>
              <w:rPr>
                <w:rFonts w:hint="default"/>
                <w:color w:val="auto"/>
                <w:lang w:val="en-US" w:eastAsia="zh-CN"/>
              </w:rPr>
              <w:t>植被现状调查</w:t>
            </w:r>
          </w:p>
          <w:p w14:paraId="48CCAC91">
            <w:pPr>
              <w:rPr>
                <w:rFonts w:hint="default"/>
                <w:color w:val="auto"/>
                <w:lang w:val="en-US" w:eastAsia="zh-CN"/>
              </w:rPr>
            </w:pPr>
            <w:r>
              <w:rPr>
                <w:rFonts w:hint="default"/>
                <w:color w:val="auto"/>
                <w:lang w:val="en-US" w:eastAsia="zh-CN"/>
              </w:rPr>
              <w:t>区域植物群落类型单一，结构简单，种群集群分布，大部分地区郁闭度不高，生物量低，生物多样性单一，群落稳定性差。</w:t>
            </w:r>
            <w:r>
              <w:rPr>
                <w:rFonts w:hint="eastAsia"/>
                <w:color w:val="auto"/>
                <w:lang w:val="en-US" w:eastAsia="zh-CN"/>
              </w:rPr>
              <w:t>园区绿化种植</w:t>
            </w:r>
            <w:r>
              <w:rPr>
                <w:rFonts w:hint="default"/>
                <w:color w:val="auto"/>
                <w:lang w:val="en-US" w:eastAsia="zh-CN"/>
              </w:rPr>
              <w:t>胡杨柽柳灌丛和一些伴生物种。灌木层高度0.5～2.0m不等，盖度5%～30%，灌木层下草本较少，只有在水分条件较好的部分地段草本较丰富，主要有疏叶骆驼刺、花花柴、鹿角草、芦苇、盐爪爪、碱蓬等。</w:t>
            </w:r>
          </w:p>
          <w:p w14:paraId="1B30656A">
            <w:pPr>
              <w:rPr>
                <w:rFonts w:hint="default"/>
                <w:color w:val="auto"/>
                <w:lang w:val="en-US" w:eastAsia="zh-CN"/>
              </w:rPr>
            </w:pPr>
            <w:r>
              <w:rPr>
                <w:rFonts w:hint="eastAsia"/>
                <w:color w:val="auto"/>
                <w:lang w:val="en-US" w:eastAsia="zh-CN"/>
              </w:rPr>
              <w:t>本项目厂内除人工绿化种植外，其余裸露地面无地表植被。</w:t>
            </w:r>
          </w:p>
          <w:p w14:paraId="3D52698A">
            <w:pPr>
              <w:pStyle w:val="4"/>
              <w:bidi w:val="0"/>
              <w:rPr>
                <w:rFonts w:hint="default"/>
                <w:color w:val="auto"/>
                <w:lang w:val="en-US" w:eastAsia="zh-CN"/>
              </w:rPr>
            </w:pPr>
            <w:r>
              <w:rPr>
                <w:rFonts w:hint="eastAsia"/>
                <w:lang w:val="en-US" w:eastAsia="zh-CN"/>
              </w:rPr>
              <w:t>5.3</w:t>
            </w:r>
            <w:r>
              <w:rPr>
                <w:rFonts w:hint="default"/>
                <w:color w:val="auto"/>
                <w:lang w:val="en-US" w:eastAsia="zh-CN"/>
              </w:rPr>
              <w:t>野生动物现状调查</w:t>
            </w:r>
          </w:p>
          <w:p w14:paraId="2114699F">
            <w:pPr>
              <w:rPr>
                <w:rFonts w:hint="default"/>
                <w:color w:val="auto"/>
                <w:lang w:val="en-US" w:eastAsia="zh-CN"/>
              </w:rPr>
            </w:pPr>
            <w:r>
              <w:rPr>
                <w:rFonts w:hint="eastAsia"/>
                <w:color w:val="auto"/>
                <w:lang w:val="en-US" w:eastAsia="zh-CN"/>
              </w:rPr>
              <w:t>根据</w:t>
            </w:r>
            <w:r>
              <w:rPr>
                <w:rFonts w:hint="default"/>
                <w:color w:val="auto"/>
                <w:lang w:val="en-US" w:eastAsia="zh-CN"/>
              </w:rPr>
              <w:t>中国动物地理区划分级标准，项目所在区域动物区系属古北界、蒙新区、西部荒漠亚区、塔里木盆地省、天山南麓平原州、塔里木河中游区。区域内野生动物主要是一些耐旱的荒漠动物，以鸟类、爬行动物和啮齿类动物为主，野生动物的栖息生境主要为荒漠。在现场调查中未发现大中型野生动物。</w:t>
            </w:r>
          </w:p>
          <w:p w14:paraId="3AF183B4">
            <w:pPr>
              <w:rPr>
                <w:rFonts w:hint="default"/>
                <w:color w:val="auto"/>
                <w:lang w:val="en-US" w:eastAsia="zh-CN"/>
              </w:rPr>
            </w:pPr>
            <w:r>
              <w:rPr>
                <w:rFonts w:hint="default"/>
                <w:color w:val="auto"/>
                <w:lang w:val="en-US" w:eastAsia="zh-CN"/>
              </w:rPr>
              <w:t>野生动物的区域分布规律：在物种的水平格局上，奔跑能力较强的物种多分布于沙漠外缘，由于难获得水源，它们极少进入沙漠纵深区域，如野猪、鹅喉羚等；不依赖水源，仅靠食物中的代谢水即可维持生命的物种，如沙鼠类、跳鼠类及具有迁飞能力的鸟类则表现为均匀分布，但就分布地点而言，多集群栖息于有植被分布的小生境。具备长途跋涉能力的双峰</w:t>
            </w:r>
            <w:r>
              <w:rPr>
                <w:rFonts w:hint="eastAsia"/>
                <w:color w:val="auto"/>
                <w:lang w:val="en-US" w:eastAsia="zh-CN"/>
              </w:rPr>
              <w:t>驼可</w:t>
            </w:r>
            <w:r>
              <w:rPr>
                <w:rFonts w:hint="default"/>
                <w:color w:val="auto"/>
                <w:lang w:val="en-US" w:eastAsia="zh-CN"/>
              </w:rPr>
              <w:t>能是躲避沙漠界外区人群的缘故，它们在沙漠腹地的数量明显高于外缘区，但其饮水仍然依赖沙漠外缘的河流或短暂的雨水积淤地。</w:t>
            </w:r>
          </w:p>
          <w:p w14:paraId="74924BA6">
            <w:pPr>
              <w:rPr>
                <w:color w:val="auto"/>
              </w:rPr>
            </w:pPr>
            <w:r>
              <w:rPr>
                <w:rFonts w:hint="default"/>
                <w:color w:val="auto"/>
                <w:lang w:val="en-US" w:eastAsia="zh-CN"/>
              </w:rPr>
              <w:t>项目区域内无珍稀动物出没，仅偶见麻雀、鼠类等近人动物出没。</w:t>
            </w:r>
          </w:p>
        </w:tc>
      </w:tr>
      <w:tr w14:paraId="0D965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14:paraId="6147F8A1">
            <w:pPr>
              <w:pStyle w:val="3"/>
              <w:bidi w:val="0"/>
            </w:pPr>
            <w:r>
              <w:t>环境</w:t>
            </w:r>
          </w:p>
          <w:p w14:paraId="2F5A0FA5">
            <w:pPr>
              <w:pStyle w:val="3"/>
              <w:bidi w:val="0"/>
            </w:pPr>
            <w:r>
              <w:t>保护</w:t>
            </w:r>
          </w:p>
          <w:p w14:paraId="76C5032A">
            <w:pPr>
              <w:pStyle w:val="3"/>
              <w:bidi w:val="0"/>
            </w:pPr>
            <w:r>
              <w:t>目标</w:t>
            </w:r>
          </w:p>
        </w:tc>
        <w:tc>
          <w:tcPr>
            <w:tcW w:w="8190" w:type="dxa"/>
            <w:vAlign w:val="center"/>
          </w:tcPr>
          <w:p w14:paraId="26EAC625">
            <w:pPr>
              <w:pStyle w:val="3"/>
              <w:bidi w:val="0"/>
            </w:pPr>
            <w:r>
              <w:t>1</w:t>
            </w:r>
            <w:r>
              <w:rPr>
                <w:rFonts w:hint="eastAsia"/>
                <w:lang w:val="en-US" w:eastAsia="zh-CN"/>
              </w:rPr>
              <w:t>.</w:t>
            </w:r>
            <w:r>
              <w:t>大气环境</w:t>
            </w:r>
          </w:p>
          <w:p w14:paraId="6CD81106">
            <w:pPr>
              <w:rPr>
                <w:color w:val="auto"/>
              </w:rPr>
            </w:pPr>
            <w:r>
              <w:rPr>
                <w:rFonts w:hint="eastAsia"/>
                <w:color w:val="auto"/>
              </w:rPr>
              <w:t>本项目位于新疆生产建设兵团第七师胡杨河市胡杨河经济技术开发区车排子路002号</w:t>
            </w:r>
            <w:r>
              <w:rPr>
                <w:color w:val="auto"/>
              </w:rPr>
              <w:t>，</w:t>
            </w:r>
            <w:r>
              <w:rPr>
                <w:rFonts w:hint="eastAsia"/>
                <w:color w:val="auto"/>
                <w:lang w:val="en-US" w:eastAsia="zh-CN"/>
              </w:rPr>
              <w:t>厂址</w:t>
            </w:r>
            <w:r>
              <w:rPr>
                <w:color w:val="auto"/>
              </w:rPr>
              <w:t>周边主要为</w:t>
            </w:r>
            <w:r>
              <w:rPr>
                <w:rFonts w:hint="eastAsia"/>
                <w:color w:val="auto"/>
              </w:rPr>
              <w:t>工业企业</w:t>
            </w:r>
            <w:r>
              <w:rPr>
                <w:color w:val="auto"/>
              </w:rPr>
              <w:t>，项目周边500m范围内无自然保护区、风景名胜区等大气环境保护目标分布</w:t>
            </w:r>
            <w:r>
              <w:rPr>
                <w:rFonts w:hint="eastAsia"/>
                <w:color w:val="auto"/>
                <w:lang w:eastAsia="zh-CN"/>
              </w:rPr>
              <w:t>，周边现有企业均为生产性企业。</w:t>
            </w:r>
          </w:p>
          <w:p w14:paraId="49406E35">
            <w:pPr>
              <w:pStyle w:val="3"/>
              <w:bidi w:val="0"/>
              <w:rPr>
                <w:color w:val="auto"/>
              </w:rPr>
            </w:pPr>
            <w:r>
              <w:rPr>
                <w:color w:val="auto"/>
              </w:rPr>
              <w:t>2</w:t>
            </w:r>
            <w:r>
              <w:rPr>
                <w:rFonts w:hint="eastAsia"/>
                <w:color w:val="auto"/>
                <w:lang w:val="en-US" w:eastAsia="zh-CN"/>
              </w:rPr>
              <w:t>.</w:t>
            </w:r>
            <w:r>
              <w:rPr>
                <w:color w:val="auto"/>
              </w:rPr>
              <w:t>声环境</w:t>
            </w:r>
          </w:p>
          <w:p w14:paraId="1C19BE68">
            <w:pPr>
              <w:rPr>
                <w:color w:val="auto"/>
              </w:rPr>
            </w:pPr>
            <w:r>
              <w:rPr>
                <w:color w:val="auto"/>
              </w:rPr>
              <w:t>根据《建设项目环境影响报告表编制技术指南》（污染影响类）（试行）中声环境保护目标可知，应明确厂界外50米范围内的声环境保护目标。本项目位于工业园区内，厂界周边50m范围内无声环境敏感目标。</w:t>
            </w:r>
          </w:p>
          <w:p w14:paraId="21BE9532">
            <w:pPr>
              <w:pStyle w:val="3"/>
              <w:bidi w:val="0"/>
            </w:pPr>
            <w:r>
              <w:t>3</w:t>
            </w:r>
            <w:r>
              <w:rPr>
                <w:rFonts w:hint="eastAsia"/>
                <w:lang w:val="en-US" w:eastAsia="zh-CN"/>
              </w:rPr>
              <w:t>.</w:t>
            </w:r>
            <w:r>
              <w:t>地下水环境</w:t>
            </w:r>
          </w:p>
          <w:p w14:paraId="24AC1814">
            <w:pPr>
              <w:bidi w:val="0"/>
            </w:pPr>
            <w:r>
              <w:t>根据《建设项目环境影响报告表编制技术指南》（污染影响类）（试行）中地下水环境保护目标可知，应明确厂界外500米范围内的地下水集中式饮用水水源和热水、矿泉水、温泉等特殊地下水资源。本项目周边500m范围内无地下水集中式饮用水水源和热水、矿泉水、温泉等特殊地下水资源。</w:t>
            </w:r>
          </w:p>
          <w:p w14:paraId="0B32103B">
            <w:pPr>
              <w:pStyle w:val="3"/>
              <w:bidi w:val="0"/>
              <w:rPr>
                <w:color w:val="auto"/>
              </w:rPr>
            </w:pPr>
            <w:r>
              <w:rPr>
                <w:rFonts w:hint="eastAsia"/>
                <w:color w:val="auto"/>
                <w:lang w:val="en-US" w:eastAsia="zh-CN"/>
              </w:rPr>
              <w:t>4.</w:t>
            </w:r>
            <w:r>
              <w:rPr>
                <w:color w:val="auto"/>
              </w:rPr>
              <w:t>生态环境</w:t>
            </w:r>
          </w:p>
          <w:p w14:paraId="78499BA2">
            <w:pPr>
              <w:rPr>
                <w:color w:val="auto"/>
              </w:rPr>
            </w:pPr>
            <w:r>
              <w:rPr>
                <w:color w:val="auto"/>
              </w:rPr>
              <w:t>本项目位于</w:t>
            </w:r>
            <w:r>
              <w:rPr>
                <w:rFonts w:hint="eastAsia"/>
                <w:color w:val="auto"/>
              </w:rPr>
              <w:t>新</w:t>
            </w:r>
            <w:r>
              <w:rPr>
                <w:rFonts w:hint="eastAsia"/>
              </w:rPr>
              <w:t>疆生产建设兵团第七师胡杨河市胡杨河经济技术开发区车排子路002号</w:t>
            </w:r>
            <w:r>
              <w:t>。根据现场调查，由于人类活动频繁，项目所在地已不存在原生植被，无野生动物出没。本项目不涉及生态红线及其他生态环境敏感区域。</w:t>
            </w:r>
          </w:p>
        </w:tc>
      </w:tr>
      <w:tr w14:paraId="64F27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21" w:hRule="atLeast"/>
          <w:jc w:val="center"/>
        </w:trPr>
        <w:tc>
          <w:tcPr>
            <w:tcW w:w="800" w:type="dxa"/>
            <w:tcMar>
              <w:left w:w="28" w:type="dxa"/>
              <w:right w:w="28" w:type="dxa"/>
            </w:tcMar>
            <w:vAlign w:val="center"/>
          </w:tcPr>
          <w:p w14:paraId="7FD2FEA5">
            <w:pPr>
              <w:pStyle w:val="3"/>
              <w:bidi w:val="0"/>
            </w:pPr>
            <w:r>
              <w:t>污染</w:t>
            </w:r>
          </w:p>
          <w:p w14:paraId="458BE9D5">
            <w:pPr>
              <w:pStyle w:val="3"/>
              <w:bidi w:val="0"/>
            </w:pPr>
            <w:r>
              <w:t>物排</w:t>
            </w:r>
          </w:p>
          <w:p w14:paraId="25F68156">
            <w:pPr>
              <w:pStyle w:val="3"/>
              <w:bidi w:val="0"/>
            </w:pPr>
            <w:r>
              <w:t>放控</w:t>
            </w:r>
          </w:p>
          <w:p w14:paraId="3613B27A">
            <w:pPr>
              <w:pStyle w:val="3"/>
              <w:bidi w:val="0"/>
            </w:pPr>
            <w:r>
              <w:t>制标</w:t>
            </w:r>
          </w:p>
          <w:p w14:paraId="654547F5">
            <w:pPr>
              <w:pStyle w:val="3"/>
              <w:bidi w:val="0"/>
            </w:pPr>
            <w:r>
              <w:t>准</w:t>
            </w:r>
          </w:p>
        </w:tc>
        <w:tc>
          <w:tcPr>
            <w:tcW w:w="8190" w:type="dxa"/>
            <w:vAlign w:val="center"/>
          </w:tcPr>
          <w:p w14:paraId="67687BB5">
            <w:pPr>
              <w:pStyle w:val="3"/>
              <w:bidi w:val="0"/>
              <w:rPr>
                <w:rFonts w:hint="eastAsia"/>
                <w:b/>
                <w:bCs/>
                <w:color w:val="auto"/>
                <w:lang w:val="en-US" w:eastAsia="zh-CN"/>
              </w:rPr>
            </w:pPr>
            <w:r>
              <w:rPr>
                <w:b/>
                <w:bCs/>
                <w:color w:val="auto"/>
              </w:rPr>
              <w:t>1</w:t>
            </w:r>
            <w:r>
              <w:rPr>
                <w:rFonts w:hint="eastAsia"/>
                <w:b/>
                <w:bCs/>
                <w:color w:val="auto"/>
                <w:lang w:val="en-US" w:eastAsia="zh-CN"/>
              </w:rPr>
              <w:t>.大气污染物排放标准</w:t>
            </w:r>
          </w:p>
          <w:p w14:paraId="0C893A1B">
            <w:pPr>
              <w:pStyle w:val="4"/>
              <w:bidi w:val="0"/>
              <w:rPr>
                <w:rFonts w:hint="eastAsia"/>
                <w:lang w:val="en-US" w:eastAsia="zh-CN"/>
              </w:rPr>
            </w:pPr>
            <w:r>
              <w:rPr>
                <w:rFonts w:hint="eastAsia"/>
                <w:lang w:val="en-US" w:eastAsia="zh-CN"/>
              </w:rPr>
              <w:t>1.1有组织废气中污染物排放标准</w:t>
            </w:r>
          </w:p>
          <w:p w14:paraId="5B5C08E5">
            <w:pPr>
              <w:rPr>
                <w:rFonts w:hint="eastAsia"/>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储存及装卸产生的无组织废气污染物主要为HCl，通过管道收集至厂区现有TA002（</w:t>
            </w:r>
            <w:r>
              <w:rPr>
                <w:rFonts w:hint="eastAsia"/>
                <w:color w:val="auto"/>
                <w:lang w:val="en-US" w:eastAsia="zh-CN"/>
              </w:rPr>
              <w:t>三级降膜水吸收+三级填料碱吸收+一级碱喷淋</w:t>
            </w:r>
            <w:r>
              <w:rPr>
                <w:rFonts w:hint="eastAsia"/>
                <w:lang w:val="en-US" w:eastAsia="zh-CN"/>
              </w:rPr>
              <w:t>）废气处理装置合并处理，后通过1根高30m、内径0.4m排气筒DA002排放。</w:t>
            </w:r>
          </w:p>
          <w:p w14:paraId="69C5AD2B">
            <w:pPr>
              <w:rPr>
                <w:rFonts w:hint="eastAsia"/>
                <w:color w:val="auto"/>
                <w:lang w:val="en-US" w:eastAsia="zh-CN"/>
              </w:rPr>
            </w:pPr>
            <w:r>
              <w:rPr>
                <w:rFonts w:hint="eastAsia"/>
                <w:lang w:val="en-US" w:eastAsia="zh-CN"/>
              </w:rPr>
              <w:t>据此，厂区现有</w:t>
            </w:r>
            <w:r>
              <w:rPr>
                <w:rFonts w:hint="eastAsia"/>
                <w:color w:val="auto"/>
                <w:lang w:val="en-US" w:eastAsia="zh-CN"/>
              </w:rPr>
              <w:t>氯丙酸甲酯废气排放口DA002中污染物</w:t>
            </w:r>
            <w:r>
              <w:rPr>
                <w:rFonts w:hint="eastAsia"/>
                <w:lang w:val="en-US" w:eastAsia="zh-CN"/>
              </w:rPr>
              <w:t>HCl执行</w:t>
            </w:r>
            <w:r>
              <w:rPr>
                <w:rFonts w:hint="eastAsia"/>
                <w:color w:val="auto"/>
                <w:lang w:val="en-US" w:eastAsia="zh-CN"/>
              </w:rPr>
              <w:t>《农药制造工业大气污染物排放标准》（GB39727—2020）中表1大气污染物排放限值要求。</w:t>
            </w:r>
          </w:p>
          <w:p w14:paraId="26D46C41">
            <w:pPr>
              <w:pStyle w:val="16"/>
              <w:bidi w:val="0"/>
              <w:rPr>
                <w:rFonts w:hint="default"/>
                <w:color w:val="auto"/>
                <w:lang w:val="en-US" w:eastAsia="zh-CN"/>
              </w:rPr>
            </w:pPr>
            <w:r>
              <w:t xml:space="preserve">表 </w:t>
            </w:r>
            <w:r>
              <w:fldChar w:fldCharType="begin"/>
            </w:r>
            <w:r>
              <w:instrText xml:space="preserve"> SEQ 表 \* ARABIC </w:instrText>
            </w:r>
            <w:r>
              <w:fldChar w:fldCharType="separate"/>
            </w:r>
            <w:r>
              <w:t>25</w:t>
            </w:r>
            <w:r>
              <w:fldChar w:fldCharType="end"/>
            </w:r>
            <w:r>
              <w:rPr>
                <w:rFonts w:hint="eastAsia"/>
                <w:lang w:val="en-US" w:eastAsia="zh-CN"/>
              </w:rPr>
              <w:t xml:space="preserve">  </w:t>
            </w:r>
            <w:r>
              <w:rPr>
                <w:rFonts w:hint="eastAsia"/>
                <w:color w:val="auto"/>
                <w:lang w:val="en-US" w:eastAsia="zh-CN"/>
              </w:rPr>
              <w:t>有组织废气污染物排放标准一览表</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65"/>
              <w:gridCol w:w="1527"/>
              <w:gridCol w:w="768"/>
              <w:gridCol w:w="480"/>
              <w:gridCol w:w="583"/>
              <w:gridCol w:w="867"/>
              <w:gridCol w:w="1193"/>
              <w:gridCol w:w="2061"/>
            </w:tblGrid>
            <w:tr w14:paraId="79B10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92" w:type="pct"/>
                  <w:tcBorders>
                    <w:tl2br w:val="nil"/>
                    <w:tr2bl w:val="nil"/>
                  </w:tcBorders>
                  <w:shd w:val="clear" w:color="auto" w:fill="auto"/>
                  <w:noWrap/>
                  <w:tcMar>
                    <w:top w:w="0" w:type="dxa"/>
                    <w:left w:w="0" w:type="dxa"/>
                    <w:bottom w:w="0" w:type="dxa"/>
                    <w:right w:w="0" w:type="dxa"/>
                  </w:tcMar>
                  <w:vAlign w:val="center"/>
                </w:tcPr>
                <w:p w14:paraId="246AF489">
                  <w:pPr>
                    <w:pStyle w:val="15"/>
                    <w:bidi w:val="0"/>
                    <w:rPr>
                      <w:rFonts w:hint="eastAsia"/>
                      <w:color w:val="auto"/>
                    </w:rPr>
                  </w:pPr>
                  <w:r>
                    <w:rPr>
                      <w:rFonts w:hint="eastAsia"/>
                      <w:color w:val="auto"/>
                      <w:lang w:val="en-US" w:eastAsia="zh-CN"/>
                    </w:rPr>
                    <w:t>编号</w:t>
                  </w:r>
                </w:p>
              </w:tc>
              <w:tc>
                <w:tcPr>
                  <w:tcW w:w="961" w:type="pct"/>
                  <w:tcBorders>
                    <w:tl2br w:val="nil"/>
                    <w:tr2bl w:val="nil"/>
                  </w:tcBorders>
                  <w:shd w:val="clear" w:color="auto" w:fill="auto"/>
                  <w:noWrap/>
                  <w:tcMar>
                    <w:top w:w="0" w:type="dxa"/>
                    <w:left w:w="0" w:type="dxa"/>
                    <w:bottom w:w="0" w:type="dxa"/>
                    <w:right w:w="0" w:type="dxa"/>
                  </w:tcMar>
                  <w:vAlign w:val="center"/>
                </w:tcPr>
                <w:p w14:paraId="0402D69D">
                  <w:pPr>
                    <w:pStyle w:val="15"/>
                    <w:bidi w:val="0"/>
                    <w:rPr>
                      <w:rFonts w:hint="eastAsia"/>
                      <w:color w:val="auto"/>
                    </w:rPr>
                  </w:pPr>
                  <w:r>
                    <w:rPr>
                      <w:rFonts w:hint="eastAsia"/>
                      <w:color w:val="auto"/>
                      <w:lang w:val="en-US" w:eastAsia="zh-CN"/>
                    </w:rPr>
                    <w:t>污染源</w:t>
                  </w:r>
                </w:p>
              </w:tc>
              <w:tc>
                <w:tcPr>
                  <w:tcW w:w="483" w:type="pct"/>
                  <w:tcBorders>
                    <w:tl2br w:val="nil"/>
                    <w:tr2bl w:val="nil"/>
                  </w:tcBorders>
                  <w:shd w:val="clear" w:color="auto" w:fill="auto"/>
                  <w:noWrap/>
                  <w:tcMar>
                    <w:top w:w="0" w:type="dxa"/>
                    <w:left w:w="0" w:type="dxa"/>
                    <w:bottom w:w="0" w:type="dxa"/>
                    <w:right w:w="0" w:type="dxa"/>
                  </w:tcMar>
                  <w:vAlign w:val="center"/>
                </w:tcPr>
                <w:p w14:paraId="5C7E0210">
                  <w:pPr>
                    <w:pStyle w:val="15"/>
                    <w:bidi w:val="0"/>
                    <w:rPr>
                      <w:rFonts w:hint="eastAsia"/>
                      <w:color w:val="auto"/>
                    </w:rPr>
                  </w:pPr>
                  <w:r>
                    <w:rPr>
                      <w:rFonts w:hint="eastAsia"/>
                      <w:color w:val="auto"/>
                      <w:lang w:val="en-US" w:eastAsia="zh-CN"/>
                    </w:rPr>
                    <w:t>污染物项目</w:t>
                  </w:r>
                </w:p>
              </w:tc>
              <w:tc>
                <w:tcPr>
                  <w:tcW w:w="302" w:type="pct"/>
                  <w:tcBorders>
                    <w:tl2br w:val="nil"/>
                    <w:tr2bl w:val="nil"/>
                  </w:tcBorders>
                  <w:shd w:val="clear" w:color="auto" w:fill="auto"/>
                  <w:tcMar>
                    <w:top w:w="0" w:type="dxa"/>
                    <w:left w:w="0" w:type="dxa"/>
                    <w:bottom w:w="0" w:type="dxa"/>
                    <w:right w:w="0" w:type="dxa"/>
                  </w:tcMar>
                  <w:vAlign w:val="center"/>
                </w:tcPr>
                <w:p w14:paraId="235F8386">
                  <w:pPr>
                    <w:pStyle w:val="15"/>
                    <w:bidi w:val="0"/>
                    <w:rPr>
                      <w:rFonts w:hint="eastAsia"/>
                      <w:color w:val="auto"/>
                    </w:rPr>
                  </w:pPr>
                  <w:r>
                    <w:rPr>
                      <w:rFonts w:hint="eastAsia"/>
                      <w:color w:val="auto"/>
                      <w:lang w:val="en-US" w:eastAsia="zh-CN"/>
                    </w:rPr>
                    <w:t>排气筒高度/m</w:t>
                  </w:r>
                </w:p>
              </w:tc>
              <w:tc>
                <w:tcPr>
                  <w:tcW w:w="366" w:type="pct"/>
                  <w:tcBorders>
                    <w:tl2br w:val="nil"/>
                    <w:tr2bl w:val="nil"/>
                  </w:tcBorders>
                  <w:shd w:val="clear" w:color="auto" w:fill="auto"/>
                  <w:tcMar>
                    <w:top w:w="0" w:type="dxa"/>
                    <w:left w:w="0" w:type="dxa"/>
                    <w:bottom w:w="0" w:type="dxa"/>
                    <w:right w:w="0" w:type="dxa"/>
                  </w:tcMar>
                  <w:vAlign w:val="center"/>
                </w:tcPr>
                <w:p w14:paraId="6D3CD581">
                  <w:pPr>
                    <w:pStyle w:val="15"/>
                    <w:bidi w:val="0"/>
                    <w:rPr>
                      <w:rFonts w:hint="default"/>
                      <w:color w:val="auto"/>
                      <w:lang w:val="en-US"/>
                    </w:rPr>
                  </w:pPr>
                  <w:r>
                    <w:rPr>
                      <w:rFonts w:hint="eastAsia"/>
                      <w:color w:val="auto"/>
                      <w:lang w:val="en-US" w:eastAsia="zh-CN"/>
                    </w:rPr>
                    <w:t>内径/m</w:t>
                  </w:r>
                </w:p>
              </w:tc>
              <w:tc>
                <w:tcPr>
                  <w:tcW w:w="545" w:type="pct"/>
                  <w:tcBorders>
                    <w:tl2br w:val="nil"/>
                    <w:tr2bl w:val="nil"/>
                  </w:tcBorders>
                  <w:shd w:val="clear" w:color="auto" w:fill="auto"/>
                  <w:noWrap/>
                  <w:tcMar>
                    <w:top w:w="0" w:type="dxa"/>
                    <w:left w:w="0" w:type="dxa"/>
                    <w:bottom w:w="0" w:type="dxa"/>
                    <w:right w:w="0" w:type="dxa"/>
                  </w:tcMar>
                  <w:vAlign w:val="center"/>
                </w:tcPr>
                <w:p w14:paraId="1B7731F0">
                  <w:pPr>
                    <w:pStyle w:val="15"/>
                    <w:bidi w:val="0"/>
                    <w:rPr>
                      <w:rFonts w:hint="eastAsia"/>
                      <w:color w:val="auto"/>
                      <w:lang w:val="en-US" w:eastAsia="zh-CN"/>
                    </w:rPr>
                  </w:pPr>
                  <w:r>
                    <w:rPr>
                      <w:rFonts w:hint="eastAsia"/>
                      <w:color w:val="auto"/>
                      <w:lang w:val="en-US" w:eastAsia="zh-CN"/>
                    </w:rPr>
                    <w:t>排放浓</w:t>
                  </w:r>
                </w:p>
                <w:p w14:paraId="60B7AB27">
                  <w:pPr>
                    <w:pStyle w:val="15"/>
                    <w:bidi w:val="0"/>
                    <w:rPr>
                      <w:rFonts w:hint="eastAsia"/>
                      <w:color w:val="auto"/>
                    </w:rPr>
                  </w:pPr>
                  <w:r>
                    <w:rPr>
                      <w:rFonts w:hint="eastAsia"/>
                      <w:color w:val="auto"/>
                      <w:lang w:val="en-US" w:eastAsia="zh-CN"/>
                    </w:rPr>
                    <w:t>度限值/mg/m³</w:t>
                  </w:r>
                </w:p>
              </w:tc>
              <w:tc>
                <w:tcPr>
                  <w:tcW w:w="750" w:type="pct"/>
                  <w:tcBorders>
                    <w:tl2br w:val="nil"/>
                    <w:tr2bl w:val="nil"/>
                  </w:tcBorders>
                  <w:shd w:val="clear" w:color="auto" w:fill="auto"/>
                  <w:noWrap/>
                  <w:tcMar>
                    <w:top w:w="0" w:type="dxa"/>
                    <w:left w:w="0" w:type="dxa"/>
                    <w:bottom w:w="0" w:type="dxa"/>
                    <w:right w:w="0" w:type="dxa"/>
                  </w:tcMar>
                  <w:vAlign w:val="center"/>
                </w:tcPr>
                <w:p w14:paraId="6162E66D">
                  <w:pPr>
                    <w:pStyle w:val="15"/>
                    <w:bidi w:val="0"/>
                    <w:rPr>
                      <w:rFonts w:hint="eastAsia"/>
                      <w:color w:val="auto"/>
                      <w:lang w:val="en-US" w:eastAsia="zh-CN"/>
                    </w:rPr>
                  </w:pPr>
                  <w:r>
                    <w:rPr>
                      <w:rFonts w:hint="eastAsia"/>
                      <w:color w:val="auto"/>
                      <w:lang w:val="en-US" w:eastAsia="zh-CN"/>
                    </w:rPr>
                    <w:t>排放速</w:t>
                  </w:r>
                </w:p>
                <w:p w14:paraId="4395214D">
                  <w:pPr>
                    <w:pStyle w:val="15"/>
                    <w:bidi w:val="0"/>
                    <w:rPr>
                      <w:rFonts w:hint="eastAsia"/>
                      <w:color w:val="auto"/>
                    </w:rPr>
                  </w:pPr>
                  <w:r>
                    <w:rPr>
                      <w:rFonts w:hint="eastAsia"/>
                      <w:color w:val="auto"/>
                      <w:lang w:val="en-US" w:eastAsia="zh-CN"/>
                    </w:rPr>
                    <w:t>率限值kg/h</w:t>
                  </w:r>
                </w:p>
              </w:tc>
              <w:tc>
                <w:tcPr>
                  <w:tcW w:w="1297" w:type="pct"/>
                  <w:tcBorders>
                    <w:tl2br w:val="nil"/>
                    <w:tr2bl w:val="nil"/>
                  </w:tcBorders>
                  <w:shd w:val="clear" w:color="auto" w:fill="auto"/>
                  <w:noWrap/>
                  <w:tcMar>
                    <w:top w:w="0" w:type="dxa"/>
                    <w:left w:w="0" w:type="dxa"/>
                    <w:bottom w:w="0" w:type="dxa"/>
                    <w:right w:w="0" w:type="dxa"/>
                  </w:tcMar>
                  <w:vAlign w:val="center"/>
                </w:tcPr>
                <w:p w14:paraId="355E3577">
                  <w:pPr>
                    <w:pStyle w:val="15"/>
                    <w:bidi w:val="0"/>
                    <w:rPr>
                      <w:rFonts w:hint="eastAsia"/>
                      <w:color w:val="auto"/>
                    </w:rPr>
                  </w:pPr>
                  <w:r>
                    <w:rPr>
                      <w:rFonts w:hint="eastAsia"/>
                      <w:color w:val="auto"/>
                      <w:lang w:val="en-US" w:eastAsia="zh-CN"/>
                    </w:rPr>
                    <w:t>执行标准</w:t>
                  </w:r>
                </w:p>
              </w:tc>
            </w:tr>
            <w:tr w14:paraId="14838C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92" w:type="pct"/>
                  <w:tcBorders>
                    <w:tl2br w:val="nil"/>
                    <w:tr2bl w:val="nil"/>
                  </w:tcBorders>
                  <w:shd w:val="clear" w:color="auto" w:fill="auto"/>
                  <w:noWrap/>
                  <w:tcMar>
                    <w:top w:w="0" w:type="dxa"/>
                    <w:left w:w="0" w:type="dxa"/>
                    <w:bottom w:w="0" w:type="dxa"/>
                    <w:right w:w="0" w:type="dxa"/>
                  </w:tcMar>
                  <w:vAlign w:val="center"/>
                </w:tcPr>
                <w:p w14:paraId="6F6236AB">
                  <w:pPr>
                    <w:pStyle w:val="15"/>
                    <w:bidi w:val="0"/>
                    <w:rPr>
                      <w:rFonts w:hint="eastAsia"/>
                      <w:color w:val="auto"/>
                    </w:rPr>
                  </w:pPr>
                  <w:r>
                    <w:rPr>
                      <w:rFonts w:hint="eastAsia"/>
                      <w:color w:val="auto"/>
                      <w:lang w:val="en-US" w:eastAsia="zh-CN"/>
                    </w:rPr>
                    <w:t>DA002</w:t>
                  </w:r>
                </w:p>
              </w:tc>
              <w:tc>
                <w:tcPr>
                  <w:tcW w:w="961" w:type="pct"/>
                  <w:tcBorders>
                    <w:tl2br w:val="nil"/>
                    <w:tr2bl w:val="nil"/>
                  </w:tcBorders>
                  <w:shd w:val="clear" w:color="auto" w:fill="auto"/>
                  <w:noWrap/>
                  <w:tcMar>
                    <w:top w:w="0" w:type="dxa"/>
                    <w:left w:w="0" w:type="dxa"/>
                    <w:bottom w:w="0" w:type="dxa"/>
                    <w:right w:w="0" w:type="dxa"/>
                  </w:tcMar>
                  <w:vAlign w:val="center"/>
                </w:tcPr>
                <w:p w14:paraId="6A45D62C">
                  <w:pPr>
                    <w:pStyle w:val="15"/>
                    <w:bidi w:val="0"/>
                    <w:rPr>
                      <w:rFonts w:hint="eastAsia"/>
                      <w:color w:val="auto"/>
                    </w:rPr>
                  </w:pPr>
                  <w:r>
                    <w:rPr>
                      <w:rFonts w:hint="eastAsia"/>
                      <w:color w:val="auto"/>
                      <w:lang w:val="en-US" w:eastAsia="zh-CN"/>
                    </w:rPr>
                    <w:t>氯丙酸甲酯废气排放口</w:t>
                  </w:r>
                </w:p>
              </w:tc>
              <w:tc>
                <w:tcPr>
                  <w:tcW w:w="483" w:type="pct"/>
                  <w:tcBorders>
                    <w:tl2br w:val="nil"/>
                    <w:tr2bl w:val="nil"/>
                  </w:tcBorders>
                  <w:shd w:val="clear" w:color="auto" w:fill="auto"/>
                  <w:noWrap/>
                  <w:tcMar>
                    <w:top w:w="0" w:type="dxa"/>
                    <w:left w:w="0" w:type="dxa"/>
                    <w:bottom w:w="0" w:type="dxa"/>
                    <w:right w:w="0" w:type="dxa"/>
                  </w:tcMar>
                  <w:vAlign w:val="center"/>
                </w:tcPr>
                <w:p w14:paraId="54EF242C">
                  <w:pPr>
                    <w:pStyle w:val="15"/>
                    <w:bidi w:val="0"/>
                    <w:rPr>
                      <w:rFonts w:hint="eastAsia"/>
                      <w:color w:val="auto"/>
                    </w:rPr>
                  </w:pPr>
                  <w:r>
                    <w:rPr>
                      <w:rFonts w:hint="eastAsia"/>
                      <w:color w:val="auto"/>
                      <w:lang w:val="en-US" w:eastAsia="zh-CN"/>
                    </w:rPr>
                    <w:t>HCl</w:t>
                  </w:r>
                </w:p>
              </w:tc>
              <w:tc>
                <w:tcPr>
                  <w:tcW w:w="302" w:type="pct"/>
                  <w:tcBorders>
                    <w:tl2br w:val="nil"/>
                    <w:tr2bl w:val="nil"/>
                  </w:tcBorders>
                  <w:shd w:val="clear" w:color="auto" w:fill="auto"/>
                  <w:noWrap/>
                  <w:tcMar>
                    <w:top w:w="0" w:type="dxa"/>
                    <w:left w:w="0" w:type="dxa"/>
                    <w:bottom w:w="0" w:type="dxa"/>
                    <w:right w:w="0" w:type="dxa"/>
                  </w:tcMar>
                  <w:vAlign w:val="center"/>
                </w:tcPr>
                <w:p w14:paraId="66F23DF2">
                  <w:pPr>
                    <w:pStyle w:val="15"/>
                    <w:bidi w:val="0"/>
                    <w:rPr>
                      <w:rFonts w:hint="eastAsia"/>
                      <w:color w:val="auto"/>
                    </w:rPr>
                  </w:pPr>
                  <w:r>
                    <w:rPr>
                      <w:rFonts w:hint="eastAsia"/>
                      <w:color w:val="auto"/>
                      <w:lang w:val="en-US" w:eastAsia="zh-CN"/>
                    </w:rPr>
                    <w:t>30</w:t>
                  </w:r>
                </w:p>
              </w:tc>
              <w:tc>
                <w:tcPr>
                  <w:tcW w:w="366" w:type="pct"/>
                  <w:tcBorders>
                    <w:tl2br w:val="nil"/>
                    <w:tr2bl w:val="nil"/>
                  </w:tcBorders>
                  <w:shd w:val="clear" w:color="auto" w:fill="auto"/>
                  <w:noWrap/>
                  <w:tcMar>
                    <w:top w:w="0" w:type="dxa"/>
                    <w:left w:w="0" w:type="dxa"/>
                    <w:bottom w:w="0" w:type="dxa"/>
                    <w:right w:w="0" w:type="dxa"/>
                  </w:tcMar>
                  <w:vAlign w:val="center"/>
                </w:tcPr>
                <w:p w14:paraId="6F558888">
                  <w:pPr>
                    <w:pStyle w:val="15"/>
                    <w:bidi w:val="0"/>
                    <w:rPr>
                      <w:rFonts w:hint="eastAsia"/>
                      <w:color w:val="auto"/>
                    </w:rPr>
                  </w:pPr>
                  <w:r>
                    <w:rPr>
                      <w:rFonts w:hint="eastAsia"/>
                      <w:color w:val="auto"/>
                      <w:lang w:val="en-US" w:eastAsia="zh-CN"/>
                    </w:rPr>
                    <w:t>0.4</w:t>
                  </w:r>
                </w:p>
              </w:tc>
              <w:tc>
                <w:tcPr>
                  <w:tcW w:w="545" w:type="pct"/>
                  <w:tcBorders>
                    <w:tl2br w:val="nil"/>
                    <w:tr2bl w:val="nil"/>
                  </w:tcBorders>
                  <w:shd w:val="clear" w:color="auto" w:fill="auto"/>
                  <w:noWrap/>
                  <w:tcMar>
                    <w:top w:w="0" w:type="dxa"/>
                    <w:left w:w="0" w:type="dxa"/>
                    <w:bottom w:w="0" w:type="dxa"/>
                    <w:right w:w="0" w:type="dxa"/>
                  </w:tcMar>
                  <w:vAlign w:val="center"/>
                </w:tcPr>
                <w:p w14:paraId="15AAB636">
                  <w:pPr>
                    <w:pStyle w:val="15"/>
                    <w:bidi w:val="0"/>
                    <w:rPr>
                      <w:rFonts w:hint="eastAsia"/>
                      <w:color w:val="auto"/>
                    </w:rPr>
                  </w:pPr>
                  <w:r>
                    <w:rPr>
                      <w:rFonts w:hint="eastAsia"/>
                      <w:color w:val="auto"/>
                      <w:lang w:val="en-US" w:eastAsia="zh-CN"/>
                    </w:rPr>
                    <w:t>30</w:t>
                  </w:r>
                </w:p>
              </w:tc>
              <w:tc>
                <w:tcPr>
                  <w:tcW w:w="750" w:type="pct"/>
                  <w:tcBorders>
                    <w:tl2br w:val="nil"/>
                    <w:tr2bl w:val="nil"/>
                  </w:tcBorders>
                  <w:shd w:val="clear" w:color="auto" w:fill="auto"/>
                  <w:noWrap/>
                  <w:tcMar>
                    <w:top w:w="0" w:type="dxa"/>
                    <w:left w:w="0" w:type="dxa"/>
                    <w:bottom w:w="0" w:type="dxa"/>
                    <w:right w:w="0" w:type="dxa"/>
                  </w:tcMar>
                  <w:vAlign w:val="center"/>
                </w:tcPr>
                <w:p w14:paraId="5B52C510">
                  <w:pPr>
                    <w:pStyle w:val="15"/>
                    <w:bidi w:val="0"/>
                    <w:rPr>
                      <w:rFonts w:hint="eastAsia"/>
                      <w:color w:val="auto"/>
                    </w:rPr>
                  </w:pPr>
                  <w:r>
                    <w:rPr>
                      <w:rFonts w:hint="eastAsia"/>
                      <w:color w:val="auto"/>
                      <w:lang w:val="en-US" w:eastAsia="zh-CN"/>
                    </w:rPr>
                    <w:t>/</w:t>
                  </w:r>
                </w:p>
              </w:tc>
              <w:tc>
                <w:tcPr>
                  <w:tcW w:w="1297" w:type="pct"/>
                  <w:tcBorders>
                    <w:tl2br w:val="nil"/>
                    <w:tr2bl w:val="nil"/>
                  </w:tcBorders>
                  <w:shd w:val="clear" w:color="auto" w:fill="auto"/>
                  <w:noWrap/>
                  <w:tcMar>
                    <w:top w:w="0" w:type="dxa"/>
                    <w:left w:w="0" w:type="dxa"/>
                    <w:bottom w:w="0" w:type="dxa"/>
                    <w:right w:w="0" w:type="dxa"/>
                  </w:tcMar>
                  <w:vAlign w:val="center"/>
                </w:tcPr>
                <w:p w14:paraId="6AC75B35">
                  <w:pPr>
                    <w:pStyle w:val="15"/>
                    <w:bidi w:val="0"/>
                    <w:rPr>
                      <w:rFonts w:hint="eastAsia"/>
                      <w:color w:val="auto"/>
                      <w:lang w:val="en-US" w:eastAsia="zh-CN"/>
                    </w:rPr>
                  </w:pPr>
                  <w:r>
                    <w:rPr>
                      <w:rFonts w:hint="eastAsia"/>
                      <w:color w:val="auto"/>
                      <w:lang w:val="en-US" w:eastAsia="zh-CN"/>
                    </w:rPr>
                    <w:t>《农药制造工业大气污染物排放标准》</w:t>
                  </w:r>
                </w:p>
                <w:p w14:paraId="3311A6A8">
                  <w:pPr>
                    <w:pStyle w:val="15"/>
                    <w:bidi w:val="0"/>
                    <w:rPr>
                      <w:rFonts w:hint="eastAsia"/>
                      <w:color w:val="auto"/>
                    </w:rPr>
                  </w:pPr>
                  <w:r>
                    <w:rPr>
                      <w:rFonts w:hint="eastAsia"/>
                      <w:color w:val="auto"/>
                      <w:lang w:val="en-US" w:eastAsia="zh-CN"/>
                    </w:rPr>
                    <w:t>（GB39727—2020）中表1大气污染物排放限值</w:t>
                  </w:r>
                </w:p>
              </w:tc>
            </w:tr>
          </w:tbl>
          <w:p w14:paraId="55DBDCA3">
            <w:pPr>
              <w:pStyle w:val="4"/>
              <w:bidi w:val="0"/>
              <w:rPr>
                <w:rFonts w:hint="eastAsia"/>
                <w:lang w:val="en-US" w:eastAsia="zh-CN"/>
              </w:rPr>
            </w:pPr>
            <w:r>
              <w:rPr>
                <w:rFonts w:hint="eastAsia"/>
                <w:lang w:val="en-US" w:eastAsia="zh-CN"/>
              </w:rPr>
              <w:t>1.2无组织废气中污染物排放标准</w:t>
            </w:r>
          </w:p>
          <w:p w14:paraId="7C8138F9">
            <w:pPr>
              <w:bidi w:val="0"/>
              <w:rPr>
                <w:rFonts w:hint="eastAsia"/>
                <w:color w:val="auto"/>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盐酸储罐为新疆久塔锦晨生物科技股份有限公司中部分辅助工程内容，全厂厂界无组织污染物中HCl执行《农药制造工业大气污染物排放标准》（GB39727—2020）中表3企业边界大气污染物浓度限值。</w:t>
            </w:r>
          </w:p>
          <w:p w14:paraId="265D3EE4">
            <w:pPr>
              <w:pStyle w:val="16"/>
              <w:bidi w:val="0"/>
              <w:rPr>
                <w:rFonts w:hint="eastAsia"/>
                <w:lang w:val="en-US" w:eastAsia="zh-CN"/>
              </w:rPr>
            </w:pPr>
            <w:r>
              <w:t xml:space="preserve">表 </w:t>
            </w:r>
            <w:r>
              <w:fldChar w:fldCharType="begin"/>
            </w:r>
            <w:r>
              <w:instrText xml:space="preserve"> SEQ 表 \* ARABIC </w:instrText>
            </w:r>
            <w:r>
              <w:fldChar w:fldCharType="separate"/>
            </w:r>
            <w:r>
              <w:t>26</w:t>
            </w:r>
            <w:r>
              <w:fldChar w:fldCharType="end"/>
            </w:r>
            <w:r>
              <w:rPr>
                <w:rFonts w:hint="eastAsia"/>
                <w:lang w:val="en-US" w:eastAsia="zh-CN"/>
              </w:rPr>
              <w:t xml:space="preserve">  无组织废气污染物排放标准一览表</w:t>
            </w:r>
          </w:p>
          <w:tbl>
            <w:tblPr>
              <w:tblStyle w:val="11"/>
              <w:tblW w:w="798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64"/>
              <w:gridCol w:w="689"/>
              <w:gridCol w:w="1065"/>
              <w:gridCol w:w="1111"/>
              <w:gridCol w:w="3958"/>
            </w:tblGrid>
            <w:tr w14:paraId="45F97E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729" w:type="pct"/>
                  <w:vMerge w:val="restart"/>
                  <w:tcBorders>
                    <w:tl2br w:val="nil"/>
                    <w:tr2bl w:val="nil"/>
                  </w:tcBorders>
                  <w:shd w:val="clear" w:color="auto" w:fill="auto"/>
                  <w:noWrap/>
                  <w:tcMar>
                    <w:top w:w="0" w:type="dxa"/>
                    <w:left w:w="0" w:type="dxa"/>
                    <w:bottom w:w="0" w:type="dxa"/>
                    <w:right w:w="0" w:type="dxa"/>
                  </w:tcMar>
                  <w:vAlign w:val="center"/>
                </w:tcPr>
                <w:p w14:paraId="4B217BEC">
                  <w:pPr>
                    <w:pStyle w:val="15"/>
                    <w:bidi w:val="0"/>
                    <w:rPr>
                      <w:rFonts w:hint="default"/>
                      <w:color w:val="auto"/>
                      <w:lang w:val="en-US"/>
                    </w:rPr>
                  </w:pPr>
                  <w:r>
                    <w:rPr>
                      <w:rFonts w:hint="eastAsia"/>
                      <w:color w:val="auto"/>
                      <w:lang w:val="en-US" w:eastAsia="zh-CN"/>
                    </w:rPr>
                    <w:t>监测位置</w:t>
                  </w:r>
                </w:p>
              </w:tc>
              <w:tc>
                <w:tcPr>
                  <w:tcW w:w="431" w:type="pct"/>
                  <w:vMerge w:val="restart"/>
                  <w:tcBorders>
                    <w:tl2br w:val="nil"/>
                    <w:tr2bl w:val="nil"/>
                  </w:tcBorders>
                  <w:shd w:val="clear" w:color="auto" w:fill="auto"/>
                  <w:tcMar>
                    <w:top w:w="0" w:type="dxa"/>
                    <w:left w:w="0" w:type="dxa"/>
                    <w:bottom w:w="0" w:type="dxa"/>
                    <w:right w:w="0" w:type="dxa"/>
                  </w:tcMar>
                  <w:vAlign w:val="center"/>
                </w:tcPr>
                <w:p w14:paraId="378E7CDC">
                  <w:pPr>
                    <w:pStyle w:val="15"/>
                    <w:bidi w:val="0"/>
                    <w:rPr>
                      <w:rFonts w:hint="eastAsia"/>
                      <w:color w:val="auto"/>
                    </w:rPr>
                  </w:pPr>
                  <w:r>
                    <w:rPr>
                      <w:rFonts w:hint="eastAsia"/>
                      <w:color w:val="auto"/>
                      <w:lang w:val="en-US" w:eastAsia="zh-CN"/>
                    </w:rPr>
                    <w:t>污染物名称</w:t>
                  </w:r>
                </w:p>
              </w:tc>
              <w:tc>
                <w:tcPr>
                  <w:tcW w:w="1361" w:type="pct"/>
                  <w:gridSpan w:val="2"/>
                  <w:tcBorders>
                    <w:tl2br w:val="nil"/>
                    <w:tr2bl w:val="nil"/>
                  </w:tcBorders>
                  <w:shd w:val="clear" w:color="auto" w:fill="auto"/>
                  <w:noWrap/>
                  <w:tcMar>
                    <w:top w:w="0" w:type="dxa"/>
                    <w:left w:w="0" w:type="dxa"/>
                    <w:bottom w:w="0" w:type="dxa"/>
                    <w:right w:w="0" w:type="dxa"/>
                  </w:tcMar>
                  <w:vAlign w:val="center"/>
                </w:tcPr>
                <w:p w14:paraId="3481965F">
                  <w:pPr>
                    <w:pStyle w:val="15"/>
                    <w:bidi w:val="0"/>
                    <w:rPr>
                      <w:rFonts w:hint="eastAsia"/>
                      <w:color w:val="auto"/>
                    </w:rPr>
                  </w:pPr>
                  <w:r>
                    <w:rPr>
                      <w:rFonts w:hint="eastAsia"/>
                      <w:color w:val="auto"/>
                      <w:lang w:val="en-US" w:eastAsia="zh-CN"/>
                    </w:rPr>
                    <w:t>排放限值</w:t>
                  </w:r>
                </w:p>
              </w:tc>
              <w:tc>
                <w:tcPr>
                  <w:tcW w:w="2476" w:type="pct"/>
                  <w:vMerge w:val="restart"/>
                  <w:tcBorders>
                    <w:tl2br w:val="nil"/>
                    <w:tr2bl w:val="nil"/>
                  </w:tcBorders>
                  <w:shd w:val="clear" w:color="auto" w:fill="auto"/>
                  <w:noWrap/>
                  <w:tcMar>
                    <w:top w:w="0" w:type="dxa"/>
                    <w:left w:w="0" w:type="dxa"/>
                    <w:bottom w:w="0" w:type="dxa"/>
                    <w:right w:w="0" w:type="dxa"/>
                  </w:tcMar>
                  <w:vAlign w:val="center"/>
                </w:tcPr>
                <w:p w14:paraId="087224E5">
                  <w:pPr>
                    <w:pStyle w:val="15"/>
                    <w:bidi w:val="0"/>
                    <w:rPr>
                      <w:rFonts w:hint="eastAsia"/>
                      <w:color w:val="auto"/>
                    </w:rPr>
                  </w:pPr>
                  <w:r>
                    <w:rPr>
                      <w:rFonts w:hint="eastAsia"/>
                      <w:color w:val="auto"/>
                      <w:lang w:val="en-US" w:eastAsia="zh-CN"/>
                    </w:rPr>
                    <w:t>执行标准</w:t>
                  </w:r>
                </w:p>
              </w:tc>
            </w:tr>
            <w:tr w14:paraId="79935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29" w:type="pct"/>
                  <w:vMerge w:val="continue"/>
                  <w:tcBorders>
                    <w:tl2br w:val="nil"/>
                    <w:tr2bl w:val="nil"/>
                  </w:tcBorders>
                  <w:shd w:val="clear" w:color="auto" w:fill="auto"/>
                  <w:noWrap/>
                  <w:tcMar>
                    <w:top w:w="0" w:type="dxa"/>
                    <w:left w:w="0" w:type="dxa"/>
                    <w:bottom w:w="0" w:type="dxa"/>
                    <w:right w:w="0" w:type="dxa"/>
                  </w:tcMar>
                  <w:vAlign w:val="center"/>
                </w:tcPr>
                <w:p w14:paraId="188B4E93">
                  <w:pPr>
                    <w:pStyle w:val="15"/>
                    <w:bidi w:val="0"/>
                    <w:rPr>
                      <w:rFonts w:hint="eastAsia"/>
                      <w:color w:val="auto"/>
                    </w:rPr>
                  </w:pPr>
                </w:p>
              </w:tc>
              <w:tc>
                <w:tcPr>
                  <w:tcW w:w="431" w:type="pct"/>
                  <w:vMerge w:val="continue"/>
                  <w:tcBorders>
                    <w:tl2br w:val="nil"/>
                    <w:tr2bl w:val="nil"/>
                  </w:tcBorders>
                  <w:shd w:val="clear" w:color="auto" w:fill="auto"/>
                  <w:tcMar>
                    <w:top w:w="0" w:type="dxa"/>
                    <w:left w:w="0" w:type="dxa"/>
                    <w:bottom w:w="0" w:type="dxa"/>
                    <w:right w:w="0" w:type="dxa"/>
                  </w:tcMar>
                  <w:vAlign w:val="center"/>
                </w:tcPr>
                <w:p w14:paraId="208B9BBA">
                  <w:pPr>
                    <w:pStyle w:val="15"/>
                    <w:bidi w:val="0"/>
                    <w:rPr>
                      <w:rFonts w:hint="eastAsia"/>
                      <w:color w:val="auto"/>
                    </w:rPr>
                  </w:pPr>
                </w:p>
              </w:tc>
              <w:tc>
                <w:tcPr>
                  <w:tcW w:w="1361" w:type="pct"/>
                  <w:gridSpan w:val="2"/>
                  <w:tcBorders>
                    <w:tl2br w:val="nil"/>
                    <w:tr2bl w:val="nil"/>
                  </w:tcBorders>
                  <w:shd w:val="clear" w:color="auto" w:fill="auto"/>
                  <w:noWrap/>
                  <w:tcMar>
                    <w:top w:w="0" w:type="dxa"/>
                    <w:left w:w="0" w:type="dxa"/>
                    <w:bottom w:w="0" w:type="dxa"/>
                    <w:right w:w="0" w:type="dxa"/>
                  </w:tcMar>
                  <w:vAlign w:val="center"/>
                </w:tcPr>
                <w:p w14:paraId="118456DC">
                  <w:pPr>
                    <w:pStyle w:val="15"/>
                    <w:bidi w:val="0"/>
                    <w:rPr>
                      <w:rFonts w:hint="eastAsia"/>
                      <w:color w:val="auto"/>
                    </w:rPr>
                  </w:pPr>
                  <w:r>
                    <w:rPr>
                      <w:rFonts w:hint="eastAsia"/>
                      <w:color w:val="auto"/>
                      <w:lang w:val="en-US" w:eastAsia="zh-CN"/>
                    </w:rPr>
                    <w:t>排放浓度（mg/m³）</w:t>
                  </w:r>
                </w:p>
              </w:tc>
              <w:tc>
                <w:tcPr>
                  <w:tcW w:w="2476" w:type="pct"/>
                  <w:vMerge w:val="continue"/>
                  <w:tcBorders>
                    <w:tl2br w:val="nil"/>
                    <w:tr2bl w:val="nil"/>
                  </w:tcBorders>
                  <w:shd w:val="clear" w:color="auto" w:fill="auto"/>
                  <w:noWrap/>
                  <w:tcMar>
                    <w:top w:w="0" w:type="dxa"/>
                    <w:left w:w="0" w:type="dxa"/>
                    <w:bottom w:w="0" w:type="dxa"/>
                    <w:right w:w="0" w:type="dxa"/>
                  </w:tcMar>
                  <w:vAlign w:val="center"/>
                </w:tcPr>
                <w:p w14:paraId="2D959077">
                  <w:pPr>
                    <w:pStyle w:val="15"/>
                    <w:bidi w:val="0"/>
                    <w:rPr>
                      <w:rFonts w:hint="eastAsia"/>
                      <w:color w:val="auto"/>
                    </w:rPr>
                  </w:pPr>
                </w:p>
              </w:tc>
            </w:tr>
            <w:tr w14:paraId="05B54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29" w:type="pct"/>
                  <w:tcBorders>
                    <w:tl2br w:val="nil"/>
                    <w:tr2bl w:val="nil"/>
                  </w:tcBorders>
                  <w:shd w:val="clear" w:color="auto" w:fill="auto"/>
                  <w:noWrap/>
                  <w:tcMar>
                    <w:top w:w="0" w:type="dxa"/>
                    <w:left w:w="0" w:type="dxa"/>
                    <w:bottom w:w="0" w:type="dxa"/>
                    <w:right w:w="0" w:type="dxa"/>
                  </w:tcMar>
                  <w:vAlign w:val="center"/>
                </w:tcPr>
                <w:p w14:paraId="6FE62B95">
                  <w:pPr>
                    <w:pStyle w:val="15"/>
                    <w:bidi w:val="0"/>
                    <w:rPr>
                      <w:rFonts w:hint="eastAsia" w:eastAsia="宋体"/>
                      <w:color w:val="auto"/>
                      <w:lang w:val="en-US" w:eastAsia="zh-CN"/>
                    </w:rPr>
                  </w:pPr>
                  <w:r>
                    <w:rPr>
                      <w:rFonts w:hint="eastAsia"/>
                      <w:color w:val="auto"/>
                      <w:lang w:val="en-US" w:eastAsia="zh-CN"/>
                    </w:rPr>
                    <w:t>厂界</w:t>
                  </w:r>
                </w:p>
              </w:tc>
              <w:tc>
                <w:tcPr>
                  <w:tcW w:w="431" w:type="pct"/>
                  <w:tcBorders>
                    <w:tl2br w:val="nil"/>
                    <w:tr2bl w:val="nil"/>
                  </w:tcBorders>
                  <w:shd w:val="clear" w:color="auto" w:fill="auto"/>
                  <w:noWrap/>
                  <w:tcMar>
                    <w:top w:w="0" w:type="dxa"/>
                    <w:left w:w="0" w:type="dxa"/>
                    <w:bottom w:w="0" w:type="dxa"/>
                    <w:right w:w="0" w:type="dxa"/>
                  </w:tcMar>
                  <w:vAlign w:val="center"/>
                </w:tcPr>
                <w:p w14:paraId="2E82839C">
                  <w:pPr>
                    <w:pStyle w:val="15"/>
                    <w:bidi w:val="0"/>
                    <w:rPr>
                      <w:rFonts w:hint="eastAsia"/>
                      <w:color w:val="auto"/>
                    </w:rPr>
                  </w:pPr>
                  <w:r>
                    <w:rPr>
                      <w:rFonts w:hint="eastAsia"/>
                      <w:color w:val="auto"/>
                      <w:lang w:val="en-US" w:eastAsia="zh-CN"/>
                    </w:rPr>
                    <w:t>HCl</w:t>
                  </w:r>
                </w:p>
              </w:tc>
              <w:tc>
                <w:tcPr>
                  <w:tcW w:w="666" w:type="pct"/>
                  <w:tcBorders>
                    <w:tl2br w:val="nil"/>
                    <w:tr2bl w:val="nil"/>
                  </w:tcBorders>
                  <w:shd w:val="clear" w:color="auto" w:fill="auto"/>
                  <w:noWrap/>
                  <w:tcMar>
                    <w:top w:w="0" w:type="dxa"/>
                    <w:left w:w="0" w:type="dxa"/>
                    <w:bottom w:w="0" w:type="dxa"/>
                    <w:right w:w="0" w:type="dxa"/>
                  </w:tcMar>
                  <w:vAlign w:val="center"/>
                </w:tcPr>
                <w:p w14:paraId="275AC4C7">
                  <w:pPr>
                    <w:pStyle w:val="15"/>
                    <w:bidi w:val="0"/>
                    <w:rPr>
                      <w:rFonts w:hint="eastAsia"/>
                      <w:color w:val="auto"/>
                    </w:rPr>
                  </w:pPr>
                  <w:r>
                    <w:rPr>
                      <w:rFonts w:hint="eastAsia"/>
                      <w:color w:val="auto"/>
                      <w:lang w:val="en-US" w:eastAsia="zh-CN"/>
                    </w:rPr>
                    <w:t>1h平均</w:t>
                  </w:r>
                </w:p>
              </w:tc>
              <w:tc>
                <w:tcPr>
                  <w:tcW w:w="694" w:type="pct"/>
                  <w:tcBorders>
                    <w:tl2br w:val="nil"/>
                    <w:tr2bl w:val="nil"/>
                  </w:tcBorders>
                  <w:shd w:val="clear" w:color="auto" w:fill="auto"/>
                  <w:noWrap/>
                  <w:tcMar>
                    <w:top w:w="0" w:type="dxa"/>
                    <w:left w:w="0" w:type="dxa"/>
                    <w:bottom w:w="0" w:type="dxa"/>
                    <w:right w:w="0" w:type="dxa"/>
                  </w:tcMar>
                  <w:vAlign w:val="center"/>
                </w:tcPr>
                <w:p w14:paraId="58080756">
                  <w:pPr>
                    <w:pStyle w:val="15"/>
                    <w:bidi w:val="0"/>
                    <w:rPr>
                      <w:rFonts w:hint="eastAsia"/>
                      <w:color w:val="auto"/>
                    </w:rPr>
                  </w:pPr>
                  <w:r>
                    <w:rPr>
                      <w:rFonts w:hint="eastAsia"/>
                      <w:color w:val="auto"/>
                      <w:lang w:val="en-US" w:eastAsia="zh-CN"/>
                    </w:rPr>
                    <w:t>0.2</w:t>
                  </w:r>
                </w:p>
              </w:tc>
              <w:tc>
                <w:tcPr>
                  <w:tcW w:w="2476" w:type="pct"/>
                  <w:tcBorders>
                    <w:tl2br w:val="nil"/>
                    <w:tr2bl w:val="nil"/>
                  </w:tcBorders>
                  <w:shd w:val="clear" w:color="auto" w:fill="auto"/>
                  <w:noWrap/>
                  <w:tcMar>
                    <w:top w:w="0" w:type="dxa"/>
                    <w:left w:w="0" w:type="dxa"/>
                    <w:bottom w:w="0" w:type="dxa"/>
                    <w:right w:w="0" w:type="dxa"/>
                  </w:tcMar>
                  <w:vAlign w:val="center"/>
                </w:tcPr>
                <w:p w14:paraId="778F8923">
                  <w:pPr>
                    <w:pStyle w:val="15"/>
                    <w:bidi w:val="0"/>
                    <w:rPr>
                      <w:rFonts w:hint="eastAsia"/>
                      <w:color w:val="auto"/>
                      <w:lang w:val="en-US" w:eastAsia="zh-CN"/>
                    </w:rPr>
                  </w:pPr>
                  <w:r>
                    <w:rPr>
                      <w:rFonts w:hint="eastAsia"/>
                      <w:color w:val="auto"/>
                      <w:lang w:val="en-US" w:eastAsia="zh-CN"/>
                    </w:rPr>
                    <w:t>《农药制造工业大气污染物排放标准》</w:t>
                  </w:r>
                </w:p>
                <w:p w14:paraId="5A27A33D">
                  <w:pPr>
                    <w:pStyle w:val="15"/>
                    <w:bidi w:val="0"/>
                    <w:rPr>
                      <w:rFonts w:hint="eastAsia"/>
                      <w:color w:val="auto"/>
                      <w:lang w:val="en-US" w:eastAsia="zh-CN"/>
                    </w:rPr>
                  </w:pPr>
                  <w:r>
                    <w:rPr>
                      <w:rFonts w:hint="eastAsia"/>
                      <w:color w:val="auto"/>
                      <w:lang w:val="en-US" w:eastAsia="zh-CN"/>
                    </w:rPr>
                    <w:t>(GB39727—2020)</w:t>
                  </w:r>
                </w:p>
                <w:p w14:paraId="06DAF398">
                  <w:pPr>
                    <w:pStyle w:val="15"/>
                    <w:bidi w:val="0"/>
                    <w:rPr>
                      <w:rFonts w:hint="eastAsia"/>
                      <w:color w:val="auto"/>
                    </w:rPr>
                  </w:pPr>
                  <w:r>
                    <w:rPr>
                      <w:rFonts w:hint="eastAsia"/>
                      <w:color w:val="auto"/>
                      <w:lang w:val="en-US" w:eastAsia="zh-CN"/>
                    </w:rPr>
                    <w:t>中表3企业边界大气污染物浓度限值</w:t>
                  </w:r>
                </w:p>
              </w:tc>
            </w:tr>
          </w:tbl>
          <w:p w14:paraId="2C257573">
            <w:pPr>
              <w:pStyle w:val="3"/>
              <w:bidi w:val="0"/>
              <w:rPr>
                <w:rFonts w:hint="default"/>
                <w:lang w:val="en-US" w:eastAsia="zh-CN"/>
              </w:rPr>
            </w:pPr>
            <w:r>
              <w:rPr>
                <w:rFonts w:hint="eastAsia"/>
                <w:lang w:val="en-US" w:eastAsia="zh-CN"/>
              </w:rPr>
              <w:t>2.废水排放执行标准</w:t>
            </w:r>
          </w:p>
          <w:p w14:paraId="6378C675">
            <w:pPr>
              <w:rPr>
                <w:rFonts w:hint="eastAsia"/>
                <w:color w:val="auto"/>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盐酸储罐无废水产生。</w:t>
            </w:r>
          </w:p>
          <w:p w14:paraId="2708CE09">
            <w:pPr>
              <w:rPr>
                <w:rFonts w:hint="eastAsia"/>
                <w:color w:val="auto"/>
                <w:lang w:val="en-US" w:eastAsia="zh-CN"/>
              </w:rPr>
            </w:pPr>
            <w:r>
              <w:rPr>
                <w:rFonts w:hint="eastAsia"/>
                <w:color w:val="auto"/>
                <w:lang w:val="en-US" w:eastAsia="zh-CN"/>
              </w:rPr>
              <w:t>全厂污水处理站排放口DW001执行《农药工业水污染物排放标准》（GB 21523—2024）及</w:t>
            </w:r>
            <w:r>
              <w:rPr>
                <w:rFonts w:hint="eastAsia"/>
                <w:color w:val="auto"/>
              </w:rPr>
              <w:t>胡杨河经济技术开发区一号污水处理厂</w:t>
            </w:r>
            <w:r>
              <w:rPr>
                <w:rFonts w:hint="eastAsia"/>
                <w:color w:val="auto"/>
                <w:lang w:val="en-US" w:eastAsia="zh-CN"/>
              </w:rPr>
              <w:t>进水协议限值；生活污水排放口DW002执行</w:t>
            </w:r>
            <w:r>
              <w:rPr>
                <w:rFonts w:hint="eastAsia"/>
                <w:color w:val="auto"/>
              </w:rPr>
              <w:t>胡杨河经济技术开发区一号污水处理厂</w:t>
            </w:r>
            <w:r>
              <w:rPr>
                <w:rFonts w:hint="eastAsia"/>
                <w:color w:val="auto"/>
                <w:lang w:val="en-US" w:eastAsia="zh-CN"/>
              </w:rPr>
              <w:t>进水协议限值。</w:t>
            </w:r>
          </w:p>
          <w:p w14:paraId="1A9C812F">
            <w:pPr>
              <w:pStyle w:val="16"/>
              <w:bidi w:val="0"/>
              <w:rPr>
                <w:rFonts w:hint="eastAsia"/>
                <w:color w:val="auto"/>
                <w:lang w:val="en-US" w:eastAsia="zh-CN"/>
              </w:rPr>
            </w:pPr>
            <w:r>
              <w:t xml:space="preserve">表 </w:t>
            </w:r>
            <w:r>
              <w:fldChar w:fldCharType="begin"/>
            </w:r>
            <w:r>
              <w:instrText xml:space="preserve"> SEQ 表 \* ARABIC </w:instrText>
            </w:r>
            <w:r>
              <w:fldChar w:fldCharType="separate"/>
            </w:r>
            <w:r>
              <w:t>27</w:t>
            </w:r>
            <w:r>
              <w:fldChar w:fldCharType="end"/>
            </w:r>
            <w:r>
              <w:rPr>
                <w:rFonts w:hint="eastAsia"/>
                <w:lang w:val="en-US" w:eastAsia="zh-CN"/>
              </w:rPr>
              <w:t xml:space="preserve">  全厂</w:t>
            </w:r>
            <w:r>
              <w:rPr>
                <w:rFonts w:hint="eastAsia"/>
                <w:color w:val="auto"/>
                <w:lang w:val="en-US" w:eastAsia="zh-CN"/>
              </w:rPr>
              <w:t>废水排放执行标准</w:t>
            </w:r>
          </w:p>
          <w:tbl>
            <w:tblPr>
              <w:tblStyle w:val="11"/>
              <w:tblW w:w="503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08"/>
              <w:gridCol w:w="237"/>
              <w:gridCol w:w="924"/>
              <w:gridCol w:w="577"/>
              <w:gridCol w:w="1791"/>
              <w:gridCol w:w="2126"/>
              <w:gridCol w:w="763"/>
              <w:gridCol w:w="766"/>
            </w:tblGrid>
            <w:tr w14:paraId="38A4DE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505" w:type="pct"/>
                  <w:vMerge w:val="restart"/>
                  <w:tcBorders>
                    <w:tl2br w:val="nil"/>
                    <w:tr2bl w:val="nil"/>
                  </w:tcBorders>
                  <w:shd w:val="clear" w:color="auto" w:fill="auto"/>
                  <w:tcMar>
                    <w:top w:w="0" w:type="dxa"/>
                    <w:left w:w="0" w:type="dxa"/>
                    <w:bottom w:w="0" w:type="dxa"/>
                    <w:right w:w="0" w:type="dxa"/>
                  </w:tcMar>
                  <w:vAlign w:val="center"/>
                </w:tcPr>
                <w:p w14:paraId="5E268B19">
                  <w:pPr>
                    <w:pStyle w:val="15"/>
                    <w:bidi w:val="0"/>
                    <w:rPr>
                      <w:rFonts w:hint="eastAsia"/>
                      <w:color w:val="auto"/>
                    </w:rPr>
                  </w:pPr>
                  <w:r>
                    <w:rPr>
                      <w:rFonts w:hint="eastAsia"/>
                      <w:color w:val="auto"/>
                      <w:lang w:val="en-US" w:eastAsia="zh-CN"/>
                    </w:rPr>
                    <w:t>废水排放口</w:t>
                  </w:r>
                </w:p>
              </w:tc>
              <w:tc>
                <w:tcPr>
                  <w:tcW w:w="148" w:type="pct"/>
                  <w:vMerge w:val="restart"/>
                  <w:tcBorders>
                    <w:tl2br w:val="nil"/>
                    <w:tr2bl w:val="nil"/>
                  </w:tcBorders>
                  <w:shd w:val="clear" w:color="auto" w:fill="auto"/>
                  <w:tcMar>
                    <w:top w:w="0" w:type="dxa"/>
                    <w:left w:w="0" w:type="dxa"/>
                    <w:bottom w:w="0" w:type="dxa"/>
                    <w:right w:w="0" w:type="dxa"/>
                  </w:tcMar>
                  <w:vAlign w:val="center"/>
                </w:tcPr>
                <w:p w14:paraId="32D4A0C5">
                  <w:pPr>
                    <w:pStyle w:val="15"/>
                    <w:bidi w:val="0"/>
                    <w:rPr>
                      <w:rFonts w:hint="eastAsia"/>
                      <w:color w:val="auto"/>
                    </w:rPr>
                  </w:pPr>
                  <w:r>
                    <w:rPr>
                      <w:rFonts w:hint="eastAsia"/>
                      <w:color w:val="auto"/>
                      <w:lang w:val="en-US" w:eastAsia="zh-CN"/>
                    </w:rPr>
                    <w:t>序号</w:t>
                  </w:r>
                </w:p>
              </w:tc>
              <w:tc>
                <w:tcPr>
                  <w:tcW w:w="578" w:type="pct"/>
                  <w:vMerge w:val="restart"/>
                  <w:tcBorders>
                    <w:tl2br w:val="nil"/>
                    <w:tr2bl w:val="nil"/>
                  </w:tcBorders>
                  <w:shd w:val="clear" w:color="auto" w:fill="auto"/>
                  <w:tcMar>
                    <w:top w:w="0" w:type="dxa"/>
                    <w:left w:w="0" w:type="dxa"/>
                    <w:bottom w:w="0" w:type="dxa"/>
                    <w:right w:w="0" w:type="dxa"/>
                  </w:tcMar>
                  <w:vAlign w:val="center"/>
                </w:tcPr>
                <w:p w14:paraId="5FC9FE60">
                  <w:pPr>
                    <w:pStyle w:val="15"/>
                    <w:bidi w:val="0"/>
                    <w:rPr>
                      <w:rFonts w:hint="eastAsia"/>
                      <w:color w:val="auto"/>
                    </w:rPr>
                  </w:pPr>
                  <w:r>
                    <w:rPr>
                      <w:rFonts w:hint="eastAsia"/>
                      <w:color w:val="auto"/>
                      <w:lang w:val="en-US" w:eastAsia="zh-CN"/>
                    </w:rPr>
                    <w:t>项目</w:t>
                  </w:r>
                </w:p>
              </w:tc>
              <w:tc>
                <w:tcPr>
                  <w:tcW w:w="361" w:type="pct"/>
                  <w:vMerge w:val="restart"/>
                  <w:tcBorders>
                    <w:tl2br w:val="nil"/>
                    <w:tr2bl w:val="nil"/>
                  </w:tcBorders>
                  <w:shd w:val="clear" w:color="auto" w:fill="auto"/>
                  <w:tcMar>
                    <w:top w:w="0" w:type="dxa"/>
                    <w:left w:w="0" w:type="dxa"/>
                    <w:bottom w:w="0" w:type="dxa"/>
                    <w:right w:w="0" w:type="dxa"/>
                  </w:tcMar>
                  <w:vAlign w:val="center"/>
                </w:tcPr>
                <w:p w14:paraId="255530AC">
                  <w:pPr>
                    <w:pStyle w:val="15"/>
                    <w:bidi w:val="0"/>
                    <w:rPr>
                      <w:rFonts w:hint="eastAsia"/>
                      <w:color w:val="auto"/>
                    </w:rPr>
                  </w:pPr>
                  <w:r>
                    <w:rPr>
                      <w:rFonts w:hint="eastAsia"/>
                      <w:color w:val="auto"/>
                      <w:lang w:val="en-US" w:eastAsia="zh-CN"/>
                    </w:rPr>
                    <w:t>单位</w:t>
                  </w:r>
                </w:p>
              </w:tc>
              <w:tc>
                <w:tcPr>
                  <w:tcW w:w="2926" w:type="pct"/>
                  <w:gridSpan w:val="3"/>
                  <w:tcBorders>
                    <w:tl2br w:val="nil"/>
                    <w:tr2bl w:val="nil"/>
                  </w:tcBorders>
                  <w:shd w:val="clear" w:color="auto" w:fill="auto"/>
                  <w:tcMar>
                    <w:top w:w="0" w:type="dxa"/>
                    <w:left w:w="0" w:type="dxa"/>
                    <w:bottom w:w="0" w:type="dxa"/>
                    <w:right w:w="0" w:type="dxa"/>
                  </w:tcMar>
                  <w:vAlign w:val="center"/>
                </w:tcPr>
                <w:p w14:paraId="03EF60C6">
                  <w:pPr>
                    <w:pStyle w:val="15"/>
                    <w:bidi w:val="0"/>
                    <w:rPr>
                      <w:rFonts w:hint="eastAsia"/>
                      <w:color w:val="auto"/>
                    </w:rPr>
                  </w:pPr>
                  <w:r>
                    <w:rPr>
                      <w:rFonts w:hint="eastAsia"/>
                      <w:color w:val="auto"/>
                      <w:lang w:val="en-US" w:eastAsia="zh-CN"/>
                    </w:rPr>
                    <w:t>标准限值</w:t>
                  </w:r>
                </w:p>
              </w:tc>
              <w:tc>
                <w:tcPr>
                  <w:tcW w:w="479" w:type="pct"/>
                  <w:vMerge w:val="restart"/>
                  <w:tcBorders>
                    <w:tl2br w:val="nil"/>
                    <w:tr2bl w:val="nil"/>
                  </w:tcBorders>
                  <w:shd w:val="clear" w:color="auto" w:fill="auto"/>
                  <w:noWrap/>
                  <w:tcMar>
                    <w:top w:w="0" w:type="dxa"/>
                    <w:left w:w="0" w:type="dxa"/>
                    <w:bottom w:w="0" w:type="dxa"/>
                    <w:right w:w="0" w:type="dxa"/>
                  </w:tcMar>
                  <w:vAlign w:val="center"/>
                </w:tcPr>
                <w:p w14:paraId="08CB6F8C">
                  <w:pPr>
                    <w:pStyle w:val="15"/>
                    <w:bidi w:val="0"/>
                    <w:rPr>
                      <w:rFonts w:hint="eastAsia"/>
                      <w:color w:val="auto"/>
                      <w:lang w:val="en-US" w:eastAsia="zh-CN"/>
                    </w:rPr>
                  </w:pPr>
                  <w:r>
                    <w:rPr>
                      <w:rFonts w:hint="eastAsia"/>
                      <w:color w:val="auto"/>
                      <w:lang w:val="en-US" w:eastAsia="zh-CN"/>
                    </w:rPr>
                    <w:t>本项目执</w:t>
                  </w:r>
                </w:p>
                <w:p w14:paraId="3676FF5F">
                  <w:pPr>
                    <w:pStyle w:val="15"/>
                    <w:bidi w:val="0"/>
                    <w:rPr>
                      <w:rFonts w:hint="eastAsia"/>
                      <w:color w:val="auto"/>
                    </w:rPr>
                  </w:pPr>
                  <w:r>
                    <w:rPr>
                      <w:rFonts w:hint="eastAsia"/>
                      <w:color w:val="auto"/>
                      <w:lang w:val="en-US" w:eastAsia="zh-CN"/>
                    </w:rPr>
                    <w:t>行限值</w:t>
                  </w:r>
                </w:p>
              </w:tc>
            </w:tr>
            <w:tr w14:paraId="7064EE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505" w:type="pct"/>
                  <w:vMerge w:val="continue"/>
                  <w:tcBorders>
                    <w:tl2br w:val="nil"/>
                    <w:tr2bl w:val="nil"/>
                  </w:tcBorders>
                  <w:shd w:val="clear" w:color="auto" w:fill="auto"/>
                  <w:tcMar>
                    <w:top w:w="0" w:type="dxa"/>
                    <w:left w:w="0" w:type="dxa"/>
                    <w:bottom w:w="0" w:type="dxa"/>
                    <w:right w:w="0" w:type="dxa"/>
                  </w:tcMar>
                  <w:vAlign w:val="center"/>
                </w:tcPr>
                <w:p w14:paraId="5729673E">
                  <w:pPr>
                    <w:pStyle w:val="15"/>
                    <w:bidi w:val="0"/>
                    <w:rPr>
                      <w:rFonts w:hint="eastAsia"/>
                      <w:color w:val="auto"/>
                    </w:rPr>
                  </w:pPr>
                </w:p>
              </w:tc>
              <w:tc>
                <w:tcPr>
                  <w:tcW w:w="148" w:type="pct"/>
                  <w:vMerge w:val="continue"/>
                  <w:tcBorders>
                    <w:tl2br w:val="nil"/>
                    <w:tr2bl w:val="nil"/>
                  </w:tcBorders>
                  <w:shd w:val="clear" w:color="auto" w:fill="auto"/>
                  <w:tcMar>
                    <w:top w:w="0" w:type="dxa"/>
                    <w:left w:w="0" w:type="dxa"/>
                    <w:bottom w:w="0" w:type="dxa"/>
                    <w:right w:w="0" w:type="dxa"/>
                  </w:tcMar>
                  <w:vAlign w:val="center"/>
                </w:tcPr>
                <w:p w14:paraId="7A0E6674">
                  <w:pPr>
                    <w:pStyle w:val="15"/>
                    <w:bidi w:val="0"/>
                    <w:rPr>
                      <w:rFonts w:hint="eastAsia"/>
                      <w:color w:val="auto"/>
                    </w:rPr>
                  </w:pPr>
                </w:p>
              </w:tc>
              <w:tc>
                <w:tcPr>
                  <w:tcW w:w="578" w:type="pct"/>
                  <w:vMerge w:val="continue"/>
                  <w:tcBorders>
                    <w:tl2br w:val="nil"/>
                    <w:tr2bl w:val="nil"/>
                  </w:tcBorders>
                  <w:shd w:val="clear" w:color="auto" w:fill="auto"/>
                  <w:tcMar>
                    <w:top w:w="0" w:type="dxa"/>
                    <w:left w:w="0" w:type="dxa"/>
                    <w:bottom w:w="0" w:type="dxa"/>
                    <w:right w:w="0" w:type="dxa"/>
                  </w:tcMar>
                  <w:vAlign w:val="center"/>
                </w:tcPr>
                <w:p w14:paraId="64DFA7B2">
                  <w:pPr>
                    <w:pStyle w:val="15"/>
                    <w:bidi w:val="0"/>
                    <w:rPr>
                      <w:rFonts w:hint="eastAsia"/>
                      <w:color w:val="auto"/>
                    </w:rPr>
                  </w:pPr>
                </w:p>
              </w:tc>
              <w:tc>
                <w:tcPr>
                  <w:tcW w:w="361" w:type="pct"/>
                  <w:vMerge w:val="continue"/>
                  <w:tcBorders>
                    <w:tl2br w:val="nil"/>
                    <w:tr2bl w:val="nil"/>
                  </w:tcBorders>
                  <w:shd w:val="clear" w:color="auto" w:fill="auto"/>
                  <w:tcMar>
                    <w:top w:w="0" w:type="dxa"/>
                    <w:left w:w="0" w:type="dxa"/>
                    <w:bottom w:w="0" w:type="dxa"/>
                    <w:right w:w="0" w:type="dxa"/>
                  </w:tcMar>
                  <w:vAlign w:val="center"/>
                </w:tcPr>
                <w:p w14:paraId="34C4F855">
                  <w:pPr>
                    <w:pStyle w:val="15"/>
                    <w:bidi w:val="0"/>
                    <w:rPr>
                      <w:rFonts w:hint="eastAsia"/>
                      <w:color w:val="auto"/>
                    </w:rPr>
                  </w:pPr>
                </w:p>
              </w:tc>
              <w:tc>
                <w:tcPr>
                  <w:tcW w:w="1120" w:type="pct"/>
                  <w:tcBorders>
                    <w:tl2br w:val="nil"/>
                    <w:tr2bl w:val="nil"/>
                  </w:tcBorders>
                  <w:shd w:val="clear" w:color="auto" w:fill="auto"/>
                  <w:tcMar>
                    <w:top w:w="0" w:type="dxa"/>
                    <w:left w:w="0" w:type="dxa"/>
                    <w:bottom w:w="0" w:type="dxa"/>
                    <w:right w:w="0" w:type="dxa"/>
                  </w:tcMar>
                  <w:vAlign w:val="center"/>
                </w:tcPr>
                <w:p w14:paraId="4CEC7991">
                  <w:pPr>
                    <w:pStyle w:val="15"/>
                    <w:bidi w:val="0"/>
                    <w:rPr>
                      <w:rFonts w:hint="eastAsia"/>
                      <w:color w:val="auto"/>
                    </w:rPr>
                  </w:pPr>
                  <w:r>
                    <w:rPr>
                      <w:rFonts w:hint="eastAsia"/>
                      <w:color w:val="auto"/>
                      <w:lang w:val="en-US" w:eastAsia="zh-CN"/>
                    </w:rPr>
                    <w:t>《农药工业水污染物排放标准》（GB 21523—2024）间接排放</w:t>
                  </w:r>
                </w:p>
              </w:tc>
              <w:tc>
                <w:tcPr>
                  <w:tcW w:w="1329" w:type="pct"/>
                  <w:tcBorders>
                    <w:tl2br w:val="nil"/>
                    <w:tr2bl w:val="nil"/>
                  </w:tcBorders>
                  <w:shd w:val="clear" w:color="auto" w:fill="auto"/>
                  <w:tcMar>
                    <w:top w:w="0" w:type="dxa"/>
                    <w:left w:w="0" w:type="dxa"/>
                    <w:bottom w:w="0" w:type="dxa"/>
                    <w:right w:w="0" w:type="dxa"/>
                  </w:tcMar>
                  <w:vAlign w:val="center"/>
                </w:tcPr>
                <w:p w14:paraId="30373CBA">
                  <w:pPr>
                    <w:pStyle w:val="15"/>
                    <w:bidi w:val="0"/>
                    <w:rPr>
                      <w:rFonts w:hint="eastAsia"/>
                      <w:color w:val="auto"/>
                    </w:rPr>
                  </w:pPr>
                  <w:r>
                    <w:rPr>
                      <w:rFonts w:hint="eastAsia"/>
                      <w:color w:val="auto"/>
                      <w:lang w:val="en-US" w:eastAsia="zh-CN"/>
                    </w:rPr>
                    <w:t>《污水综合排放标准》（GB8978-1996）表4三级标准</w:t>
                  </w:r>
                </w:p>
              </w:tc>
              <w:tc>
                <w:tcPr>
                  <w:tcW w:w="477" w:type="pct"/>
                  <w:tcBorders>
                    <w:tl2br w:val="nil"/>
                    <w:tr2bl w:val="nil"/>
                  </w:tcBorders>
                  <w:shd w:val="clear" w:color="auto" w:fill="auto"/>
                  <w:tcMar>
                    <w:top w:w="0" w:type="dxa"/>
                    <w:left w:w="0" w:type="dxa"/>
                    <w:bottom w:w="0" w:type="dxa"/>
                    <w:right w:w="0" w:type="dxa"/>
                  </w:tcMar>
                  <w:vAlign w:val="center"/>
                </w:tcPr>
                <w:p w14:paraId="5B6CDF6A">
                  <w:pPr>
                    <w:pStyle w:val="15"/>
                    <w:bidi w:val="0"/>
                    <w:rPr>
                      <w:rFonts w:hint="eastAsia"/>
                      <w:color w:val="auto"/>
                    </w:rPr>
                  </w:pPr>
                  <w:r>
                    <w:rPr>
                      <w:rFonts w:hint="eastAsia"/>
                      <w:color w:val="auto"/>
                      <w:lang w:val="en-US" w:eastAsia="zh-CN"/>
                    </w:rPr>
                    <w:t>园区污水处理厂协议限值</w:t>
                  </w:r>
                </w:p>
              </w:tc>
              <w:tc>
                <w:tcPr>
                  <w:tcW w:w="479" w:type="pct"/>
                  <w:vMerge w:val="continue"/>
                  <w:tcBorders>
                    <w:tl2br w:val="nil"/>
                    <w:tr2bl w:val="nil"/>
                  </w:tcBorders>
                  <w:shd w:val="clear" w:color="auto" w:fill="auto"/>
                  <w:noWrap/>
                  <w:tcMar>
                    <w:top w:w="0" w:type="dxa"/>
                    <w:left w:w="0" w:type="dxa"/>
                    <w:bottom w:w="0" w:type="dxa"/>
                    <w:right w:w="0" w:type="dxa"/>
                  </w:tcMar>
                  <w:vAlign w:val="center"/>
                </w:tcPr>
                <w:p w14:paraId="3871D2DA">
                  <w:pPr>
                    <w:pStyle w:val="15"/>
                    <w:bidi w:val="0"/>
                    <w:rPr>
                      <w:rFonts w:hint="eastAsia"/>
                      <w:color w:val="auto"/>
                    </w:rPr>
                  </w:pPr>
                </w:p>
              </w:tc>
            </w:tr>
            <w:tr w14:paraId="044412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restart"/>
                  <w:tcBorders>
                    <w:tl2br w:val="nil"/>
                    <w:tr2bl w:val="nil"/>
                  </w:tcBorders>
                  <w:shd w:val="clear" w:color="auto" w:fill="auto"/>
                  <w:tcMar>
                    <w:top w:w="0" w:type="dxa"/>
                    <w:left w:w="0" w:type="dxa"/>
                    <w:bottom w:w="0" w:type="dxa"/>
                    <w:right w:w="0" w:type="dxa"/>
                  </w:tcMar>
                  <w:vAlign w:val="center"/>
                </w:tcPr>
                <w:p w14:paraId="0736FE99">
                  <w:pPr>
                    <w:pStyle w:val="15"/>
                    <w:bidi w:val="0"/>
                    <w:rPr>
                      <w:rFonts w:hint="eastAsia"/>
                      <w:color w:val="auto"/>
                      <w:lang w:val="en-US" w:eastAsia="zh-CN"/>
                    </w:rPr>
                  </w:pPr>
                  <w:r>
                    <w:rPr>
                      <w:rFonts w:hint="eastAsia"/>
                      <w:color w:val="auto"/>
                      <w:lang w:val="en-US" w:eastAsia="zh-CN"/>
                    </w:rPr>
                    <w:t>DW001</w:t>
                  </w:r>
                </w:p>
                <w:p w14:paraId="4C201E09">
                  <w:pPr>
                    <w:pStyle w:val="15"/>
                    <w:bidi w:val="0"/>
                    <w:rPr>
                      <w:rFonts w:hint="eastAsia"/>
                      <w:color w:val="auto"/>
                      <w:lang w:val="en-US" w:eastAsia="zh-CN"/>
                    </w:rPr>
                  </w:pPr>
                  <w:r>
                    <w:rPr>
                      <w:rFonts w:hint="eastAsia"/>
                      <w:color w:val="auto"/>
                      <w:lang w:val="en-US" w:eastAsia="zh-CN"/>
                    </w:rPr>
                    <w:t>污水处理</w:t>
                  </w:r>
                </w:p>
                <w:p w14:paraId="5AABCA75">
                  <w:pPr>
                    <w:pStyle w:val="15"/>
                    <w:bidi w:val="0"/>
                    <w:rPr>
                      <w:rFonts w:hint="eastAsia"/>
                      <w:color w:val="auto"/>
                    </w:rPr>
                  </w:pPr>
                  <w:r>
                    <w:rPr>
                      <w:rFonts w:hint="eastAsia"/>
                      <w:color w:val="auto"/>
                      <w:lang w:val="en-US" w:eastAsia="zh-CN"/>
                    </w:rPr>
                    <w:t>站排放口</w:t>
                  </w:r>
                </w:p>
              </w:tc>
              <w:tc>
                <w:tcPr>
                  <w:tcW w:w="148" w:type="pct"/>
                  <w:tcBorders>
                    <w:tl2br w:val="nil"/>
                    <w:tr2bl w:val="nil"/>
                  </w:tcBorders>
                  <w:shd w:val="clear" w:color="auto" w:fill="auto"/>
                  <w:tcMar>
                    <w:top w:w="0" w:type="dxa"/>
                    <w:left w:w="0" w:type="dxa"/>
                    <w:bottom w:w="0" w:type="dxa"/>
                    <w:right w:w="0" w:type="dxa"/>
                  </w:tcMar>
                  <w:vAlign w:val="center"/>
                </w:tcPr>
                <w:p w14:paraId="3D0513BC">
                  <w:pPr>
                    <w:pStyle w:val="15"/>
                    <w:bidi w:val="0"/>
                    <w:rPr>
                      <w:rFonts w:hint="eastAsia"/>
                      <w:color w:val="auto"/>
                    </w:rPr>
                  </w:pPr>
                  <w:r>
                    <w:rPr>
                      <w:rFonts w:hint="eastAsia"/>
                      <w:color w:val="auto"/>
                      <w:lang w:val="en-US" w:eastAsia="zh-CN"/>
                    </w:rPr>
                    <w:t>1</w:t>
                  </w:r>
                </w:p>
              </w:tc>
              <w:tc>
                <w:tcPr>
                  <w:tcW w:w="578" w:type="pct"/>
                  <w:tcBorders>
                    <w:tl2br w:val="nil"/>
                    <w:tr2bl w:val="nil"/>
                  </w:tcBorders>
                  <w:shd w:val="clear" w:color="auto" w:fill="auto"/>
                  <w:tcMar>
                    <w:top w:w="0" w:type="dxa"/>
                    <w:left w:w="0" w:type="dxa"/>
                    <w:bottom w:w="0" w:type="dxa"/>
                    <w:right w:w="0" w:type="dxa"/>
                  </w:tcMar>
                  <w:vAlign w:val="center"/>
                </w:tcPr>
                <w:p w14:paraId="2CB348D6">
                  <w:pPr>
                    <w:pStyle w:val="15"/>
                    <w:bidi w:val="0"/>
                    <w:rPr>
                      <w:rFonts w:hint="eastAsia"/>
                      <w:color w:val="auto"/>
                    </w:rPr>
                  </w:pPr>
                  <w:r>
                    <w:rPr>
                      <w:rFonts w:hint="eastAsia"/>
                      <w:color w:val="auto"/>
                      <w:lang w:val="en-US" w:eastAsia="zh-CN"/>
                    </w:rPr>
                    <w:t>pH</w:t>
                  </w:r>
                </w:p>
              </w:tc>
              <w:tc>
                <w:tcPr>
                  <w:tcW w:w="361" w:type="pct"/>
                  <w:tcBorders>
                    <w:tl2br w:val="nil"/>
                    <w:tr2bl w:val="nil"/>
                  </w:tcBorders>
                  <w:shd w:val="clear" w:color="auto" w:fill="auto"/>
                  <w:tcMar>
                    <w:top w:w="0" w:type="dxa"/>
                    <w:left w:w="0" w:type="dxa"/>
                    <w:bottom w:w="0" w:type="dxa"/>
                    <w:right w:w="0" w:type="dxa"/>
                  </w:tcMar>
                  <w:vAlign w:val="center"/>
                </w:tcPr>
                <w:p w14:paraId="10C013DB">
                  <w:pPr>
                    <w:pStyle w:val="15"/>
                    <w:bidi w:val="0"/>
                    <w:rPr>
                      <w:rFonts w:hint="eastAsia"/>
                      <w:color w:val="auto"/>
                    </w:rPr>
                  </w:pPr>
                  <w:r>
                    <w:rPr>
                      <w:rFonts w:hint="eastAsia"/>
                      <w:color w:val="auto"/>
                      <w:lang w:val="en-US" w:eastAsia="zh-CN"/>
                    </w:rPr>
                    <w:t>无量纲</w:t>
                  </w:r>
                </w:p>
              </w:tc>
              <w:tc>
                <w:tcPr>
                  <w:tcW w:w="1120" w:type="pct"/>
                  <w:tcBorders>
                    <w:tl2br w:val="nil"/>
                    <w:tr2bl w:val="nil"/>
                  </w:tcBorders>
                  <w:shd w:val="clear" w:color="auto" w:fill="auto"/>
                  <w:tcMar>
                    <w:top w:w="0" w:type="dxa"/>
                    <w:left w:w="0" w:type="dxa"/>
                    <w:bottom w:w="0" w:type="dxa"/>
                    <w:right w:w="0" w:type="dxa"/>
                  </w:tcMar>
                  <w:vAlign w:val="center"/>
                </w:tcPr>
                <w:p w14:paraId="5240F7D0">
                  <w:pPr>
                    <w:pStyle w:val="15"/>
                    <w:bidi w:val="0"/>
                    <w:rPr>
                      <w:rFonts w:hint="eastAsia"/>
                      <w:color w:val="auto"/>
                    </w:rPr>
                  </w:pPr>
                  <w:r>
                    <w:rPr>
                      <w:rFonts w:hint="eastAsia"/>
                      <w:color w:val="auto"/>
                      <w:lang w:val="en-US" w:eastAsia="zh-CN"/>
                    </w:rPr>
                    <w:t>6~9</w:t>
                  </w:r>
                </w:p>
              </w:tc>
              <w:tc>
                <w:tcPr>
                  <w:tcW w:w="1329" w:type="pct"/>
                  <w:tcBorders>
                    <w:tl2br w:val="nil"/>
                    <w:tr2bl w:val="nil"/>
                  </w:tcBorders>
                  <w:shd w:val="clear" w:color="auto" w:fill="auto"/>
                  <w:tcMar>
                    <w:top w:w="0" w:type="dxa"/>
                    <w:left w:w="0" w:type="dxa"/>
                    <w:bottom w:w="0" w:type="dxa"/>
                    <w:right w:w="0" w:type="dxa"/>
                  </w:tcMar>
                  <w:vAlign w:val="center"/>
                </w:tcPr>
                <w:p w14:paraId="7047F7A5">
                  <w:pPr>
                    <w:pStyle w:val="15"/>
                    <w:bidi w:val="0"/>
                    <w:rPr>
                      <w:rFonts w:hint="eastAsia"/>
                      <w:color w:val="auto"/>
                    </w:rPr>
                  </w:pPr>
                  <w:r>
                    <w:rPr>
                      <w:rFonts w:hint="eastAsia"/>
                      <w:color w:val="auto"/>
                      <w:lang w:val="en-US" w:eastAsia="zh-CN"/>
                    </w:rPr>
                    <w:t>6~9</w:t>
                  </w:r>
                </w:p>
              </w:tc>
              <w:tc>
                <w:tcPr>
                  <w:tcW w:w="477" w:type="pct"/>
                  <w:tcBorders>
                    <w:tl2br w:val="nil"/>
                    <w:tr2bl w:val="nil"/>
                  </w:tcBorders>
                  <w:shd w:val="clear" w:color="auto" w:fill="auto"/>
                  <w:tcMar>
                    <w:top w:w="0" w:type="dxa"/>
                    <w:left w:w="0" w:type="dxa"/>
                    <w:bottom w:w="0" w:type="dxa"/>
                    <w:right w:w="0" w:type="dxa"/>
                  </w:tcMar>
                  <w:vAlign w:val="center"/>
                </w:tcPr>
                <w:p w14:paraId="563745AE">
                  <w:pPr>
                    <w:pStyle w:val="15"/>
                    <w:bidi w:val="0"/>
                    <w:rPr>
                      <w:rFonts w:hint="eastAsia"/>
                      <w:color w:val="auto"/>
                    </w:rPr>
                  </w:pPr>
                  <w:r>
                    <w:rPr>
                      <w:rFonts w:hint="eastAsia"/>
                      <w:color w:val="auto"/>
                      <w:lang w:val="en-US" w:eastAsia="zh-CN"/>
                    </w:rPr>
                    <w:t>6~9</w:t>
                  </w:r>
                </w:p>
              </w:tc>
              <w:tc>
                <w:tcPr>
                  <w:tcW w:w="479" w:type="pct"/>
                  <w:tcBorders>
                    <w:tl2br w:val="nil"/>
                    <w:tr2bl w:val="nil"/>
                  </w:tcBorders>
                  <w:shd w:val="clear" w:color="auto" w:fill="auto"/>
                  <w:noWrap/>
                  <w:tcMar>
                    <w:top w:w="0" w:type="dxa"/>
                    <w:left w:w="0" w:type="dxa"/>
                    <w:bottom w:w="0" w:type="dxa"/>
                    <w:right w:w="0" w:type="dxa"/>
                  </w:tcMar>
                  <w:vAlign w:val="center"/>
                </w:tcPr>
                <w:p w14:paraId="2C16E803">
                  <w:pPr>
                    <w:pStyle w:val="15"/>
                    <w:bidi w:val="0"/>
                    <w:rPr>
                      <w:rFonts w:hint="eastAsia"/>
                      <w:color w:val="auto"/>
                    </w:rPr>
                  </w:pPr>
                  <w:r>
                    <w:rPr>
                      <w:rFonts w:hint="eastAsia"/>
                      <w:color w:val="auto"/>
                      <w:lang w:val="en-US" w:eastAsia="zh-CN"/>
                    </w:rPr>
                    <w:t>6~9</w:t>
                  </w:r>
                </w:p>
              </w:tc>
            </w:tr>
            <w:tr w14:paraId="70FCE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11B74C11">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364C3BDD">
                  <w:pPr>
                    <w:pStyle w:val="15"/>
                    <w:bidi w:val="0"/>
                    <w:rPr>
                      <w:rFonts w:hint="eastAsia"/>
                      <w:color w:val="auto"/>
                    </w:rPr>
                  </w:pPr>
                  <w:r>
                    <w:rPr>
                      <w:rFonts w:hint="eastAsia"/>
                      <w:color w:val="auto"/>
                      <w:lang w:val="en-US" w:eastAsia="zh-CN"/>
                    </w:rPr>
                    <w:t>2</w:t>
                  </w:r>
                </w:p>
              </w:tc>
              <w:tc>
                <w:tcPr>
                  <w:tcW w:w="578" w:type="pct"/>
                  <w:tcBorders>
                    <w:tl2br w:val="nil"/>
                    <w:tr2bl w:val="nil"/>
                  </w:tcBorders>
                  <w:shd w:val="clear" w:color="auto" w:fill="auto"/>
                  <w:tcMar>
                    <w:top w:w="0" w:type="dxa"/>
                    <w:left w:w="0" w:type="dxa"/>
                    <w:bottom w:w="0" w:type="dxa"/>
                    <w:right w:w="0" w:type="dxa"/>
                  </w:tcMar>
                  <w:vAlign w:val="center"/>
                </w:tcPr>
                <w:p w14:paraId="7833C2DA">
                  <w:pPr>
                    <w:pStyle w:val="15"/>
                    <w:bidi w:val="0"/>
                    <w:rPr>
                      <w:rFonts w:hint="eastAsia"/>
                      <w:color w:val="auto"/>
                    </w:rPr>
                  </w:pPr>
                  <w:r>
                    <w:rPr>
                      <w:rFonts w:hint="eastAsia"/>
                      <w:color w:val="auto"/>
                      <w:lang w:val="en-US" w:eastAsia="zh-CN"/>
                    </w:rPr>
                    <w:t>悬浮物</w:t>
                  </w:r>
                </w:p>
              </w:tc>
              <w:tc>
                <w:tcPr>
                  <w:tcW w:w="361" w:type="pct"/>
                  <w:tcBorders>
                    <w:tl2br w:val="nil"/>
                    <w:tr2bl w:val="nil"/>
                  </w:tcBorders>
                  <w:shd w:val="clear" w:color="auto" w:fill="auto"/>
                  <w:tcMar>
                    <w:top w:w="0" w:type="dxa"/>
                    <w:left w:w="0" w:type="dxa"/>
                    <w:bottom w:w="0" w:type="dxa"/>
                    <w:right w:w="0" w:type="dxa"/>
                  </w:tcMar>
                  <w:vAlign w:val="center"/>
                </w:tcPr>
                <w:p w14:paraId="7A1933DA">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7A259D9F">
                  <w:pPr>
                    <w:pStyle w:val="15"/>
                    <w:bidi w:val="0"/>
                    <w:rPr>
                      <w:rFonts w:hint="eastAsia"/>
                      <w:color w:val="auto"/>
                    </w:rPr>
                  </w:pPr>
                  <w:r>
                    <w:rPr>
                      <w:rFonts w:hint="eastAsia"/>
                      <w:color w:val="auto"/>
                      <w:lang w:val="en-US" w:eastAsia="zh-CN"/>
                    </w:rPr>
                    <w:t>400</w:t>
                  </w:r>
                </w:p>
              </w:tc>
              <w:tc>
                <w:tcPr>
                  <w:tcW w:w="1329" w:type="pct"/>
                  <w:tcBorders>
                    <w:tl2br w:val="nil"/>
                    <w:tr2bl w:val="nil"/>
                  </w:tcBorders>
                  <w:shd w:val="clear" w:color="auto" w:fill="auto"/>
                  <w:tcMar>
                    <w:top w:w="0" w:type="dxa"/>
                    <w:left w:w="0" w:type="dxa"/>
                    <w:bottom w:w="0" w:type="dxa"/>
                    <w:right w:w="0" w:type="dxa"/>
                  </w:tcMar>
                  <w:vAlign w:val="center"/>
                </w:tcPr>
                <w:p w14:paraId="4ED522F3">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433BC483">
                  <w:pPr>
                    <w:pStyle w:val="15"/>
                    <w:bidi w:val="0"/>
                    <w:rPr>
                      <w:rFonts w:hint="eastAsia"/>
                      <w:color w:val="auto"/>
                    </w:rPr>
                  </w:pPr>
                  <w:r>
                    <w:rPr>
                      <w:rFonts w:hint="eastAsia"/>
                      <w:color w:val="auto"/>
                      <w:lang w:val="en-US" w:eastAsia="zh-CN"/>
                    </w:rPr>
                    <w:t>400</w:t>
                  </w:r>
                </w:p>
              </w:tc>
              <w:tc>
                <w:tcPr>
                  <w:tcW w:w="479" w:type="pct"/>
                  <w:tcBorders>
                    <w:tl2br w:val="nil"/>
                    <w:tr2bl w:val="nil"/>
                  </w:tcBorders>
                  <w:shd w:val="clear" w:color="auto" w:fill="auto"/>
                  <w:noWrap/>
                  <w:tcMar>
                    <w:top w:w="0" w:type="dxa"/>
                    <w:left w:w="0" w:type="dxa"/>
                    <w:bottom w:w="0" w:type="dxa"/>
                    <w:right w:w="0" w:type="dxa"/>
                  </w:tcMar>
                  <w:vAlign w:val="center"/>
                </w:tcPr>
                <w:p w14:paraId="39960BDD">
                  <w:pPr>
                    <w:pStyle w:val="15"/>
                    <w:bidi w:val="0"/>
                    <w:rPr>
                      <w:rFonts w:hint="eastAsia"/>
                      <w:color w:val="auto"/>
                    </w:rPr>
                  </w:pPr>
                  <w:r>
                    <w:rPr>
                      <w:rFonts w:hint="eastAsia"/>
                      <w:color w:val="auto"/>
                      <w:lang w:val="en-US" w:eastAsia="zh-CN"/>
                    </w:rPr>
                    <w:t>400</w:t>
                  </w:r>
                </w:p>
              </w:tc>
            </w:tr>
            <w:tr w14:paraId="7CD98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4BACA690">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157D17B6">
                  <w:pPr>
                    <w:pStyle w:val="15"/>
                    <w:bidi w:val="0"/>
                    <w:rPr>
                      <w:rFonts w:hint="eastAsia"/>
                      <w:color w:val="auto"/>
                    </w:rPr>
                  </w:pPr>
                  <w:r>
                    <w:rPr>
                      <w:rFonts w:hint="eastAsia"/>
                      <w:color w:val="auto"/>
                      <w:lang w:val="en-US" w:eastAsia="zh-CN"/>
                    </w:rPr>
                    <w:t>3</w:t>
                  </w:r>
                </w:p>
              </w:tc>
              <w:tc>
                <w:tcPr>
                  <w:tcW w:w="578" w:type="pct"/>
                  <w:tcBorders>
                    <w:tl2br w:val="nil"/>
                    <w:tr2bl w:val="nil"/>
                  </w:tcBorders>
                  <w:shd w:val="clear" w:color="auto" w:fill="auto"/>
                  <w:tcMar>
                    <w:top w:w="0" w:type="dxa"/>
                    <w:left w:w="0" w:type="dxa"/>
                    <w:bottom w:w="0" w:type="dxa"/>
                    <w:right w:w="0" w:type="dxa"/>
                  </w:tcMar>
                  <w:vAlign w:val="center"/>
                </w:tcPr>
                <w:p w14:paraId="6A7079C4">
                  <w:pPr>
                    <w:pStyle w:val="15"/>
                    <w:bidi w:val="0"/>
                    <w:rPr>
                      <w:rFonts w:hint="eastAsia"/>
                      <w:color w:val="auto"/>
                    </w:rPr>
                  </w:pPr>
                  <w:r>
                    <w:rPr>
                      <w:rFonts w:hint="eastAsia"/>
                      <w:color w:val="auto"/>
                      <w:lang w:val="en-US" w:eastAsia="zh-CN"/>
                    </w:rPr>
                    <w:t>COD</w:t>
                  </w:r>
                  <w:r>
                    <w:rPr>
                      <w:rFonts w:hint="eastAsia"/>
                      <w:color w:val="auto"/>
                      <w:vertAlign w:val="subscript"/>
                      <w:lang w:val="en-US" w:eastAsia="zh-CN"/>
                    </w:rPr>
                    <w:t>Cr</w:t>
                  </w:r>
                </w:p>
              </w:tc>
              <w:tc>
                <w:tcPr>
                  <w:tcW w:w="361" w:type="pct"/>
                  <w:tcBorders>
                    <w:tl2br w:val="nil"/>
                    <w:tr2bl w:val="nil"/>
                  </w:tcBorders>
                  <w:shd w:val="clear" w:color="auto" w:fill="auto"/>
                  <w:tcMar>
                    <w:top w:w="0" w:type="dxa"/>
                    <w:left w:w="0" w:type="dxa"/>
                    <w:bottom w:w="0" w:type="dxa"/>
                    <w:right w:w="0" w:type="dxa"/>
                  </w:tcMar>
                  <w:vAlign w:val="center"/>
                </w:tcPr>
                <w:p w14:paraId="6DAA3C2A">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2257D87">
                  <w:pPr>
                    <w:pStyle w:val="15"/>
                    <w:bidi w:val="0"/>
                    <w:rPr>
                      <w:rFonts w:hint="eastAsia"/>
                      <w:color w:val="auto"/>
                    </w:rPr>
                  </w:pPr>
                  <w:r>
                    <w:rPr>
                      <w:rFonts w:hint="eastAsia"/>
                      <w:color w:val="auto"/>
                      <w:lang w:val="en-US" w:eastAsia="zh-CN"/>
                    </w:rPr>
                    <w:t>500</w:t>
                  </w:r>
                </w:p>
              </w:tc>
              <w:tc>
                <w:tcPr>
                  <w:tcW w:w="1329" w:type="pct"/>
                  <w:tcBorders>
                    <w:tl2br w:val="nil"/>
                    <w:tr2bl w:val="nil"/>
                  </w:tcBorders>
                  <w:shd w:val="clear" w:color="auto" w:fill="auto"/>
                  <w:tcMar>
                    <w:top w:w="0" w:type="dxa"/>
                    <w:left w:w="0" w:type="dxa"/>
                    <w:bottom w:w="0" w:type="dxa"/>
                    <w:right w:w="0" w:type="dxa"/>
                  </w:tcMar>
                  <w:vAlign w:val="center"/>
                </w:tcPr>
                <w:p w14:paraId="1350F4BA">
                  <w:pPr>
                    <w:pStyle w:val="15"/>
                    <w:bidi w:val="0"/>
                    <w:rPr>
                      <w:rFonts w:hint="eastAsia"/>
                      <w:color w:val="auto"/>
                    </w:rPr>
                  </w:pPr>
                  <w:r>
                    <w:rPr>
                      <w:rFonts w:hint="eastAsia"/>
                      <w:color w:val="auto"/>
                      <w:lang w:val="en-US" w:eastAsia="zh-CN"/>
                    </w:rPr>
                    <w:t>500</w:t>
                  </w:r>
                </w:p>
              </w:tc>
              <w:tc>
                <w:tcPr>
                  <w:tcW w:w="477" w:type="pct"/>
                  <w:tcBorders>
                    <w:tl2br w:val="nil"/>
                    <w:tr2bl w:val="nil"/>
                  </w:tcBorders>
                  <w:shd w:val="clear" w:color="auto" w:fill="auto"/>
                  <w:tcMar>
                    <w:top w:w="0" w:type="dxa"/>
                    <w:left w:w="0" w:type="dxa"/>
                    <w:bottom w:w="0" w:type="dxa"/>
                    <w:right w:w="0" w:type="dxa"/>
                  </w:tcMar>
                  <w:vAlign w:val="center"/>
                </w:tcPr>
                <w:p w14:paraId="486F5351">
                  <w:pPr>
                    <w:pStyle w:val="15"/>
                    <w:bidi w:val="0"/>
                    <w:rPr>
                      <w:rFonts w:hint="eastAsia"/>
                      <w:color w:val="auto"/>
                    </w:rPr>
                  </w:pPr>
                  <w:r>
                    <w:rPr>
                      <w:rFonts w:hint="eastAsia"/>
                      <w:color w:val="auto"/>
                      <w:lang w:val="en-US" w:eastAsia="zh-CN"/>
                    </w:rPr>
                    <w:t>500</w:t>
                  </w:r>
                </w:p>
              </w:tc>
              <w:tc>
                <w:tcPr>
                  <w:tcW w:w="479" w:type="pct"/>
                  <w:tcBorders>
                    <w:tl2br w:val="nil"/>
                    <w:tr2bl w:val="nil"/>
                  </w:tcBorders>
                  <w:shd w:val="clear" w:color="auto" w:fill="auto"/>
                  <w:noWrap/>
                  <w:tcMar>
                    <w:top w:w="0" w:type="dxa"/>
                    <w:left w:w="0" w:type="dxa"/>
                    <w:bottom w:w="0" w:type="dxa"/>
                    <w:right w:w="0" w:type="dxa"/>
                  </w:tcMar>
                  <w:vAlign w:val="center"/>
                </w:tcPr>
                <w:p w14:paraId="465F1DF2">
                  <w:pPr>
                    <w:pStyle w:val="15"/>
                    <w:bidi w:val="0"/>
                    <w:rPr>
                      <w:rFonts w:hint="eastAsia"/>
                      <w:color w:val="auto"/>
                    </w:rPr>
                  </w:pPr>
                  <w:r>
                    <w:rPr>
                      <w:rFonts w:hint="eastAsia"/>
                      <w:color w:val="auto"/>
                      <w:lang w:val="en-US" w:eastAsia="zh-CN"/>
                    </w:rPr>
                    <w:t>500</w:t>
                  </w:r>
                </w:p>
              </w:tc>
            </w:tr>
            <w:tr w14:paraId="6F7D8B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53E7F214">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2F20F230">
                  <w:pPr>
                    <w:pStyle w:val="15"/>
                    <w:bidi w:val="0"/>
                    <w:rPr>
                      <w:rFonts w:hint="eastAsia"/>
                      <w:color w:val="auto"/>
                    </w:rPr>
                  </w:pPr>
                  <w:r>
                    <w:rPr>
                      <w:rFonts w:hint="eastAsia"/>
                      <w:color w:val="auto"/>
                      <w:lang w:val="en-US" w:eastAsia="zh-CN"/>
                    </w:rPr>
                    <w:t>4</w:t>
                  </w:r>
                </w:p>
              </w:tc>
              <w:tc>
                <w:tcPr>
                  <w:tcW w:w="578" w:type="pct"/>
                  <w:tcBorders>
                    <w:tl2br w:val="nil"/>
                    <w:tr2bl w:val="nil"/>
                  </w:tcBorders>
                  <w:shd w:val="clear" w:color="auto" w:fill="auto"/>
                  <w:tcMar>
                    <w:top w:w="0" w:type="dxa"/>
                    <w:left w:w="0" w:type="dxa"/>
                    <w:bottom w:w="0" w:type="dxa"/>
                    <w:right w:w="0" w:type="dxa"/>
                  </w:tcMar>
                  <w:vAlign w:val="center"/>
                </w:tcPr>
                <w:p w14:paraId="40643341">
                  <w:pPr>
                    <w:pStyle w:val="15"/>
                    <w:bidi w:val="0"/>
                    <w:rPr>
                      <w:rFonts w:hint="eastAsia"/>
                      <w:color w:val="auto"/>
                    </w:rPr>
                  </w:pPr>
                  <w:r>
                    <w:rPr>
                      <w:rFonts w:hint="eastAsia"/>
                      <w:color w:val="auto"/>
                      <w:lang w:val="en-US" w:eastAsia="zh-CN"/>
                    </w:rPr>
                    <w:t>BOD</w:t>
                  </w:r>
                  <w:r>
                    <w:rPr>
                      <w:rFonts w:hint="eastAsia"/>
                      <w:color w:val="auto"/>
                      <w:vertAlign w:val="subscript"/>
                      <w:lang w:val="en-US" w:eastAsia="zh-CN"/>
                    </w:rPr>
                    <w:t>5</w:t>
                  </w:r>
                </w:p>
              </w:tc>
              <w:tc>
                <w:tcPr>
                  <w:tcW w:w="361" w:type="pct"/>
                  <w:tcBorders>
                    <w:tl2br w:val="nil"/>
                    <w:tr2bl w:val="nil"/>
                  </w:tcBorders>
                  <w:shd w:val="clear" w:color="auto" w:fill="auto"/>
                  <w:tcMar>
                    <w:top w:w="0" w:type="dxa"/>
                    <w:left w:w="0" w:type="dxa"/>
                    <w:bottom w:w="0" w:type="dxa"/>
                    <w:right w:w="0" w:type="dxa"/>
                  </w:tcMar>
                  <w:vAlign w:val="center"/>
                </w:tcPr>
                <w:p w14:paraId="7F9DEEAF">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453BA304">
                  <w:pPr>
                    <w:pStyle w:val="15"/>
                    <w:bidi w:val="0"/>
                    <w:rPr>
                      <w:rFonts w:hint="eastAsia"/>
                      <w:color w:val="auto"/>
                    </w:rPr>
                  </w:pPr>
                  <w:r>
                    <w:rPr>
                      <w:rFonts w:hint="eastAsia"/>
                      <w:color w:val="auto"/>
                      <w:lang w:val="en-US" w:eastAsia="zh-CN"/>
                    </w:rPr>
                    <w:t>350</w:t>
                  </w:r>
                </w:p>
              </w:tc>
              <w:tc>
                <w:tcPr>
                  <w:tcW w:w="1329" w:type="pct"/>
                  <w:tcBorders>
                    <w:tl2br w:val="nil"/>
                    <w:tr2bl w:val="nil"/>
                  </w:tcBorders>
                  <w:shd w:val="clear" w:color="auto" w:fill="auto"/>
                  <w:tcMar>
                    <w:top w:w="0" w:type="dxa"/>
                    <w:left w:w="0" w:type="dxa"/>
                    <w:bottom w:w="0" w:type="dxa"/>
                    <w:right w:w="0" w:type="dxa"/>
                  </w:tcMar>
                  <w:vAlign w:val="center"/>
                </w:tcPr>
                <w:p w14:paraId="5C1C87E6">
                  <w:pPr>
                    <w:pStyle w:val="15"/>
                    <w:bidi w:val="0"/>
                    <w:rPr>
                      <w:rFonts w:hint="eastAsia"/>
                      <w:color w:val="auto"/>
                    </w:rPr>
                  </w:pPr>
                  <w:r>
                    <w:rPr>
                      <w:rFonts w:hint="eastAsia"/>
                      <w:color w:val="auto"/>
                      <w:lang w:val="en-US" w:eastAsia="zh-CN"/>
                    </w:rPr>
                    <w:t>300</w:t>
                  </w:r>
                </w:p>
              </w:tc>
              <w:tc>
                <w:tcPr>
                  <w:tcW w:w="477" w:type="pct"/>
                  <w:tcBorders>
                    <w:tl2br w:val="nil"/>
                    <w:tr2bl w:val="nil"/>
                  </w:tcBorders>
                  <w:shd w:val="clear" w:color="auto" w:fill="auto"/>
                  <w:tcMar>
                    <w:top w:w="0" w:type="dxa"/>
                    <w:left w:w="0" w:type="dxa"/>
                    <w:bottom w:w="0" w:type="dxa"/>
                    <w:right w:w="0" w:type="dxa"/>
                  </w:tcMar>
                  <w:vAlign w:val="center"/>
                </w:tcPr>
                <w:p w14:paraId="2BDFA9F4">
                  <w:pPr>
                    <w:pStyle w:val="15"/>
                    <w:bidi w:val="0"/>
                    <w:rPr>
                      <w:rFonts w:hint="eastAsia"/>
                      <w:color w:val="auto"/>
                    </w:rPr>
                  </w:pPr>
                  <w:r>
                    <w:rPr>
                      <w:rFonts w:hint="eastAsia"/>
                      <w:color w:val="auto"/>
                      <w:lang w:val="en-US" w:eastAsia="zh-CN"/>
                    </w:rPr>
                    <w:t>300</w:t>
                  </w:r>
                </w:p>
              </w:tc>
              <w:tc>
                <w:tcPr>
                  <w:tcW w:w="479" w:type="pct"/>
                  <w:tcBorders>
                    <w:tl2br w:val="nil"/>
                    <w:tr2bl w:val="nil"/>
                  </w:tcBorders>
                  <w:shd w:val="clear" w:color="auto" w:fill="auto"/>
                  <w:noWrap/>
                  <w:tcMar>
                    <w:top w:w="0" w:type="dxa"/>
                    <w:left w:w="0" w:type="dxa"/>
                    <w:bottom w:w="0" w:type="dxa"/>
                    <w:right w:w="0" w:type="dxa"/>
                  </w:tcMar>
                  <w:vAlign w:val="center"/>
                </w:tcPr>
                <w:p w14:paraId="116BF75B">
                  <w:pPr>
                    <w:pStyle w:val="15"/>
                    <w:bidi w:val="0"/>
                    <w:rPr>
                      <w:rFonts w:hint="eastAsia"/>
                      <w:color w:val="auto"/>
                    </w:rPr>
                  </w:pPr>
                  <w:r>
                    <w:rPr>
                      <w:rFonts w:hint="eastAsia"/>
                      <w:color w:val="auto"/>
                      <w:lang w:val="en-US" w:eastAsia="zh-CN"/>
                    </w:rPr>
                    <w:t>300</w:t>
                  </w:r>
                </w:p>
              </w:tc>
            </w:tr>
            <w:tr w14:paraId="7C8913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10A21876">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20578707">
                  <w:pPr>
                    <w:pStyle w:val="15"/>
                    <w:bidi w:val="0"/>
                    <w:rPr>
                      <w:rFonts w:hint="eastAsia"/>
                      <w:color w:val="auto"/>
                    </w:rPr>
                  </w:pPr>
                  <w:r>
                    <w:rPr>
                      <w:rFonts w:hint="eastAsia"/>
                      <w:color w:val="auto"/>
                      <w:lang w:val="en-US" w:eastAsia="zh-CN"/>
                    </w:rPr>
                    <w:t>5</w:t>
                  </w:r>
                </w:p>
              </w:tc>
              <w:tc>
                <w:tcPr>
                  <w:tcW w:w="578" w:type="pct"/>
                  <w:tcBorders>
                    <w:tl2br w:val="nil"/>
                    <w:tr2bl w:val="nil"/>
                  </w:tcBorders>
                  <w:shd w:val="clear" w:color="auto" w:fill="auto"/>
                  <w:tcMar>
                    <w:top w:w="0" w:type="dxa"/>
                    <w:left w:w="0" w:type="dxa"/>
                    <w:bottom w:w="0" w:type="dxa"/>
                    <w:right w:w="0" w:type="dxa"/>
                  </w:tcMar>
                  <w:vAlign w:val="center"/>
                </w:tcPr>
                <w:p w14:paraId="21918FFC">
                  <w:pPr>
                    <w:pStyle w:val="15"/>
                    <w:bidi w:val="0"/>
                    <w:rPr>
                      <w:rFonts w:hint="eastAsia"/>
                      <w:color w:val="auto"/>
                    </w:rPr>
                  </w:pPr>
                  <w:r>
                    <w:rPr>
                      <w:rFonts w:hint="eastAsia"/>
                      <w:color w:val="auto"/>
                      <w:lang w:val="en-US" w:eastAsia="zh-CN"/>
                    </w:rPr>
                    <w:t>色度</w:t>
                  </w:r>
                </w:p>
              </w:tc>
              <w:tc>
                <w:tcPr>
                  <w:tcW w:w="361" w:type="pct"/>
                  <w:tcBorders>
                    <w:tl2br w:val="nil"/>
                    <w:tr2bl w:val="nil"/>
                  </w:tcBorders>
                  <w:shd w:val="clear" w:color="auto" w:fill="auto"/>
                  <w:tcMar>
                    <w:top w:w="0" w:type="dxa"/>
                    <w:left w:w="0" w:type="dxa"/>
                    <w:bottom w:w="0" w:type="dxa"/>
                    <w:right w:w="0" w:type="dxa"/>
                  </w:tcMar>
                  <w:vAlign w:val="center"/>
                </w:tcPr>
                <w:p w14:paraId="46E023E5">
                  <w:pPr>
                    <w:pStyle w:val="15"/>
                    <w:bidi w:val="0"/>
                    <w:rPr>
                      <w:rFonts w:hint="eastAsia"/>
                      <w:color w:val="auto"/>
                    </w:rPr>
                  </w:pPr>
                  <w:r>
                    <w:rPr>
                      <w:rFonts w:hint="eastAsia"/>
                      <w:color w:val="auto"/>
                      <w:lang w:val="en-US" w:eastAsia="zh-CN"/>
                    </w:rPr>
                    <w:t>倍</w:t>
                  </w:r>
                </w:p>
              </w:tc>
              <w:tc>
                <w:tcPr>
                  <w:tcW w:w="1120" w:type="pct"/>
                  <w:tcBorders>
                    <w:tl2br w:val="nil"/>
                    <w:tr2bl w:val="nil"/>
                  </w:tcBorders>
                  <w:shd w:val="clear" w:color="auto" w:fill="auto"/>
                  <w:tcMar>
                    <w:top w:w="0" w:type="dxa"/>
                    <w:left w:w="0" w:type="dxa"/>
                    <w:bottom w:w="0" w:type="dxa"/>
                    <w:right w:w="0" w:type="dxa"/>
                  </w:tcMar>
                  <w:vAlign w:val="center"/>
                </w:tcPr>
                <w:p w14:paraId="3CF17122">
                  <w:pPr>
                    <w:pStyle w:val="15"/>
                    <w:bidi w:val="0"/>
                    <w:rPr>
                      <w:rFonts w:hint="eastAsia"/>
                      <w:color w:val="auto"/>
                    </w:rPr>
                  </w:pPr>
                  <w:r>
                    <w:rPr>
                      <w:rFonts w:hint="eastAsia"/>
                      <w:color w:val="auto"/>
                      <w:lang w:val="en-US" w:eastAsia="zh-CN"/>
                    </w:rPr>
                    <w:t>64</w:t>
                  </w:r>
                </w:p>
              </w:tc>
              <w:tc>
                <w:tcPr>
                  <w:tcW w:w="1329" w:type="pct"/>
                  <w:tcBorders>
                    <w:tl2br w:val="nil"/>
                    <w:tr2bl w:val="nil"/>
                  </w:tcBorders>
                  <w:shd w:val="clear" w:color="auto" w:fill="auto"/>
                  <w:tcMar>
                    <w:top w:w="0" w:type="dxa"/>
                    <w:left w:w="0" w:type="dxa"/>
                    <w:bottom w:w="0" w:type="dxa"/>
                    <w:right w:w="0" w:type="dxa"/>
                  </w:tcMar>
                  <w:vAlign w:val="center"/>
                </w:tcPr>
                <w:p w14:paraId="73261A08">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5D2322FC">
                  <w:pPr>
                    <w:pStyle w:val="15"/>
                    <w:bidi w:val="0"/>
                    <w:rPr>
                      <w:rFonts w:hint="eastAsia"/>
                      <w:color w:val="auto"/>
                    </w:rPr>
                  </w:pPr>
                  <w:r>
                    <w:rPr>
                      <w:rFonts w:hint="eastAsia"/>
                      <w:color w:val="auto"/>
                      <w:lang w:val="en-US" w:eastAsia="zh-CN"/>
                    </w:rPr>
                    <w:t>30</w:t>
                  </w:r>
                </w:p>
              </w:tc>
              <w:tc>
                <w:tcPr>
                  <w:tcW w:w="479" w:type="pct"/>
                  <w:tcBorders>
                    <w:tl2br w:val="nil"/>
                    <w:tr2bl w:val="nil"/>
                  </w:tcBorders>
                  <w:shd w:val="clear" w:color="auto" w:fill="auto"/>
                  <w:noWrap/>
                  <w:tcMar>
                    <w:top w:w="0" w:type="dxa"/>
                    <w:left w:w="0" w:type="dxa"/>
                    <w:bottom w:w="0" w:type="dxa"/>
                    <w:right w:w="0" w:type="dxa"/>
                  </w:tcMar>
                  <w:vAlign w:val="center"/>
                </w:tcPr>
                <w:p w14:paraId="6179A727">
                  <w:pPr>
                    <w:pStyle w:val="15"/>
                    <w:bidi w:val="0"/>
                    <w:rPr>
                      <w:rFonts w:hint="eastAsia"/>
                      <w:color w:val="auto"/>
                    </w:rPr>
                  </w:pPr>
                  <w:r>
                    <w:rPr>
                      <w:rFonts w:hint="eastAsia"/>
                      <w:color w:val="auto"/>
                      <w:lang w:val="en-US" w:eastAsia="zh-CN"/>
                    </w:rPr>
                    <w:t>30</w:t>
                  </w:r>
                </w:p>
              </w:tc>
            </w:tr>
            <w:tr w14:paraId="60F70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1095C5AE">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3D372806">
                  <w:pPr>
                    <w:pStyle w:val="15"/>
                    <w:bidi w:val="0"/>
                    <w:rPr>
                      <w:rFonts w:hint="eastAsia"/>
                      <w:color w:val="auto"/>
                    </w:rPr>
                  </w:pPr>
                  <w:r>
                    <w:rPr>
                      <w:rFonts w:hint="eastAsia"/>
                      <w:color w:val="auto"/>
                      <w:lang w:val="en-US" w:eastAsia="zh-CN"/>
                    </w:rPr>
                    <w:t>6</w:t>
                  </w:r>
                </w:p>
              </w:tc>
              <w:tc>
                <w:tcPr>
                  <w:tcW w:w="578" w:type="pct"/>
                  <w:tcBorders>
                    <w:tl2br w:val="nil"/>
                    <w:tr2bl w:val="nil"/>
                  </w:tcBorders>
                  <w:shd w:val="clear" w:color="auto" w:fill="auto"/>
                  <w:tcMar>
                    <w:top w:w="0" w:type="dxa"/>
                    <w:left w:w="0" w:type="dxa"/>
                    <w:bottom w:w="0" w:type="dxa"/>
                    <w:right w:w="0" w:type="dxa"/>
                  </w:tcMar>
                  <w:vAlign w:val="center"/>
                </w:tcPr>
                <w:p w14:paraId="50B5E627">
                  <w:pPr>
                    <w:pStyle w:val="15"/>
                    <w:bidi w:val="0"/>
                    <w:rPr>
                      <w:rFonts w:hint="eastAsia"/>
                      <w:color w:val="auto"/>
                    </w:rPr>
                  </w:pPr>
                  <w:r>
                    <w:rPr>
                      <w:rFonts w:hint="eastAsia"/>
                      <w:color w:val="auto"/>
                      <w:lang w:val="en-US" w:eastAsia="zh-CN"/>
                    </w:rPr>
                    <w:t>总磷</w:t>
                  </w:r>
                </w:p>
              </w:tc>
              <w:tc>
                <w:tcPr>
                  <w:tcW w:w="361" w:type="pct"/>
                  <w:tcBorders>
                    <w:tl2br w:val="nil"/>
                    <w:tr2bl w:val="nil"/>
                  </w:tcBorders>
                  <w:shd w:val="clear" w:color="auto" w:fill="auto"/>
                  <w:tcMar>
                    <w:top w:w="0" w:type="dxa"/>
                    <w:left w:w="0" w:type="dxa"/>
                    <w:bottom w:w="0" w:type="dxa"/>
                    <w:right w:w="0" w:type="dxa"/>
                  </w:tcMar>
                  <w:vAlign w:val="center"/>
                </w:tcPr>
                <w:p w14:paraId="645D4ADC">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A296E91">
                  <w:pPr>
                    <w:pStyle w:val="15"/>
                    <w:bidi w:val="0"/>
                    <w:rPr>
                      <w:rFonts w:hint="eastAsia"/>
                      <w:color w:val="auto"/>
                    </w:rPr>
                  </w:pPr>
                  <w:r>
                    <w:rPr>
                      <w:rFonts w:hint="eastAsia"/>
                      <w:color w:val="auto"/>
                      <w:lang w:val="en-US" w:eastAsia="zh-CN"/>
                    </w:rPr>
                    <w:t>8</w:t>
                  </w:r>
                </w:p>
              </w:tc>
              <w:tc>
                <w:tcPr>
                  <w:tcW w:w="1329" w:type="pct"/>
                  <w:tcBorders>
                    <w:tl2br w:val="nil"/>
                    <w:tr2bl w:val="nil"/>
                  </w:tcBorders>
                  <w:shd w:val="clear" w:color="auto" w:fill="auto"/>
                  <w:tcMar>
                    <w:top w:w="0" w:type="dxa"/>
                    <w:left w:w="0" w:type="dxa"/>
                    <w:bottom w:w="0" w:type="dxa"/>
                    <w:right w:w="0" w:type="dxa"/>
                  </w:tcMar>
                  <w:vAlign w:val="center"/>
                </w:tcPr>
                <w:p w14:paraId="25BA971C">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F1EDDFE">
                  <w:pPr>
                    <w:pStyle w:val="15"/>
                    <w:bidi w:val="0"/>
                    <w:rPr>
                      <w:rFonts w:hint="eastAsia"/>
                      <w:color w:val="auto"/>
                    </w:rPr>
                  </w:pPr>
                  <w:r>
                    <w:rPr>
                      <w:rFonts w:hint="eastAsia"/>
                      <w:color w:val="auto"/>
                      <w:lang w:val="en-US" w:eastAsia="zh-CN"/>
                    </w:rPr>
                    <w:t>8</w:t>
                  </w:r>
                </w:p>
              </w:tc>
              <w:tc>
                <w:tcPr>
                  <w:tcW w:w="479" w:type="pct"/>
                  <w:tcBorders>
                    <w:tl2br w:val="nil"/>
                    <w:tr2bl w:val="nil"/>
                  </w:tcBorders>
                  <w:shd w:val="clear" w:color="auto" w:fill="auto"/>
                  <w:noWrap/>
                  <w:tcMar>
                    <w:top w:w="0" w:type="dxa"/>
                    <w:left w:w="0" w:type="dxa"/>
                    <w:bottom w:w="0" w:type="dxa"/>
                    <w:right w:w="0" w:type="dxa"/>
                  </w:tcMar>
                  <w:vAlign w:val="center"/>
                </w:tcPr>
                <w:p w14:paraId="4FB67ED2">
                  <w:pPr>
                    <w:pStyle w:val="15"/>
                    <w:bidi w:val="0"/>
                    <w:rPr>
                      <w:rFonts w:hint="eastAsia"/>
                      <w:color w:val="auto"/>
                    </w:rPr>
                  </w:pPr>
                  <w:r>
                    <w:rPr>
                      <w:rFonts w:hint="eastAsia"/>
                      <w:color w:val="auto"/>
                      <w:lang w:val="en-US" w:eastAsia="zh-CN"/>
                    </w:rPr>
                    <w:t>8</w:t>
                  </w:r>
                </w:p>
              </w:tc>
            </w:tr>
            <w:tr w14:paraId="4A9D2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2D3E73E7">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064CB552">
                  <w:pPr>
                    <w:pStyle w:val="15"/>
                    <w:bidi w:val="0"/>
                    <w:rPr>
                      <w:rFonts w:hint="eastAsia"/>
                      <w:color w:val="auto"/>
                    </w:rPr>
                  </w:pPr>
                  <w:r>
                    <w:rPr>
                      <w:rFonts w:hint="eastAsia"/>
                      <w:color w:val="auto"/>
                      <w:lang w:val="en-US" w:eastAsia="zh-CN"/>
                    </w:rPr>
                    <w:t>7</w:t>
                  </w:r>
                </w:p>
              </w:tc>
              <w:tc>
                <w:tcPr>
                  <w:tcW w:w="578" w:type="pct"/>
                  <w:tcBorders>
                    <w:tl2br w:val="nil"/>
                    <w:tr2bl w:val="nil"/>
                  </w:tcBorders>
                  <w:shd w:val="clear" w:color="auto" w:fill="auto"/>
                  <w:tcMar>
                    <w:top w:w="0" w:type="dxa"/>
                    <w:left w:w="0" w:type="dxa"/>
                    <w:bottom w:w="0" w:type="dxa"/>
                    <w:right w:w="0" w:type="dxa"/>
                  </w:tcMar>
                  <w:vAlign w:val="center"/>
                </w:tcPr>
                <w:p w14:paraId="13D7C520">
                  <w:pPr>
                    <w:pStyle w:val="15"/>
                    <w:bidi w:val="0"/>
                    <w:rPr>
                      <w:rFonts w:hint="eastAsia"/>
                      <w:color w:val="auto"/>
                    </w:rPr>
                  </w:pPr>
                  <w:r>
                    <w:rPr>
                      <w:rFonts w:hint="eastAsia"/>
                      <w:color w:val="auto"/>
                      <w:lang w:val="en-US" w:eastAsia="zh-CN"/>
                    </w:rPr>
                    <w:t>总氮</w:t>
                  </w:r>
                </w:p>
              </w:tc>
              <w:tc>
                <w:tcPr>
                  <w:tcW w:w="361" w:type="pct"/>
                  <w:tcBorders>
                    <w:tl2br w:val="nil"/>
                    <w:tr2bl w:val="nil"/>
                  </w:tcBorders>
                  <w:shd w:val="clear" w:color="auto" w:fill="auto"/>
                  <w:tcMar>
                    <w:top w:w="0" w:type="dxa"/>
                    <w:left w:w="0" w:type="dxa"/>
                    <w:bottom w:w="0" w:type="dxa"/>
                    <w:right w:w="0" w:type="dxa"/>
                  </w:tcMar>
                  <w:vAlign w:val="center"/>
                </w:tcPr>
                <w:p w14:paraId="2069D83F">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49D752A4">
                  <w:pPr>
                    <w:pStyle w:val="15"/>
                    <w:bidi w:val="0"/>
                    <w:rPr>
                      <w:rFonts w:hint="eastAsia"/>
                      <w:color w:val="auto"/>
                    </w:rPr>
                  </w:pPr>
                  <w:r>
                    <w:rPr>
                      <w:rFonts w:hint="eastAsia"/>
                      <w:color w:val="auto"/>
                      <w:lang w:val="en-US" w:eastAsia="zh-CN"/>
                    </w:rPr>
                    <w:t>70</w:t>
                  </w:r>
                </w:p>
              </w:tc>
              <w:tc>
                <w:tcPr>
                  <w:tcW w:w="1329" w:type="pct"/>
                  <w:tcBorders>
                    <w:tl2br w:val="nil"/>
                    <w:tr2bl w:val="nil"/>
                  </w:tcBorders>
                  <w:shd w:val="clear" w:color="auto" w:fill="auto"/>
                  <w:tcMar>
                    <w:top w:w="0" w:type="dxa"/>
                    <w:left w:w="0" w:type="dxa"/>
                    <w:bottom w:w="0" w:type="dxa"/>
                    <w:right w:w="0" w:type="dxa"/>
                  </w:tcMar>
                  <w:vAlign w:val="center"/>
                </w:tcPr>
                <w:p w14:paraId="3ACAEA2D">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1A43131">
                  <w:pPr>
                    <w:pStyle w:val="15"/>
                    <w:bidi w:val="0"/>
                    <w:rPr>
                      <w:rFonts w:hint="eastAsia"/>
                      <w:color w:val="auto"/>
                    </w:rPr>
                  </w:pPr>
                  <w:r>
                    <w:rPr>
                      <w:rFonts w:hint="eastAsia"/>
                      <w:color w:val="auto"/>
                      <w:lang w:val="en-US" w:eastAsia="zh-CN"/>
                    </w:rPr>
                    <w:t>70</w:t>
                  </w:r>
                </w:p>
              </w:tc>
              <w:tc>
                <w:tcPr>
                  <w:tcW w:w="479" w:type="pct"/>
                  <w:tcBorders>
                    <w:tl2br w:val="nil"/>
                    <w:tr2bl w:val="nil"/>
                  </w:tcBorders>
                  <w:shd w:val="clear" w:color="auto" w:fill="auto"/>
                  <w:noWrap/>
                  <w:tcMar>
                    <w:top w:w="0" w:type="dxa"/>
                    <w:left w:w="0" w:type="dxa"/>
                    <w:bottom w:w="0" w:type="dxa"/>
                    <w:right w:w="0" w:type="dxa"/>
                  </w:tcMar>
                  <w:vAlign w:val="center"/>
                </w:tcPr>
                <w:p w14:paraId="4D398E9F">
                  <w:pPr>
                    <w:pStyle w:val="15"/>
                    <w:bidi w:val="0"/>
                    <w:rPr>
                      <w:rFonts w:hint="eastAsia"/>
                      <w:color w:val="auto"/>
                    </w:rPr>
                  </w:pPr>
                  <w:r>
                    <w:rPr>
                      <w:rFonts w:hint="eastAsia"/>
                      <w:color w:val="auto"/>
                      <w:lang w:val="en-US" w:eastAsia="zh-CN"/>
                    </w:rPr>
                    <w:t>70</w:t>
                  </w:r>
                </w:p>
              </w:tc>
            </w:tr>
            <w:tr w14:paraId="774E7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2BFF935C">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323D7E07">
                  <w:pPr>
                    <w:pStyle w:val="15"/>
                    <w:bidi w:val="0"/>
                    <w:rPr>
                      <w:rFonts w:hint="eastAsia"/>
                      <w:color w:val="auto"/>
                    </w:rPr>
                  </w:pPr>
                  <w:r>
                    <w:rPr>
                      <w:rFonts w:hint="eastAsia"/>
                      <w:color w:val="auto"/>
                      <w:lang w:val="en-US" w:eastAsia="zh-CN"/>
                    </w:rPr>
                    <w:t>8</w:t>
                  </w:r>
                </w:p>
              </w:tc>
              <w:tc>
                <w:tcPr>
                  <w:tcW w:w="578" w:type="pct"/>
                  <w:tcBorders>
                    <w:tl2br w:val="nil"/>
                    <w:tr2bl w:val="nil"/>
                  </w:tcBorders>
                  <w:shd w:val="clear" w:color="auto" w:fill="auto"/>
                  <w:tcMar>
                    <w:top w:w="0" w:type="dxa"/>
                    <w:left w:w="0" w:type="dxa"/>
                    <w:bottom w:w="0" w:type="dxa"/>
                    <w:right w:w="0" w:type="dxa"/>
                  </w:tcMar>
                  <w:vAlign w:val="center"/>
                </w:tcPr>
                <w:p w14:paraId="691F7A5E">
                  <w:pPr>
                    <w:pStyle w:val="15"/>
                    <w:bidi w:val="0"/>
                    <w:rPr>
                      <w:rFonts w:hint="eastAsia"/>
                      <w:color w:val="auto"/>
                    </w:rPr>
                  </w:pPr>
                  <w:r>
                    <w:rPr>
                      <w:rFonts w:hint="eastAsia"/>
                      <w:color w:val="auto"/>
                      <w:lang w:val="en-US" w:eastAsia="zh-CN"/>
                    </w:rPr>
                    <w:t>氨氮</w:t>
                  </w:r>
                </w:p>
              </w:tc>
              <w:tc>
                <w:tcPr>
                  <w:tcW w:w="361" w:type="pct"/>
                  <w:tcBorders>
                    <w:tl2br w:val="nil"/>
                    <w:tr2bl w:val="nil"/>
                  </w:tcBorders>
                  <w:shd w:val="clear" w:color="auto" w:fill="auto"/>
                  <w:tcMar>
                    <w:top w:w="0" w:type="dxa"/>
                    <w:left w:w="0" w:type="dxa"/>
                    <w:bottom w:w="0" w:type="dxa"/>
                    <w:right w:w="0" w:type="dxa"/>
                  </w:tcMar>
                  <w:vAlign w:val="center"/>
                </w:tcPr>
                <w:p w14:paraId="2BF8CE7A">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4A25CC2B">
                  <w:pPr>
                    <w:pStyle w:val="15"/>
                    <w:bidi w:val="0"/>
                    <w:rPr>
                      <w:rFonts w:hint="eastAsia"/>
                      <w:color w:val="auto"/>
                    </w:rPr>
                  </w:pPr>
                  <w:r>
                    <w:rPr>
                      <w:rFonts w:hint="eastAsia"/>
                      <w:color w:val="auto"/>
                      <w:lang w:val="en-US" w:eastAsia="zh-CN"/>
                    </w:rPr>
                    <w:t>45</w:t>
                  </w:r>
                </w:p>
              </w:tc>
              <w:tc>
                <w:tcPr>
                  <w:tcW w:w="1329" w:type="pct"/>
                  <w:tcBorders>
                    <w:tl2br w:val="nil"/>
                    <w:tr2bl w:val="nil"/>
                  </w:tcBorders>
                  <w:shd w:val="clear" w:color="auto" w:fill="auto"/>
                  <w:tcMar>
                    <w:top w:w="0" w:type="dxa"/>
                    <w:left w:w="0" w:type="dxa"/>
                    <w:bottom w:w="0" w:type="dxa"/>
                    <w:right w:w="0" w:type="dxa"/>
                  </w:tcMar>
                  <w:vAlign w:val="center"/>
                </w:tcPr>
                <w:p w14:paraId="39FC39FD">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40A86A08">
                  <w:pPr>
                    <w:pStyle w:val="15"/>
                    <w:bidi w:val="0"/>
                    <w:rPr>
                      <w:rFonts w:hint="eastAsia"/>
                      <w:color w:val="auto"/>
                    </w:rPr>
                  </w:pPr>
                  <w:r>
                    <w:rPr>
                      <w:rFonts w:hint="eastAsia"/>
                      <w:color w:val="auto"/>
                      <w:lang w:val="en-US" w:eastAsia="zh-CN"/>
                    </w:rPr>
                    <w:t>45</w:t>
                  </w:r>
                </w:p>
              </w:tc>
              <w:tc>
                <w:tcPr>
                  <w:tcW w:w="479" w:type="pct"/>
                  <w:tcBorders>
                    <w:tl2br w:val="nil"/>
                    <w:tr2bl w:val="nil"/>
                  </w:tcBorders>
                  <w:shd w:val="clear" w:color="auto" w:fill="auto"/>
                  <w:noWrap/>
                  <w:tcMar>
                    <w:top w:w="0" w:type="dxa"/>
                    <w:left w:w="0" w:type="dxa"/>
                    <w:bottom w:w="0" w:type="dxa"/>
                    <w:right w:w="0" w:type="dxa"/>
                  </w:tcMar>
                  <w:vAlign w:val="center"/>
                </w:tcPr>
                <w:p w14:paraId="7BD4A528">
                  <w:pPr>
                    <w:pStyle w:val="15"/>
                    <w:bidi w:val="0"/>
                    <w:rPr>
                      <w:rFonts w:hint="eastAsia"/>
                      <w:color w:val="auto"/>
                    </w:rPr>
                  </w:pPr>
                  <w:r>
                    <w:rPr>
                      <w:rFonts w:hint="eastAsia"/>
                      <w:color w:val="auto"/>
                      <w:lang w:val="en-US" w:eastAsia="zh-CN"/>
                    </w:rPr>
                    <w:t>45</w:t>
                  </w:r>
                </w:p>
              </w:tc>
            </w:tr>
            <w:tr w14:paraId="300C66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1DE93224">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1B0FBBAB">
                  <w:pPr>
                    <w:pStyle w:val="15"/>
                    <w:bidi w:val="0"/>
                    <w:rPr>
                      <w:rFonts w:hint="eastAsia"/>
                      <w:color w:val="auto"/>
                    </w:rPr>
                  </w:pPr>
                  <w:r>
                    <w:rPr>
                      <w:rFonts w:hint="eastAsia"/>
                      <w:color w:val="auto"/>
                      <w:lang w:val="en-US" w:eastAsia="zh-CN"/>
                    </w:rPr>
                    <w:t>9</w:t>
                  </w:r>
                </w:p>
              </w:tc>
              <w:tc>
                <w:tcPr>
                  <w:tcW w:w="578" w:type="pct"/>
                  <w:tcBorders>
                    <w:tl2br w:val="nil"/>
                    <w:tr2bl w:val="nil"/>
                  </w:tcBorders>
                  <w:shd w:val="clear" w:color="auto" w:fill="auto"/>
                  <w:tcMar>
                    <w:top w:w="0" w:type="dxa"/>
                    <w:left w:w="0" w:type="dxa"/>
                    <w:bottom w:w="0" w:type="dxa"/>
                    <w:right w:w="0" w:type="dxa"/>
                  </w:tcMar>
                  <w:vAlign w:val="center"/>
                </w:tcPr>
                <w:p w14:paraId="59EDDEFB">
                  <w:pPr>
                    <w:pStyle w:val="15"/>
                    <w:bidi w:val="0"/>
                    <w:rPr>
                      <w:rFonts w:hint="eastAsia"/>
                      <w:color w:val="auto"/>
                    </w:rPr>
                  </w:pPr>
                  <w:r>
                    <w:rPr>
                      <w:rFonts w:hint="eastAsia"/>
                      <w:color w:val="auto"/>
                      <w:lang w:val="en-US" w:eastAsia="zh-CN"/>
                    </w:rPr>
                    <w:t>氟化物</w:t>
                  </w:r>
                </w:p>
              </w:tc>
              <w:tc>
                <w:tcPr>
                  <w:tcW w:w="361" w:type="pct"/>
                  <w:tcBorders>
                    <w:tl2br w:val="nil"/>
                    <w:tr2bl w:val="nil"/>
                  </w:tcBorders>
                  <w:shd w:val="clear" w:color="auto" w:fill="auto"/>
                  <w:tcMar>
                    <w:top w:w="0" w:type="dxa"/>
                    <w:left w:w="0" w:type="dxa"/>
                    <w:bottom w:w="0" w:type="dxa"/>
                    <w:right w:w="0" w:type="dxa"/>
                  </w:tcMar>
                  <w:vAlign w:val="center"/>
                </w:tcPr>
                <w:p w14:paraId="2931B221">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220E4341">
                  <w:pPr>
                    <w:pStyle w:val="15"/>
                    <w:bidi w:val="0"/>
                    <w:rPr>
                      <w:rFonts w:hint="eastAsia"/>
                      <w:color w:val="auto"/>
                    </w:rPr>
                  </w:pPr>
                  <w:r>
                    <w:rPr>
                      <w:rFonts w:hint="eastAsia"/>
                      <w:color w:val="auto"/>
                      <w:lang w:val="en-US" w:eastAsia="zh-CN"/>
                    </w:rPr>
                    <w:t>20</w:t>
                  </w:r>
                </w:p>
              </w:tc>
              <w:tc>
                <w:tcPr>
                  <w:tcW w:w="1329" w:type="pct"/>
                  <w:tcBorders>
                    <w:tl2br w:val="nil"/>
                    <w:tr2bl w:val="nil"/>
                  </w:tcBorders>
                  <w:shd w:val="clear" w:color="auto" w:fill="auto"/>
                  <w:tcMar>
                    <w:top w:w="0" w:type="dxa"/>
                    <w:left w:w="0" w:type="dxa"/>
                    <w:bottom w:w="0" w:type="dxa"/>
                    <w:right w:w="0" w:type="dxa"/>
                  </w:tcMar>
                  <w:vAlign w:val="center"/>
                </w:tcPr>
                <w:p w14:paraId="2A9B6365">
                  <w:pPr>
                    <w:pStyle w:val="15"/>
                    <w:bidi w:val="0"/>
                    <w:rPr>
                      <w:rFonts w:hint="eastAsia"/>
                      <w:color w:val="auto"/>
                    </w:rPr>
                  </w:pPr>
                  <w:r>
                    <w:rPr>
                      <w:rFonts w:hint="eastAsia"/>
                      <w:color w:val="auto"/>
                      <w:lang w:val="en-US" w:eastAsia="zh-CN"/>
                    </w:rPr>
                    <w:t>20</w:t>
                  </w:r>
                </w:p>
              </w:tc>
              <w:tc>
                <w:tcPr>
                  <w:tcW w:w="477" w:type="pct"/>
                  <w:tcBorders>
                    <w:tl2br w:val="nil"/>
                    <w:tr2bl w:val="nil"/>
                  </w:tcBorders>
                  <w:shd w:val="clear" w:color="auto" w:fill="auto"/>
                  <w:tcMar>
                    <w:top w:w="0" w:type="dxa"/>
                    <w:left w:w="0" w:type="dxa"/>
                    <w:bottom w:w="0" w:type="dxa"/>
                    <w:right w:w="0" w:type="dxa"/>
                  </w:tcMar>
                  <w:vAlign w:val="center"/>
                </w:tcPr>
                <w:p w14:paraId="52CF5253">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274C892A">
                  <w:pPr>
                    <w:pStyle w:val="15"/>
                    <w:bidi w:val="0"/>
                    <w:rPr>
                      <w:rFonts w:hint="eastAsia"/>
                      <w:color w:val="auto"/>
                    </w:rPr>
                  </w:pPr>
                  <w:r>
                    <w:rPr>
                      <w:rFonts w:hint="eastAsia"/>
                      <w:color w:val="auto"/>
                      <w:lang w:val="en-US" w:eastAsia="zh-CN"/>
                    </w:rPr>
                    <w:t>20</w:t>
                  </w:r>
                </w:p>
              </w:tc>
            </w:tr>
            <w:tr w14:paraId="10F856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5B6F4CBA">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4DDE278D">
                  <w:pPr>
                    <w:pStyle w:val="15"/>
                    <w:bidi w:val="0"/>
                    <w:rPr>
                      <w:rFonts w:hint="eastAsia"/>
                      <w:color w:val="auto"/>
                    </w:rPr>
                  </w:pPr>
                  <w:r>
                    <w:rPr>
                      <w:rFonts w:hint="eastAsia"/>
                      <w:color w:val="auto"/>
                      <w:lang w:val="en-US" w:eastAsia="zh-CN"/>
                    </w:rPr>
                    <w:t>10</w:t>
                  </w:r>
                </w:p>
              </w:tc>
              <w:tc>
                <w:tcPr>
                  <w:tcW w:w="578" w:type="pct"/>
                  <w:tcBorders>
                    <w:tl2br w:val="nil"/>
                    <w:tr2bl w:val="nil"/>
                  </w:tcBorders>
                  <w:shd w:val="clear" w:color="auto" w:fill="auto"/>
                  <w:tcMar>
                    <w:top w:w="0" w:type="dxa"/>
                    <w:left w:w="0" w:type="dxa"/>
                    <w:bottom w:w="0" w:type="dxa"/>
                    <w:right w:w="0" w:type="dxa"/>
                  </w:tcMar>
                  <w:vAlign w:val="center"/>
                </w:tcPr>
                <w:p w14:paraId="452279B1">
                  <w:pPr>
                    <w:pStyle w:val="15"/>
                    <w:bidi w:val="0"/>
                    <w:rPr>
                      <w:rFonts w:hint="eastAsia"/>
                      <w:color w:val="auto"/>
                    </w:rPr>
                  </w:pPr>
                  <w:r>
                    <w:rPr>
                      <w:rFonts w:hint="eastAsia"/>
                      <w:color w:val="auto"/>
                      <w:lang w:val="en-US" w:eastAsia="zh-CN"/>
                    </w:rPr>
                    <w:t>硫酸盐</w:t>
                  </w:r>
                </w:p>
              </w:tc>
              <w:tc>
                <w:tcPr>
                  <w:tcW w:w="361" w:type="pct"/>
                  <w:tcBorders>
                    <w:tl2br w:val="nil"/>
                    <w:tr2bl w:val="nil"/>
                  </w:tcBorders>
                  <w:shd w:val="clear" w:color="auto" w:fill="auto"/>
                  <w:tcMar>
                    <w:top w:w="0" w:type="dxa"/>
                    <w:left w:w="0" w:type="dxa"/>
                    <w:bottom w:w="0" w:type="dxa"/>
                    <w:right w:w="0" w:type="dxa"/>
                  </w:tcMar>
                  <w:vAlign w:val="center"/>
                </w:tcPr>
                <w:p w14:paraId="187C5B2A">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26A5623B">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3EBE6AA0">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0A831CD6">
                  <w:pPr>
                    <w:pStyle w:val="15"/>
                    <w:bidi w:val="0"/>
                    <w:rPr>
                      <w:rFonts w:hint="eastAsia"/>
                      <w:color w:val="auto"/>
                    </w:rPr>
                  </w:pPr>
                  <w:r>
                    <w:rPr>
                      <w:rFonts w:hint="eastAsia"/>
                      <w:color w:val="auto"/>
                      <w:lang w:val="en-US" w:eastAsia="zh-CN"/>
                    </w:rPr>
                    <w:t>400</w:t>
                  </w:r>
                </w:p>
              </w:tc>
              <w:tc>
                <w:tcPr>
                  <w:tcW w:w="479" w:type="pct"/>
                  <w:tcBorders>
                    <w:tl2br w:val="nil"/>
                    <w:tr2bl w:val="nil"/>
                  </w:tcBorders>
                  <w:shd w:val="clear" w:color="auto" w:fill="auto"/>
                  <w:noWrap/>
                  <w:tcMar>
                    <w:top w:w="0" w:type="dxa"/>
                    <w:left w:w="0" w:type="dxa"/>
                    <w:bottom w:w="0" w:type="dxa"/>
                    <w:right w:w="0" w:type="dxa"/>
                  </w:tcMar>
                  <w:vAlign w:val="center"/>
                </w:tcPr>
                <w:p w14:paraId="685D03E3">
                  <w:pPr>
                    <w:pStyle w:val="15"/>
                    <w:bidi w:val="0"/>
                    <w:rPr>
                      <w:rFonts w:hint="eastAsia"/>
                      <w:color w:val="auto"/>
                    </w:rPr>
                  </w:pPr>
                  <w:r>
                    <w:rPr>
                      <w:rFonts w:hint="eastAsia"/>
                      <w:color w:val="auto"/>
                      <w:lang w:val="en-US" w:eastAsia="zh-CN"/>
                    </w:rPr>
                    <w:t>400</w:t>
                  </w:r>
                </w:p>
              </w:tc>
            </w:tr>
            <w:tr w14:paraId="1B5133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1F886999">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4E221B72">
                  <w:pPr>
                    <w:pStyle w:val="15"/>
                    <w:bidi w:val="0"/>
                    <w:rPr>
                      <w:rFonts w:hint="eastAsia"/>
                      <w:color w:val="auto"/>
                    </w:rPr>
                  </w:pPr>
                  <w:r>
                    <w:rPr>
                      <w:rFonts w:hint="eastAsia"/>
                      <w:color w:val="auto"/>
                      <w:lang w:val="en-US" w:eastAsia="zh-CN"/>
                    </w:rPr>
                    <w:t>11</w:t>
                  </w:r>
                </w:p>
              </w:tc>
              <w:tc>
                <w:tcPr>
                  <w:tcW w:w="578" w:type="pct"/>
                  <w:tcBorders>
                    <w:tl2br w:val="nil"/>
                    <w:tr2bl w:val="nil"/>
                  </w:tcBorders>
                  <w:shd w:val="clear" w:color="auto" w:fill="auto"/>
                  <w:tcMar>
                    <w:top w:w="0" w:type="dxa"/>
                    <w:left w:w="0" w:type="dxa"/>
                    <w:bottom w:w="0" w:type="dxa"/>
                    <w:right w:w="0" w:type="dxa"/>
                  </w:tcMar>
                  <w:vAlign w:val="center"/>
                </w:tcPr>
                <w:p w14:paraId="3D747842">
                  <w:pPr>
                    <w:pStyle w:val="15"/>
                    <w:bidi w:val="0"/>
                    <w:rPr>
                      <w:rFonts w:hint="eastAsia"/>
                      <w:color w:val="auto"/>
                    </w:rPr>
                  </w:pPr>
                  <w:r>
                    <w:rPr>
                      <w:rFonts w:hint="eastAsia"/>
                      <w:color w:val="auto"/>
                      <w:lang w:val="en-US" w:eastAsia="zh-CN"/>
                    </w:rPr>
                    <w:t>溶解性总固体</w:t>
                  </w:r>
                </w:p>
              </w:tc>
              <w:tc>
                <w:tcPr>
                  <w:tcW w:w="361" w:type="pct"/>
                  <w:tcBorders>
                    <w:tl2br w:val="nil"/>
                    <w:tr2bl w:val="nil"/>
                  </w:tcBorders>
                  <w:shd w:val="clear" w:color="auto" w:fill="auto"/>
                  <w:tcMar>
                    <w:top w:w="0" w:type="dxa"/>
                    <w:left w:w="0" w:type="dxa"/>
                    <w:bottom w:w="0" w:type="dxa"/>
                    <w:right w:w="0" w:type="dxa"/>
                  </w:tcMar>
                  <w:vAlign w:val="center"/>
                </w:tcPr>
                <w:p w14:paraId="0CD68815">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7344BBC5">
                  <w:pPr>
                    <w:pStyle w:val="15"/>
                    <w:bidi w:val="0"/>
                    <w:rPr>
                      <w:rFonts w:hint="eastAsia"/>
                      <w:color w:val="auto"/>
                    </w:rPr>
                  </w:pPr>
                  <w:r>
                    <w:rPr>
                      <w:rFonts w:hint="eastAsia"/>
                      <w:color w:val="auto"/>
                      <w:lang w:val="en-US" w:eastAsia="zh-CN"/>
                    </w:rPr>
                    <w:t>6000</w:t>
                  </w:r>
                </w:p>
              </w:tc>
              <w:tc>
                <w:tcPr>
                  <w:tcW w:w="1329" w:type="pct"/>
                  <w:tcBorders>
                    <w:tl2br w:val="nil"/>
                    <w:tr2bl w:val="nil"/>
                  </w:tcBorders>
                  <w:shd w:val="clear" w:color="auto" w:fill="auto"/>
                  <w:tcMar>
                    <w:top w:w="0" w:type="dxa"/>
                    <w:left w:w="0" w:type="dxa"/>
                    <w:bottom w:w="0" w:type="dxa"/>
                    <w:right w:w="0" w:type="dxa"/>
                  </w:tcMar>
                  <w:vAlign w:val="center"/>
                </w:tcPr>
                <w:p w14:paraId="4DE16642">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D8ECCA0">
                  <w:pPr>
                    <w:pStyle w:val="15"/>
                    <w:bidi w:val="0"/>
                    <w:rPr>
                      <w:rFonts w:hint="eastAsia"/>
                      <w:color w:val="auto"/>
                    </w:rPr>
                  </w:pPr>
                  <w:r>
                    <w:rPr>
                      <w:rFonts w:hint="eastAsia"/>
                      <w:color w:val="auto"/>
                      <w:lang w:val="en-US" w:eastAsia="zh-CN"/>
                    </w:rPr>
                    <w:t>1000</w:t>
                  </w:r>
                </w:p>
              </w:tc>
              <w:tc>
                <w:tcPr>
                  <w:tcW w:w="479" w:type="pct"/>
                  <w:tcBorders>
                    <w:tl2br w:val="nil"/>
                    <w:tr2bl w:val="nil"/>
                  </w:tcBorders>
                  <w:shd w:val="clear" w:color="auto" w:fill="auto"/>
                  <w:noWrap/>
                  <w:tcMar>
                    <w:top w:w="0" w:type="dxa"/>
                    <w:left w:w="0" w:type="dxa"/>
                    <w:bottom w:w="0" w:type="dxa"/>
                    <w:right w:w="0" w:type="dxa"/>
                  </w:tcMar>
                  <w:vAlign w:val="center"/>
                </w:tcPr>
                <w:p w14:paraId="2BCEEA31">
                  <w:pPr>
                    <w:pStyle w:val="15"/>
                    <w:bidi w:val="0"/>
                    <w:rPr>
                      <w:rFonts w:hint="eastAsia"/>
                      <w:color w:val="auto"/>
                    </w:rPr>
                  </w:pPr>
                  <w:r>
                    <w:rPr>
                      <w:rFonts w:hint="eastAsia"/>
                      <w:color w:val="auto"/>
                      <w:lang w:val="en-US" w:eastAsia="zh-CN"/>
                    </w:rPr>
                    <w:t>1000</w:t>
                  </w:r>
                </w:p>
              </w:tc>
            </w:tr>
            <w:tr w14:paraId="567734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5B2343B6">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117696C6">
                  <w:pPr>
                    <w:pStyle w:val="15"/>
                    <w:bidi w:val="0"/>
                    <w:rPr>
                      <w:rFonts w:hint="eastAsia"/>
                      <w:color w:val="auto"/>
                    </w:rPr>
                  </w:pPr>
                  <w:r>
                    <w:rPr>
                      <w:rFonts w:hint="eastAsia"/>
                      <w:color w:val="auto"/>
                      <w:lang w:val="en-US" w:eastAsia="zh-CN"/>
                    </w:rPr>
                    <w:t>12</w:t>
                  </w:r>
                </w:p>
              </w:tc>
              <w:tc>
                <w:tcPr>
                  <w:tcW w:w="578" w:type="pct"/>
                  <w:tcBorders>
                    <w:tl2br w:val="nil"/>
                    <w:tr2bl w:val="nil"/>
                  </w:tcBorders>
                  <w:shd w:val="clear" w:color="auto" w:fill="auto"/>
                  <w:tcMar>
                    <w:top w:w="0" w:type="dxa"/>
                    <w:left w:w="0" w:type="dxa"/>
                    <w:bottom w:w="0" w:type="dxa"/>
                    <w:right w:w="0" w:type="dxa"/>
                  </w:tcMar>
                  <w:vAlign w:val="center"/>
                </w:tcPr>
                <w:p w14:paraId="1BC59AA0">
                  <w:pPr>
                    <w:pStyle w:val="15"/>
                    <w:bidi w:val="0"/>
                    <w:rPr>
                      <w:rFonts w:hint="eastAsia"/>
                      <w:color w:val="auto"/>
                    </w:rPr>
                  </w:pPr>
                  <w:r>
                    <w:rPr>
                      <w:rFonts w:hint="eastAsia"/>
                      <w:color w:val="auto"/>
                      <w:lang w:val="en-US" w:eastAsia="zh-CN"/>
                    </w:rPr>
                    <w:t>氯化物</w:t>
                  </w:r>
                </w:p>
              </w:tc>
              <w:tc>
                <w:tcPr>
                  <w:tcW w:w="361" w:type="pct"/>
                  <w:tcBorders>
                    <w:tl2br w:val="nil"/>
                    <w:tr2bl w:val="nil"/>
                  </w:tcBorders>
                  <w:shd w:val="clear" w:color="auto" w:fill="auto"/>
                  <w:tcMar>
                    <w:top w:w="0" w:type="dxa"/>
                    <w:left w:w="0" w:type="dxa"/>
                    <w:bottom w:w="0" w:type="dxa"/>
                    <w:right w:w="0" w:type="dxa"/>
                  </w:tcMar>
                  <w:vAlign w:val="center"/>
                </w:tcPr>
                <w:p w14:paraId="6F1BE978">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5E80B87F">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450C07C0">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560A3677">
                  <w:pPr>
                    <w:pStyle w:val="15"/>
                    <w:bidi w:val="0"/>
                    <w:rPr>
                      <w:rFonts w:hint="eastAsia"/>
                      <w:color w:val="auto"/>
                    </w:rPr>
                  </w:pPr>
                  <w:r>
                    <w:rPr>
                      <w:rFonts w:hint="eastAsia"/>
                      <w:color w:val="auto"/>
                      <w:lang w:val="en-US" w:eastAsia="zh-CN"/>
                    </w:rPr>
                    <w:t>250</w:t>
                  </w:r>
                </w:p>
              </w:tc>
              <w:tc>
                <w:tcPr>
                  <w:tcW w:w="479" w:type="pct"/>
                  <w:tcBorders>
                    <w:tl2br w:val="nil"/>
                    <w:tr2bl w:val="nil"/>
                  </w:tcBorders>
                  <w:shd w:val="clear" w:color="auto" w:fill="auto"/>
                  <w:noWrap/>
                  <w:tcMar>
                    <w:top w:w="0" w:type="dxa"/>
                    <w:left w:w="0" w:type="dxa"/>
                    <w:bottom w:w="0" w:type="dxa"/>
                    <w:right w:w="0" w:type="dxa"/>
                  </w:tcMar>
                  <w:vAlign w:val="center"/>
                </w:tcPr>
                <w:p w14:paraId="2342FE8F">
                  <w:pPr>
                    <w:pStyle w:val="15"/>
                    <w:bidi w:val="0"/>
                    <w:rPr>
                      <w:rFonts w:hint="eastAsia"/>
                      <w:color w:val="auto"/>
                    </w:rPr>
                  </w:pPr>
                  <w:r>
                    <w:rPr>
                      <w:rFonts w:hint="eastAsia"/>
                      <w:color w:val="auto"/>
                      <w:lang w:val="en-US" w:eastAsia="zh-CN"/>
                    </w:rPr>
                    <w:t>250</w:t>
                  </w:r>
                </w:p>
              </w:tc>
            </w:tr>
            <w:tr w14:paraId="3E105C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29D2EEBB">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02BE7C93">
                  <w:pPr>
                    <w:pStyle w:val="15"/>
                    <w:bidi w:val="0"/>
                    <w:rPr>
                      <w:rFonts w:hint="eastAsia"/>
                      <w:color w:val="auto"/>
                    </w:rPr>
                  </w:pPr>
                  <w:r>
                    <w:rPr>
                      <w:rFonts w:hint="eastAsia"/>
                      <w:color w:val="auto"/>
                      <w:lang w:val="en-US" w:eastAsia="zh-CN"/>
                    </w:rPr>
                    <w:t>13</w:t>
                  </w:r>
                </w:p>
              </w:tc>
              <w:tc>
                <w:tcPr>
                  <w:tcW w:w="578" w:type="pct"/>
                  <w:tcBorders>
                    <w:tl2br w:val="nil"/>
                    <w:tr2bl w:val="nil"/>
                  </w:tcBorders>
                  <w:shd w:val="clear" w:color="auto" w:fill="auto"/>
                  <w:tcMar>
                    <w:top w:w="0" w:type="dxa"/>
                    <w:left w:w="0" w:type="dxa"/>
                    <w:bottom w:w="0" w:type="dxa"/>
                    <w:right w:w="0" w:type="dxa"/>
                  </w:tcMar>
                  <w:vAlign w:val="center"/>
                </w:tcPr>
                <w:p w14:paraId="7542AF47">
                  <w:pPr>
                    <w:pStyle w:val="15"/>
                    <w:bidi w:val="0"/>
                    <w:rPr>
                      <w:rFonts w:hint="eastAsia"/>
                      <w:color w:val="auto"/>
                    </w:rPr>
                  </w:pPr>
                  <w:r>
                    <w:rPr>
                      <w:rFonts w:hint="eastAsia"/>
                      <w:color w:val="auto"/>
                      <w:lang w:val="en-US" w:eastAsia="zh-CN"/>
                    </w:rPr>
                    <w:t>挥发酚</w:t>
                  </w:r>
                </w:p>
              </w:tc>
              <w:tc>
                <w:tcPr>
                  <w:tcW w:w="361" w:type="pct"/>
                  <w:tcBorders>
                    <w:tl2br w:val="nil"/>
                    <w:tr2bl w:val="nil"/>
                  </w:tcBorders>
                  <w:shd w:val="clear" w:color="auto" w:fill="auto"/>
                  <w:tcMar>
                    <w:top w:w="0" w:type="dxa"/>
                    <w:left w:w="0" w:type="dxa"/>
                    <w:bottom w:w="0" w:type="dxa"/>
                    <w:right w:w="0" w:type="dxa"/>
                  </w:tcMar>
                  <w:vAlign w:val="center"/>
                </w:tcPr>
                <w:p w14:paraId="75A541AE">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73554658">
                  <w:pPr>
                    <w:pStyle w:val="15"/>
                    <w:bidi w:val="0"/>
                    <w:rPr>
                      <w:rFonts w:hint="eastAsia"/>
                      <w:color w:val="auto"/>
                    </w:rPr>
                  </w:pPr>
                  <w:r>
                    <w:rPr>
                      <w:rFonts w:hint="eastAsia"/>
                      <w:color w:val="auto"/>
                      <w:lang w:val="en-US" w:eastAsia="zh-CN"/>
                    </w:rPr>
                    <w:t>1</w:t>
                  </w:r>
                </w:p>
              </w:tc>
              <w:tc>
                <w:tcPr>
                  <w:tcW w:w="1329" w:type="pct"/>
                  <w:tcBorders>
                    <w:tl2br w:val="nil"/>
                    <w:tr2bl w:val="nil"/>
                  </w:tcBorders>
                  <w:shd w:val="clear" w:color="auto" w:fill="auto"/>
                  <w:tcMar>
                    <w:top w:w="0" w:type="dxa"/>
                    <w:left w:w="0" w:type="dxa"/>
                    <w:bottom w:w="0" w:type="dxa"/>
                    <w:right w:w="0" w:type="dxa"/>
                  </w:tcMar>
                  <w:vAlign w:val="center"/>
                </w:tcPr>
                <w:p w14:paraId="028DF8D8">
                  <w:pPr>
                    <w:pStyle w:val="15"/>
                    <w:bidi w:val="0"/>
                    <w:rPr>
                      <w:rFonts w:hint="eastAsia"/>
                      <w:color w:val="auto"/>
                    </w:rPr>
                  </w:pPr>
                  <w:r>
                    <w:rPr>
                      <w:rFonts w:hint="eastAsia"/>
                      <w:color w:val="auto"/>
                      <w:lang w:val="en-US" w:eastAsia="zh-CN"/>
                    </w:rPr>
                    <w:t>2</w:t>
                  </w:r>
                </w:p>
              </w:tc>
              <w:tc>
                <w:tcPr>
                  <w:tcW w:w="477" w:type="pct"/>
                  <w:tcBorders>
                    <w:tl2br w:val="nil"/>
                    <w:tr2bl w:val="nil"/>
                  </w:tcBorders>
                  <w:shd w:val="clear" w:color="auto" w:fill="auto"/>
                  <w:tcMar>
                    <w:top w:w="0" w:type="dxa"/>
                    <w:left w:w="0" w:type="dxa"/>
                    <w:bottom w:w="0" w:type="dxa"/>
                    <w:right w:w="0" w:type="dxa"/>
                  </w:tcMar>
                  <w:vAlign w:val="center"/>
                </w:tcPr>
                <w:p w14:paraId="54EC5AAC">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0E2029A8">
                  <w:pPr>
                    <w:pStyle w:val="15"/>
                    <w:bidi w:val="0"/>
                    <w:rPr>
                      <w:rFonts w:hint="eastAsia"/>
                      <w:color w:val="auto"/>
                    </w:rPr>
                  </w:pPr>
                  <w:r>
                    <w:rPr>
                      <w:rFonts w:hint="eastAsia"/>
                      <w:color w:val="auto"/>
                      <w:lang w:val="en-US" w:eastAsia="zh-CN"/>
                    </w:rPr>
                    <w:t>1</w:t>
                  </w:r>
                </w:p>
              </w:tc>
            </w:tr>
            <w:tr w14:paraId="42B3F6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647AB52B">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1D033EC3">
                  <w:pPr>
                    <w:pStyle w:val="15"/>
                    <w:bidi w:val="0"/>
                    <w:rPr>
                      <w:rFonts w:hint="eastAsia"/>
                      <w:color w:val="auto"/>
                    </w:rPr>
                  </w:pPr>
                  <w:r>
                    <w:rPr>
                      <w:rFonts w:hint="eastAsia"/>
                      <w:color w:val="auto"/>
                      <w:lang w:val="en-US" w:eastAsia="zh-CN"/>
                    </w:rPr>
                    <w:t>14</w:t>
                  </w:r>
                </w:p>
              </w:tc>
              <w:tc>
                <w:tcPr>
                  <w:tcW w:w="578" w:type="pct"/>
                  <w:tcBorders>
                    <w:tl2br w:val="nil"/>
                    <w:tr2bl w:val="nil"/>
                  </w:tcBorders>
                  <w:shd w:val="clear" w:color="auto" w:fill="auto"/>
                  <w:tcMar>
                    <w:top w:w="0" w:type="dxa"/>
                    <w:left w:w="0" w:type="dxa"/>
                    <w:bottom w:w="0" w:type="dxa"/>
                    <w:right w:w="0" w:type="dxa"/>
                  </w:tcMar>
                  <w:vAlign w:val="center"/>
                </w:tcPr>
                <w:p w14:paraId="34ECE3D2">
                  <w:pPr>
                    <w:pStyle w:val="15"/>
                    <w:bidi w:val="0"/>
                    <w:rPr>
                      <w:rFonts w:hint="eastAsia"/>
                      <w:color w:val="auto"/>
                    </w:rPr>
                  </w:pPr>
                  <w:r>
                    <w:rPr>
                      <w:rFonts w:hint="eastAsia"/>
                      <w:color w:val="auto"/>
                      <w:lang w:val="en-US" w:eastAsia="zh-CN"/>
                    </w:rPr>
                    <w:t>硫化物</w:t>
                  </w:r>
                </w:p>
              </w:tc>
              <w:tc>
                <w:tcPr>
                  <w:tcW w:w="361" w:type="pct"/>
                  <w:tcBorders>
                    <w:tl2br w:val="nil"/>
                    <w:tr2bl w:val="nil"/>
                  </w:tcBorders>
                  <w:shd w:val="clear" w:color="auto" w:fill="auto"/>
                  <w:tcMar>
                    <w:top w:w="0" w:type="dxa"/>
                    <w:left w:w="0" w:type="dxa"/>
                    <w:bottom w:w="0" w:type="dxa"/>
                    <w:right w:w="0" w:type="dxa"/>
                  </w:tcMar>
                  <w:vAlign w:val="center"/>
                </w:tcPr>
                <w:p w14:paraId="478F3DE7">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77E4A96A">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77570665">
                  <w:pPr>
                    <w:pStyle w:val="15"/>
                    <w:bidi w:val="0"/>
                    <w:rPr>
                      <w:rFonts w:hint="eastAsia"/>
                      <w:color w:val="auto"/>
                    </w:rPr>
                  </w:pPr>
                  <w:r>
                    <w:rPr>
                      <w:rFonts w:hint="eastAsia"/>
                      <w:color w:val="auto"/>
                      <w:lang w:val="en-US" w:eastAsia="zh-CN"/>
                    </w:rPr>
                    <w:t>1</w:t>
                  </w:r>
                </w:p>
              </w:tc>
              <w:tc>
                <w:tcPr>
                  <w:tcW w:w="477" w:type="pct"/>
                  <w:tcBorders>
                    <w:tl2br w:val="nil"/>
                    <w:tr2bl w:val="nil"/>
                  </w:tcBorders>
                  <w:shd w:val="clear" w:color="auto" w:fill="auto"/>
                  <w:tcMar>
                    <w:top w:w="0" w:type="dxa"/>
                    <w:left w:w="0" w:type="dxa"/>
                    <w:bottom w:w="0" w:type="dxa"/>
                    <w:right w:w="0" w:type="dxa"/>
                  </w:tcMar>
                  <w:vAlign w:val="center"/>
                </w:tcPr>
                <w:p w14:paraId="145B3D83">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5C791751">
                  <w:pPr>
                    <w:pStyle w:val="15"/>
                    <w:bidi w:val="0"/>
                    <w:rPr>
                      <w:rFonts w:hint="eastAsia"/>
                      <w:color w:val="auto"/>
                    </w:rPr>
                  </w:pPr>
                  <w:r>
                    <w:rPr>
                      <w:rFonts w:hint="eastAsia"/>
                      <w:color w:val="auto"/>
                      <w:lang w:val="en-US" w:eastAsia="zh-CN"/>
                    </w:rPr>
                    <w:t>1</w:t>
                  </w:r>
                </w:p>
              </w:tc>
            </w:tr>
            <w:tr w14:paraId="1FABE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6B0A34F8">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41FDF8BC">
                  <w:pPr>
                    <w:pStyle w:val="15"/>
                    <w:bidi w:val="0"/>
                    <w:rPr>
                      <w:rFonts w:hint="eastAsia"/>
                      <w:color w:val="auto"/>
                    </w:rPr>
                  </w:pPr>
                  <w:r>
                    <w:rPr>
                      <w:rFonts w:hint="eastAsia"/>
                      <w:color w:val="auto"/>
                      <w:lang w:val="en-US" w:eastAsia="zh-CN"/>
                    </w:rPr>
                    <w:t>15</w:t>
                  </w:r>
                </w:p>
              </w:tc>
              <w:tc>
                <w:tcPr>
                  <w:tcW w:w="578" w:type="pct"/>
                  <w:tcBorders>
                    <w:tl2br w:val="nil"/>
                    <w:tr2bl w:val="nil"/>
                  </w:tcBorders>
                  <w:shd w:val="clear" w:color="auto" w:fill="auto"/>
                  <w:tcMar>
                    <w:top w:w="0" w:type="dxa"/>
                    <w:left w:w="0" w:type="dxa"/>
                    <w:bottom w:w="0" w:type="dxa"/>
                    <w:right w:w="0" w:type="dxa"/>
                  </w:tcMar>
                  <w:vAlign w:val="center"/>
                </w:tcPr>
                <w:p w14:paraId="7FA6545C">
                  <w:pPr>
                    <w:pStyle w:val="15"/>
                    <w:bidi w:val="0"/>
                    <w:rPr>
                      <w:rFonts w:hint="eastAsia"/>
                      <w:color w:val="auto"/>
                    </w:rPr>
                  </w:pPr>
                  <w:r>
                    <w:rPr>
                      <w:rFonts w:hint="eastAsia"/>
                      <w:color w:val="auto"/>
                      <w:lang w:val="en-US" w:eastAsia="zh-CN"/>
                    </w:rPr>
                    <w:t>氰化物</w:t>
                  </w:r>
                </w:p>
              </w:tc>
              <w:tc>
                <w:tcPr>
                  <w:tcW w:w="361" w:type="pct"/>
                  <w:tcBorders>
                    <w:tl2br w:val="nil"/>
                    <w:tr2bl w:val="nil"/>
                  </w:tcBorders>
                  <w:shd w:val="clear" w:color="auto" w:fill="auto"/>
                  <w:tcMar>
                    <w:top w:w="0" w:type="dxa"/>
                    <w:left w:w="0" w:type="dxa"/>
                    <w:bottom w:w="0" w:type="dxa"/>
                    <w:right w:w="0" w:type="dxa"/>
                  </w:tcMar>
                  <w:vAlign w:val="center"/>
                </w:tcPr>
                <w:p w14:paraId="52A60190">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520D9097">
                  <w:pPr>
                    <w:pStyle w:val="15"/>
                    <w:bidi w:val="0"/>
                    <w:rPr>
                      <w:rFonts w:hint="eastAsia"/>
                      <w:color w:val="auto"/>
                    </w:rPr>
                  </w:pPr>
                  <w:r>
                    <w:rPr>
                      <w:rFonts w:hint="eastAsia"/>
                      <w:color w:val="auto"/>
                      <w:lang w:val="en-US" w:eastAsia="zh-CN"/>
                    </w:rPr>
                    <w:t>0.5</w:t>
                  </w:r>
                </w:p>
              </w:tc>
              <w:tc>
                <w:tcPr>
                  <w:tcW w:w="1329" w:type="pct"/>
                  <w:tcBorders>
                    <w:tl2br w:val="nil"/>
                    <w:tr2bl w:val="nil"/>
                  </w:tcBorders>
                  <w:shd w:val="clear" w:color="auto" w:fill="auto"/>
                  <w:tcMar>
                    <w:top w:w="0" w:type="dxa"/>
                    <w:left w:w="0" w:type="dxa"/>
                    <w:bottom w:w="0" w:type="dxa"/>
                    <w:right w:w="0" w:type="dxa"/>
                  </w:tcMar>
                  <w:vAlign w:val="center"/>
                </w:tcPr>
                <w:p w14:paraId="4E119A10">
                  <w:pPr>
                    <w:pStyle w:val="15"/>
                    <w:bidi w:val="0"/>
                    <w:rPr>
                      <w:rFonts w:hint="eastAsia"/>
                      <w:color w:val="auto"/>
                    </w:rPr>
                  </w:pPr>
                  <w:r>
                    <w:rPr>
                      <w:rFonts w:hint="eastAsia"/>
                      <w:color w:val="auto"/>
                      <w:lang w:val="en-US" w:eastAsia="zh-CN"/>
                    </w:rPr>
                    <w:t>1</w:t>
                  </w:r>
                </w:p>
              </w:tc>
              <w:tc>
                <w:tcPr>
                  <w:tcW w:w="477" w:type="pct"/>
                  <w:tcBorders>
                    <w:tl2br w:val="nil"/>
                    <w:tr2bl w:val="nil"/>
                  </w:tcBorders>
                  <w:shd w:val="clear" w:color="auto" w:fill="auto"/>
                  <w:tcMar>
                    <w:top w:w="0" w:type="dxa"/>
                    <w:left w:w="0" w:type="dxa"/>
                    <w:bottom w:w="0" w:type="dxa"/>
                    <w:right w:w="0" w:type="dxa"/>
                  </w:tcMar>
                  <w:vAlign w:val="center"/>
                </w:tcPr>
                <w:p w14:paraId="5C7DE587">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5337074E">
                  <w:pPr>
                    <w:pStyle w:val="15"/>
                    <w:bidi w:val="0"/>
                    <w:rPr>
                      <w:rFonts w:hint="eastAsia"/>
                      <w:color w:val="auto"/>
                    </w:rPr>
                  </w:pPr>
                  <w:r>
                    <w:rPr>
                      <w:rFonts w:hint="eastAsia"/>
                      <w:color w:val="auto"/>
                      <w:lang w:val="en-US" w:eastAsia="zh-CN"/>
                    </w:rPr>
                    <w:t>1</w:t>
                  </w:r>
                </w:p>
              </w:tc>
            </w:tr>
            <w:tr w14:paraId="30AF8C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361C8A50">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2C8ADD18">
                  <w:pPr>
                    <w:pStyle w:val="15"/>
                    <w:bidi w:val="0"/>
                    <w:rPr>
                      <w:rFonts w:hint="eastAsia"/>
                      <w:color w:val="auto"/>
                    </w:rPr>
                  </w:pPr>
                  <w:r>
                    <w:rPr>
                      <w:rFonts w:hint="eastAsia"/>
                      <w:color w:val="auto"/>
                      <w:lang w:val="en-US" w:eastAsia="zh-CN"/>
                    </w:rPr>
                    <w:t>16</w:t>
                  </w:r>
                </w:p>
              </w:tc>
              <w:tc>
                <w:tcPr>
                  <w:tcW w:w="578" w:type="pct"/>
                  <w:tcBorders>
                    <w:tl2br w:val="nil"/>
                    <w:tr2bl w:val="nil"/>
                  </w:tcBorders>
                  <w:shd w:val="clear" w:color="auto" w:fill="auto"/>
                  <w:tcMar>
                    <w:top w:w="0" w:type="dxa"/>
                    <w:left w:w="0" w:type="dxa"/>
                    <w:bottom w:w="0" w:type="dxa"/>
                    <w:right w:w="0" w:type="dxa"/>
                  </w:tcMar>
                  <w:vAlign w:val="center"/>
                </w:tcPr>
                <w:p w14:paraId="38592737">
                  <w:pPr>
                    <w:pStyle w:val="15"/>
                    <w:bidi w:val="0"/>
                    <w:rPr>
                      <w:rFonts w:hint="eastAsia"/>
                      <w:color w:val="auto"/>
                    </w:rPr>
                  </w:pPr>
                  <w:r>
                    <w:rPr>
                      <w:rFonts w:hint="eastAsia"/>
                      <w:color w:val="auto"/>
                      <w:lang w:val="en-US" w:eastAsia="zh-CN"/>
                    </w:rPr>
                    <w:t>可吸附有机卤素</w:t>
                  </w:r>
                </w:p>
              </w:tc>
              <w:tc>
                <w:tcPr>
                  <w:tcW w:w="361" w:type="pct"/>
                  <w:tcBorders>
                    <w:tl2br w:val="nil"/>
                    <w:tr2bl w:val="nil"/>
                  </w:tcBorders>
                  <w:shd w:val="clear" w:color="auto" w:fill="auto"/>
                  <w:tcMar>
                    <w:top w:w="0" w:type="dxa"/>
                    <w:left w:w="0" w:type="dxa"/>
                    <w:bottom w:w="0" w:type="dxa"/>
                    <w:right w:w="0" w:type="dxa"/>
                  </w:tcMar>
                  <w:vAlign w:val="center"/>
                </w:tcPr>
                <w:p w14:paraId="25C3229C">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29464454">
                  <w:pPr>
                    <w:pStyle w:val="15"/>
                    <w:bidi w:val="0"/>
                    <w:rPr>
                      <w:rFonts w:hint="eastAsia"/>
                      <w:color w:val="auto"/>
                    </w:rPr>
                  </w:pPr>
                  <w:r>
                    <w:rPr>
                      <w:rFonts w:hint="eastAsia"/>
                      <w:color w:val="auto"/>
                      <w:lang w:val="en-US" w:eastAsia="zh-CN"/>
                    </w:rPr>
                    <w:t>8</w:t>
                  </w:r>
                </w:p>
              </w:tc>
              <w:tc>
                <w:tcPr>
                  <w:tcW w:w="1329" w:type="pct"/>
                  <w:tcBorders>
                    <w:tl2br w:val="nil"/>
                    <w:tr2bl w:val="nil"/>
                  </w:tcBorders>
                  <w:shd w:val="clear" w:color="auto" w:fill="auto"/>
                  <w:tcMar>
                    <w:top w:w="0" w:type="dxa"/>
                    <w:left w:w="0" w:type="dxa"/>
                    <w:bottom w:w="0" w:type="dxa"/>
                    <w:right w:w="0" w:type="dxa"/>
                  </w:tcMar>
                  <w:vAlign w:val="center"/>
                </w:tcPr>
                <w:p w14:paraId="106F60B9">
                  <w:pPr>
                    <w:pStyle w:val="15"/>
                    <w:bidi w:val="0"/>
                    <w:rPr>
                      <w:rFonts w:hint="eastAsia"/>
                      <w:color w:val="auto"/>
                    </w:rPr>
                  </w:pPr>
                  <w:r>
                    <w:rPr>
                      <w:rFonts w:hint="eastAsia"/>
                      <w:color w:val="auto"/>
                      <w:lang w:val="en-US" w:eastAsia="zh-CN"/>
                    </w:rPr>
                    <w:t>8</w:t>
                  </w:r>
                </w:p>
              </w:tc>
              <w:tc>
                <w:tcPr>
                  <w:tcW w:w="477" w:type="pct"/>
                  <w:tcBorders>
                    <w:tl2br w:val="nil"/>
                    <w:tr2bl w:val="nil"/>
                  </w:tcBorders>
                  <w:shd w:val="clear" w:color="auto" w:fill="auto"/>
                  <w:tcMar>
                    <w:top w:w="0" w:type="dxa"/>
                    <w:left w:w="0" w:type="dxa"/>
                    <w:bottom w:w="0" w:type="dxa"/>
                    <w:right w:w="0" w:type="dxa"/>
                  </w:tcMar>
                  <w:vAlign w:val="center"/>
                </w:tcPr>
                <w:p w14:paraId="4A14B730">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3798D2A8">
                  <w:pPr>
                    <w:pStyle w:val="15"/>
                    <w:bidi w:val="0"/>
                    <w:rPr>
                      <w:rFonts w:hint="eastAsia"/>
                      <w:color w:val="auto"/>
                    </w:rPr>
                  </w:pPr>
                  <w:r>
                    <w:rPr>
                      <w:rFonts w:hint="eastAsia"/>
                      <w:color w:val="auto"/>
                      <w:lang w:val="en-US" w:eastAsia="zh-CN"/>
                    </w:rPr>
                    <w:t>8</w:t>
                  </w:r>
                </w:p>
              </w:tc>
            </w:tr>
            <w:tr w14:paraId="6A87E1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4637B2CF">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3DD78E6F">
                  <w:pPr>
                    <w:pStyle w:val="15"/>
                    <w:bidi w:val="0"/>
                    <w:rPr>
                      <w:rFonts w:hint="eastAsia"/>
                      <w:color w:val="auto"/>
                    </w:rPr>
                  </w:pPr>
                  <w:r>
                    <w:rPr>
                      <w:rFonts w:hint="eastAsia"/>
                      <w:color w:val="auto"/>
                      <w:lang w:val="en-US" w:eastAsia="zh-CN"/>
                    </w:rPr>
                    <w:t>17</w:t>
                  </w:r>
                </w:p>
              </w:tc>
              <w:tc>
                <w:tcPr>
                  <w:tcW w:w="578" w:type="pct"/>
                  <w:tcBorders>
                    <w:tl2br w:val="nil"/>
                    <w:tr2bl w:val="nil"/>
                  </w:tcBorders>
                  <w:shd w:val="clear" w:color="auto" w:fill="auto"/>
                  <w:tcMar>
                    <w:top w:w="0" w:type="dxa"/>
                    <w:left w:w="0" w:type="dxa"/>
                    <w:bottom w:w="0" w:type="dxa"/>
                    <w:right w:w="0" w:type="dxa"/>
                  </w:tcMar>
                  <w:vAlign w:val="center"/>
                </w:tcPr>
                <w:p w14:paraId="040FDD4A">
                  <w:pPr>
                    <w:pStyle w:val="15"/>
                    <w:bidi w:val="0"/>
                    <w:rPr>
                      <w:rFonts w:hint="eastAsia"/>
                      <w:color w:val="auto"/>
                    </w:rPr>
                  </w:pPr>
                  <w:r>
                    <w:rPr>
                      <w:rFonts w:hint="eastAsia"/>
                      <w:color w:val="auto"/>
                      <w:lang w:val="en-US" w:eastAsia="zh-CN"/>
                    </w:rPr>
                    <w:t>总有机碳（TOC）</w:t>
                  </w:r>
                </w:p>
              </w:tc>
              <w:tc>
                <w:tcPr>
                  <w:tcW w:w="361" w:type="pct"/>
                  <w:tcBorders>
                    <w:tl2br w:val="nil"/>
                    <w:tr2bl w:val="nil"/>
                  </w:tcBorders>
                  <w:shd w:val="clear" w:color="auto" w:fill="auto"/>
                  <w:tcMar>
                    <w:top w:w="0" w:type="dxa"/>
                    <w:left w:w="0" w:type="dxa"/>
                    <w:bottom w:w="0" w:type="dxa"/>
                    <w:right w:w="0" w:type="dxa"/>
                  </w:tcMar>
                  <w:vAlign w:val="center"/>
                </w:tcPr>
                <w:p w14:paraId="6F824D48">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C038A66">
                  <w:pPr>
                    <w:pStyle w:val="15"/>
                    <w:bidi w:val="0"/>
                    <w:rPr>
                      <w:rFonts w:hint="eastAsia"/>
                      <w:color w:val="auto"/>
                    </w:rPr>
                  </w:pPr>
                  <w:r>
                    <w:rPr>
                      <w:rFonts w:hint="eastAsia"/>
                      <w:color w:val="auto"/>
                      <w:lang w:val="en-US" w:eastAsia="zh-CN"/>
                    </w:rPr>
                    <w:t>200</w:t>
                  </w:r>
                </w:p>
              </w:tc>
              <w:tc>
                <w:tcPr>
                  <w:tcW w:w="1329" w:type="pct"/>
                  <w:tcBorders>
                    <w:tl2br w:val="nil"/>
                    <w:tr2bl w:val="nil"/>
                  </w:tcBorders>
                  <w:shd w:val="clear" w:color="auto" w:fill="auto"/>
                  <w:tcMar>
                    <w:top w:w="0" w:type="dxa"/>
                    <w:left w:w="0" w:type="dxa"/>
                    <w:bottom w:w="0" w:type="dxa"/>
                    <w:right w:w="0" w:type="dxa"/>
                  </w:tcMar>
                  <w:vAlign w:val="center"/>
                </w:tcPr>
                <w:p w14:paraId="55D0C062">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06ABD706">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33A39EA4">
                  <w:pPr>
                    <w:pStyle w:val="15"/>
                    <w:bidi w:val="0"/>
                    <w:rPr>
                      <w:rFonts w:hint="eastAsia"/>
                      <w:color w:val="auto"/>
                    </w:rPr>
                  </w:pPr>
                  <w:r>
                    <w:rPr>
                      <w:rFonts w:hint="eastAsia"/>
                      <w:color w:val="auto"/>
                      <w:lang w:val="en-US" w:eastAsia="zh-CN"/>
                    </w:rPr>
                    <w:t>200</w:t>
                  </w:r>
                </w:p>
              </w:tc>
            </w:tr>
            <w:tr w14:paraId="3216FD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46A11D26">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6D51FBEB">
                  <w:pPr>
                    <w:pStyle w:val="15"/>
                    <w:bidi w:val="0"/>
                    <w:rPr>
                      <w:rFonts w:hint="eastAsia"/>
                      <w:color w:val="auto"/>
                    </w:rPr>
                  </w:pPr>
                  <w:r>
                    <w:rPr>
                      <w:rFonts w:hint="eastAsia"/>
                      <w:color w:val="auto"/>
                      <w:lang w:val="en-US" w:eastAsia="zh-CN"/>
                    </w:rPr>
                    <w:t>18</w:t>
                  </w:r>
                </w:p>
              </w:tc>
              <w:tc>
                <w:tcPr>
                  <w:tcW w:w="578" w:type="pct"/>
                  <w:tcBorders>
                    <w:tl2br w:val="nil"/>
                    <w:tr2bl w:val="nil"/>
                  </w:tcBorders>
                  <w:shd w:val="clear" w:color="auto" w:fill="auto"/>
                  <w:tcMar>
                    <w:top w:w="0" w:type="dxa"/>
                    <w:left w:w="0" w:type="dxa"/>
                    <w:bottom w:w="0" w:type="dxa"/>
                    <w:right w:w="0" w:type="dxa"/>
                  </w:tcMar>
                  <w:vAlign w:val="center"/>
                </w:tcPr>
                <w:p w14:paraId="78C03965">
                  <w:pPr>
                    <w:pStyle w:val="15"/>
                    <w:bidi w:val="0"/>
                    <w:rPr>
                      <w:rFonts w:hint="eastAsia"/>
                      <w:color w:val="auto"/>
                    </w:rPr>
                  </w:pPr>
                  <w:r>
                    <w:rPr>
                      <w:rFonts w:hint="eastAsia"/>
                      <w:color w:val="auto"/>
                      <w:lang w:val="en-US" w:eastAsia="zh-CN"/>
                    </w:rPr>
                    <w:t>石油类</w:t>
                  </w:r>
                </w:p>
              </w:tc>
              <w:tc>
                <w:tcPr>
                  <w:tcW w:w="361" w:type="pct"/>
                  <w:tcBorders>
                    <w:tl2br w:val="nil"/>
                    <w:tr2bl w:val="nil"/>
                  </w:tcBorders>
                  <w:shd w:val="clear" w:color="auto" w:fill="auto"/>
                  <w:tcMar>
                    <w:top w:w="0" w:type="dxa"/>
                    <w:left w:w="0" w:type="dxa"/>
                    <w:bottom w:w="0" w:type="dxa"/>
                    <w:right w:w="0" w:type="dxa"/>
                  </w:tcMar>
                  <w:vAlign w:val="center"/>
                </w:tcPr>
                <w:p w14:paraId="7DF19491">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55267FCE">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1831E676">
                  <w:pPr>
                    <w:pStyle w:val="15"/>
                    <w:bidi w:val="0"/>
                    <w:rPr>
                      <w:rFonts w:hint="eastAsia"/>
                      <w:color w:val="auto"/>
                    </w:rPr>
                  </w:pPr>
                  <w:r>
                    <w:rPr>
                      <w:rFonts w:hint="eastAsia"/>
                      <w:color w:val="auto"/>
                      <w:lang w:val="en-US" w:eastAsia="zh-CN"/>
                    </w:rPr>
                    <w:t>20</w:t>
                  </w:r>
                </w:p>
              </w:tc>
              <w:tc>
                <w:tcPr>
                  <w:tcW w:w="477" w:type="pct"/>
                  <w:tcBorders>
                    <w:tl2br w:val="nil"/>
                    <w:tr2bl w:val="nil"/>
                  </w:tcBorders>
                  <w:shd w:val="clear" w:color="auto" w:fill="auto"/>
                  <w:tcMar>
                    <w:top w:w="0" w:type="dxa"/>
                    <w:left w:w="0" w:type="dxa"/>
                    <w:bottom w:w="0" w:type="dxa"/>
                    <w:right w:w="0" w:type="dxa"/>
                  </w:tcMar>
                  <w:vAlign w:val="center"/>
                </w:tcPr>
                <w:p w14:paraId="1AE6E6D0">
                  <w:pPr>
                    <w:pStyle w:val="15"/>
                    <w:bidi w:val="0"/>
                    <w:rPr>
                      <w:rFonts w:hint="eastAsia"/>
                      <w:color w:val="auto"/>
                    </w:rPr>
                  </w:pPr>
                  <w:r>
                    <w:rPr>
                      <w:rFonts w:hint="eastAsia"/>
                      <w:color w:val="auto"/>
                      <w:lang w:val="en-US" w:eastAsia="zh-CN"/>
                    </w:rPr>
                    <w:t>20</w:t>
                  </w:r>
                </w:p>
              </w:tc>
              <w:tc>
                <w:tcPr>
                  <w:tcW w:w="479" w:type="pct"/>
                  <w:tcBorders>
                    <w:tl2br w:val="nil"/>
                    <w:tr2bl w:val="nil"/>
                  </w:tcBorders>
                  <w:shd w:val="clear" w:color="auto" w:fill="auto"/>
                  <w:noWrap/>
                  <w:tcMar>
                    <w:top w:w="0" w:type="dxa"/>
                    <w:left w:w="0" w:type="dxa"/>
                    <w:bottom w:w="0" w:type="dxa"/>
                    <w:right w:w="0" w:type="dxa"/>
                  </w:tcMar>
                  <w:vAlign w:val="center"/>
                </w:tcPr>
                <w:p w14:paraId="534FB7EE">
                  <w:pPr>
                    <w:pStyle w:val="15"/>
                    <w:bidi w:val="0"/>
                    <w:rPr>
                      <w:rFonts w:hint="eastAsia"/>
                      <w:color w:val="auto"/>
                    </w:rPr>
                  </w:pPr>
                  <w:r>
                    <w:rPr>
                      <w:rFonts w:hint="eastAsia"/>
                      <w:color w:val="auto"/>
                      <w:lang w:val="en-US" w:eastAsia="zh-CN"/>
                    </w:rPr>
                    <w:t>20</w:t>
                  </w:r>
                </w:p>
              </w:tc>
            </w:tr>
            <w:tr w14:paraId="1C3BDA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5F5A038D">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61A76E79">
                  <w:pPr>
                    <w:pStyle w:val="15"/>
                    <w:bidi w:val="0"/>
                    <w:rPr>
                      <w:rFonts w:hint="eastAsia"/>
                      <w:color w:val="auto"/>
                    </w:rPr>
                  </w:pPr>
                  <w:r>
                    <w:rPr>
                      <w:rFonts w:hint="eastAsia"/>
                      <w:color w:val="auto"/>
                      <w:lang w:val="en-US" w:eastAsia="zh-CN"/>
                    </w:rPr>
                    <w:t>19</w:t>
                  </w:r>
                </w:p>
              </w:tc>
              <w:tc>
                <w:tcPr>
                  <w:tcW w:w="578" w:type="pct"/>
                  <w:tcBorders>
                    <w:tl2br w:val="nil"/>
                    <w:tr2bl w:val="nil"/>
                  </w:tcBorders>
                  <w:shd w:val="clear" w:color="auto" w:fill="auto"/>
                  <w:tcMar>
                    <w:top w:w="0" w:type="dxa"/>
                    <w:left w:w="0" w:type="dxa"/>
                    <w:bottom w:w="0" w:type="dxa"/>
                    <w:right w:w="0" w:type="dxa"/>
                  </w:tcMar>
                  <w:vAlign w:val="center"/>
                </w:tcPr>
                <w:p w14:paraId="112C9B75">
                  <w:pPr>
                    <w:pStyle w:val="15"/>
                    <w:bidi w:val="0"/>
                    <w:rPr>
                      <w:rFonts w:hint="eastAsia"/>
                      <w:color w:val="auto"/>
                    </w:rPr>
                  </w:pPr>
                  <w:r>
                    <w:rPr>
                      <w:rFonts w:hint="eastAsia"/>
                      <w:color w:val="auto"/>
                      <w:lang w:val="en-US" w:eastAsia="zh-CN"/>
                    </w:rPr>
                    <w:t>甲醇</w:t>
                  </w:r>
                </w:p>
              </w:tc>
              <w:tc>
                <w:tcPr>
                  <w:tcW w:w="361" w:type="pct"/>
                  <w:tcBorders>
                    <w:tl2br w:val="nil"/>
                    <w:tr2bl w:val="nil"/>
                  </w:tcBorders>
                  <w:shd w:val="clear" w:color="auto" w:fill="auto"/>
                  <w:tcMar>
                    <w:top w:w="0" w:type="dxa"/>
                    <w:left w:w="0" w:type="dxa"/>
                    <w:bottom w:w="0" w:type="dxa"/>
                    <w:right w:w="0" w:type="dxa"/>
                  </w:tcMar>
                  <w:vAlign w:val="center"/>
                </w:tcPr>
                <w:p w14:paraId="54269645">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8E069BD">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2EDA5782">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11EB7FB3">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01C42CFD">
                  <w:pPr>
                    <w:pStyle w:val="15"/>
                    <w:bidi w:val="0"/>
                    <w:rPr>
                      <w:rFonts w:hint="eastAsia"/>
                      <w:color w:val="auto"/>
                    </w:rPr>
                  </w:pPr>
                  <w:r>
                    <w:rPr>
                      <w:rFonts w:hint="eastAsia"/>
                      <w:color w:val="auto"/>
                      <w:lang w:val="en-US" w:eastAsia="zh-CN"/>
                    </w:rPr>
                    <w:t>-</w:t>
                  </w:r>
                </w:p>
              </w:tc>
            </w:tr>
            <w:tr w14:paraId="47667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044A21D0">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711CF618">
                  <w:pPr>
                    <w:pStyle w:val="15"/>
                    <w:bidi w:val="0"/>
                    <w:rPr>
                      <w:rFonts w:hint="eastAsia"/>
                      <w:color w:val="auto"/>
                    </w:rPr>
                  </w:pPr>
                  <w:r>
                    <w:rPr>
                      <w:rFonts w:hint="eastAsia"/>
                      <w:color w:val="auto"/>
                      <w:lang w:val="en-US" w:eastAsia="zh-CN"/>
                    </w:rPr>
                    <w:t>20</w:t>
                  </w:r>
                </w:p>
              </w:tc>
              <w:tc>
                <w:tcPr>
                  <w:tcW w:w="578" w:type="pct"/>
                  <w:tcBorders>
                    <w:tl2br w:val="nil"/>
                    <w:tr2bl w:val="nil"/>
                  </w:tcBorders>
                  <w:shd w:val="clear" w:color="auto" w:fill="auto"/>
                  <w:tcMar>
                    <w:top w:w="0" w:type="dxa"/>
                    <w:left w:w="0" w:type="dxa"/>
                    <w:bottom w:w="0" w:type="dxa"/>
                    <w:right w:w="0" w:type="dxa"/>
                  </w:tcMar>
                  <w:vAlign w:val="center"/>
                </w:tcPr>
                <w:p w14:paraId="0A98FB05">
                  <w:pPr>
                    <w:pStyle w:val="15"/>
                    <w:bidi w:val="0"/>
                    <w:rPr>
                      <w:rFonts w:hint="eastAsia"/>
                      <w:color w:val="auto"/>
                    </w:rPr>
                  </w:pPr>
                  <w:r>
                    <w:rPr>
                      <w:rFonts w:hint="eastAsia"/>
                      <w:color w:val="auto"/>
                      <w:lang w:val="en-US" w:eastAsia="zh-CN"/>
                    </w:rPr>
                    <w:t>苯</w:t>
                  </w:r>
                </w:p>
              </w:tc>
              <w:tc>
                <w:tcPr>
                  <w:tcW w:w="361" w:type="pct"/>
                  <w:tcBorders>
                    <w:tl2br w:val="nil"/>
                    <w:tr2bl w:val="nil"/>
                  </w:tcBorders>
                  <w:shd w:val="clear" w:color="auto" w:fill="auto"/>
                  <w:tcMar>
                    <w:top w:w="0" w:type="dxa"/>
                    <w:left w:w="0" w:type="dxa"/>
                    <w:bottom w:w="0" w:type="dxa"/>
                    <w:right w:w="0" w:type="dxa"/>
                  </w:tcMar>
                  <w:vAlign w:val="center"/>
                </w:tcPr>
                <w:p w14:paraId="5676B399">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29EC333A">
                  <w:pPr>
                    <w:pStyle w:val="15"/>
                    <w:bidi w:val="0"/>
                    <w:rPr>
                      <w:rFonts w:hint="eastAsia"/>
                      <w:color w:val="auto"/>
                    </w:rPr>
                  </w:pPr>
                  <w:r>
                    <w:rPr>
                      <w:rFonts w:hint="eastAsia"/>
                      <w:color w:val="auto"/>
                      <w:lang w:val="en-US" w:eastAsia="zh-CN"/>
                    </w:rPr>
                    <w:t>0.5</w:t>
                  </w:r>
                </w:p>
              </w:tc>
              <w:tc>
                <w:tcPr>
                  <w:tcW w:w="1329" w:type="pct"/>
                  <w:tcBorders>
                    <w:tl2br w:val="nil"/>
                    <w:tr2bl w:val="nil"/>
                  </w:tcBorders>
                  <w:shd w:val="clear" w:color="auto" w:fill="auto"/>
                  <w:tcMar>
                    <w:top w:w="0" w:type="dxa"/>
                    <w:left w:w="0" w:type="dxa"/>
                    <w:bottom w:w="0" w:type="dxa"/>
                    <w:right w:w="0" w:type="dxa"/>
                  </w:tcMar>
                  <w:vAlign w:val="center"/>
                </w:tcPr>
                <w:p w14:paraId="230AFF31">
                  <w:pPr>
                    <w:pStyle w:val="15"/>
                    <w:bidi w:val="0"/>
                    <w:rPr>
                      <w:rFonts w:hint="eastAsia"/>
                      <w:color w:val="auto"/>
                    </w:rPr>
                  </w:pPr>
                  <w:r>
                    <w:rPr>
                      <w:rFonts w:hint="eastAsia"/>
                      <w:color w:val="auto"/>
                      <w:lang w:val="en-US" w:eastAsia="zh-CN"/>
                    </w:rPr>
                    <w:t>0.5</w:t>
                  </w:r>
                </w:p>
              </w:tc>
              <w:tc>
                <w:tcPr>
                  <w:tcW w:w="477" w:type="pct"/>
                  <w:tcBorders>
                    <w:tl2br w:val="nil"/>
                    <w:tr2bl w:val="nil"/>
                  </w:tcBorders>
                  <w:shd w:val="clear" w:color="auto" w:fill="auto"/>
                  <w:tcMar>
                    <w:top w:w="0" w:type="dxa"/>
                    <w:left w:w="0" w:type="dxa"/>
                    <w:bottom w:w="0" w:type="dxa"/>
                    <w:right w:w="0" w:type="dxa"/>
                  </w:tcMar>
                  <w:vAlign w:val="center"/>
                </w:tcPr>
                <w:p w14:paraId="58523C2E">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2E50D2DB">
                  <w:pPr>
                    <w:pStyle w:val="15"/>
                    <w:bidi w:val="0"/>
                    <w:rPr>
                      <w:rFonts w:hint="eastAsia"/>
                      <w:color w:val="auto"/>
                    </w:rPr>
                  </w:pPr>
                  <w:r>
                    <w:rPr>
                      <w:rFonts w:hint="eastAsia"/>
                      <w:color w:val="auto"/>
                      <w:lang w:val="en-US" w:eastAsia="zh-CN"/>
                    </w:rPr>
                    <w:t>0.5</w:t>
                  </w:r>
                </w:p>
              </w:tc>
            </w:tr>
            <w:tr w14:paraId="3AB4D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4DE31539">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771A2659">
                  <w:pPr>
                    <w:pStyle w:val="15"/>
                    <w:bidi w:val="0"/>
                    <w:rPr>
                      <w:rFonts w:hint="eastAsia"/>
                      <w:color w:val="auto"/>
                    </w:rPr>
                  </w:pPr>
                  <w:r>
                    <w:rPr>
                      <w:rFonts w:hint="eastAsia"/>
                      <w:color w:val="auto"/>
                      <w:lang w:val="en-US" w:eastAsia="zh-CN"/>
                    </w:rPr>
                    <w:t>21</w:t>
                  </w:r>
                </w:p>
              </w:tc>
              <w:tc>
                <w:tcPr>
                  <w:tcW w:w="578" w:type="pct"/>
                  <w:tcBorders>
                    <w:tl2br w:val="nil"/>
                    <w:tr2bl w:val="nil"/>
                  </w:tcBorders>
                  <w:shd w:val="clear" w:color="auto" w:fill="auto"/>
                  <w:tcMar>
                    <w:top w:w="0" w:type="dxa"/>
                    <w:left w:w="0" w:type="dxa"/>
                    <w:bottom w:w="0" w:type="dxa"/>
                    <w:right w:w="0" w:type="dxa"/>
                  </w:tcMar>
                  <w:vAlign w:val="center"/>
                </w:tcPr>
                <w:p w14:paraId="4AD03246">
                  <w:pPr>
                    <w:pStyle w:val="15"/>
                    <w:bidi w:val="0"/>
                    <w:rPr>
                      <w:rFonts w:hint="eastAsia"/>
                      <w:color w:val="auto"/>
                    </w:rPr>
                  </w:pPr>
                  <w:r>
                    <w:rPr>
                      <w:rFonts w:hint="eastAsia"/>
                      <w:color w:val="auto"/>
                      <w:lang w:val="en-US" w:eastAsia="zh-CN"/>
                    </w:rPr>
                    <w:t>甲苯</w:t>
                  </w:r>
                </w:p>
              </w:tc>
              <w:tc>
                <w:tcPr>
                  <w:tcW w:w="361" w:type="pct"/>
                  <w:tcBorders>
                    <w:tl2br w:val="nil"/>
                    <w:tr2bl w:val="nil"/>
                  </w:tcBorders>
                  <w:shd w:val="clear" w:color="auto" w:fill="auto"/>
                  <w:tcMar>
                    <w:top w:w="0" w:type="dxa"/>
                    <w:left w:w="0" w:type="dxa"/>
                    <w:bottom w:w="0" w:type="dxa"/>
                    <w:right w:w="0" w:type="dxa"/>
                  </w:tcMar>
                  <w:vAlign w:val="center"/>
                </w:tcPr>
                <w:p w14:paraId="03C8A1B8">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05E61CFB">
                  <w:pPr>
                    <w:pStyle w:val="15"/>
                    <w:bidi w:val="0"/>
                    <w:rPr>
                      <w:rFonts w:hint="eastAsia"/>
                      <w:color w:val="auto"/>
                    </w:rPr>
                  </w:pPr>
                  <w:r>
                    <w:rPr>
                      <w:rFonts w:hint="eastAsia"/>
                      <w:color w:val="auto"/>
                      <w:lang w:val="en-US" w:eastAsia="zh-CN"/>
                    </w:rPr>
                    <w:t>0.5</w:t>
                  </w:r>
                </w:p>
              </w:tc>
              <w:tc>
                <w:tcPr>
                  <w:tcW w:w="1329" w:type="pct"/>
                  <w:tcBorders>
                    <w:tl2br w:val="nil"/>
                    <w:tr2bl w:val="nil"/>
                  </w:tcBorders>
                  <w:shd w:val="clear" w:color="auto" w:fill="auto"/>
                  <w:tcMar>
                    <w:top w:w="0" w:type="dxa"/>
                    <w:left w:w="0" w:type="dxa"/>
                    <w:bottom w:w="0" w:type="dxa"/>
                    <w:right w:w="0" w:type="dxa"/>
                  </w:tcMar>
                  <w:vAlign w:val="center"/>
                </w:tcPr>
                <w:p w14:paraId="090B305B">
                  <w:pPr>
                    <w:pStyle w:val="15"/>
                    <w:bidi w:val="0"/>
                    <w:rPr>
                      <w:rFonts w:hint="eastAsia"/>
                      <w:color w:val="auto"/>
                    </w:rPr>
                  </w:pPr>
                  <w:r>
                    <w:rPr>
                      <w:rFonts w:hint="eastAsia"/>
                      <w:color w:val="auto"/>
                      <w:lang w:val="en-US" w:eastAsia="zh-CN"/>
                    </w:rPr>
                    <w:t>0.5</w:t>
                  </w:r>
                </w:p>
              </w:tc>
              <w:tc>
                <w:tcPr>
                  <w:tcW w:w="477" w:type="pct"/>
                  <w:tcBorders>
                    <w:tl2br w:val="nil"/>
                    <w:tr2bl w:val="nil"/>
                  </w:tcBorders>
                  <w:shd w:val="clear" w:color="auto" w:fill="auto"/>
                  <w:tcMar>
                    <w:top w:w="0" w:type="dxa"/>
                    <w:left w:w="0" w:type="dxa"/>
                    <w:bottom w:w="0" w:type="dxa"/>
                    <w:right w:w="0" w:type="dxa"/>
                  </w:tcMar>
                  <w:vAlign w:val="center"/>
                </w:tcPr>
                <w:p w14:paraId="4E33A70F">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5FBAFABE">
                  <w:pPr>
                    <w:pStyle w:val="15"/>
                    <w:bidi w:val="0"/>
                    <w:rPr>
                      <w:rFonts w:hint="eastAsia"/>
                      <w:color w:val="auto"/>
                    </w:rPr>
                  </w:pPr>
                  <w:r>
                    <w:rPr>
                      <w:rFonts w:hint="eastAsia"/>
                      <w:color w:val="auto"/>
                      <w:lang w:val="en-US" w:eastAsia="zh-CN"/>
                    </w:rPr>
                    <w:t>0.5</w:t>
                  </w:r>
                </w:p>
              </w:tc>
            </w:tr>
            <w:tr w14:paraId="5E0578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626FCB23">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41EB2F13">
                  <w:pPr>
                    <w:pStyle w:val="15"/>
                    <w:bidi w:val="0"/>
                    <w:rPr>
                      <w:rFonts w:hint="eastAsia"/>
                      <w:color w:val="auto"/>
                    </w:rPr>
                  </w:pPr>
                  <w:r>
                    <w:rPr>
                      <w:rFonts w:hint="eastAsia"/>
                      <w:color w:val="auto"/>
                      <w:lang w:val="en-US" w:eastAsia="zh-CN"/>
                    </w:rPr>
                    <w:t>22</w:t>
                  </w:r>
                </w:p>
              </w:tc>
              <w:tc>
                <w:tcPr>
                  <w:tcW w:w="578" w:type="pct"/>
                  <w:tcBorders>
                    <w:tl2br w:val="nil"/>
                    <w:tr2bl w:val="nil"/>
                  </w:tcBorders>
                  <w:shd w:val="clear" w:color="auto" w:fill="auto"/>
                  <w:tcMar>
                    <w:top w:w="0" w:type="dxa"/>
                    <w:left w:w="0" w:type="dxa"/>
                    <w:bottom w:w="0" w:type="dxa"/>
                    <w:right w:w="0" w:type="dxa"/>
                  </w:tcMar>
                  <w:vAlign w:val="center"/>
                </w:tcPr>
                <w:p w14:paraId="550DEB57">
                  <w:pPr>
                    <w:pStyle w:val="15"/>
                    <w:bidi w:val="0"/>
                    <w:rPr>
                      <w:rFonts w:hint="eastAsia"/>
                      <w:color w:val="auto"/>
                    </w:rPr>
                  </w:pPr>
                  <w:r>
                    <w:rPr>
                      <w:rFonts w:hint="eastAsia"/>
                      <w:color w:val="auto"/>
                      <w:lang w:val="en-US" w:eastAsia="zh-CN"/>
                    </w:rPr>
                    <w:t>乙苯</w:t>
                  </w:r>
                </w:p>
              </w:tc>
              <w:tc>
                <w:tcPr>
                  <w:tcW w:w="361" w:type="pct"/>
                  <w:tcBorders>
                    <w:tl2br w:val="nil"/>
                    <w:tr2bl w:val="nil"/>
                  </w:tcBorders>
                  <w:shd w:val="clear" w:color="auto" w:fill="auto"/>
                  <w:tcMar>
                    <w:top w:w="0" w:type="dxa"/>
                    <w:left w:w="0" w:type="dxa"/>
                    <w:bottom w:w="0" w:type="dxa"/>
                    <w:right w:w="0" w:type="dxa"/>
                  </w:tcMar>
                  <w:vAlign w:val="center"/>
                </w:tcPr>
                <w:p w14:paraId="782B6C60">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672D485">
                  <w:pPr>
                    <w:pStyle w:val="15"/>
                    <w:bidi w:val="0"/>
                    <w:rPr>
                      <w:rFonts w:hint="eastAsia"/>
                      <w:color w:val="auto"/>
                    </w:rPr>
                  </w:pPr>
                  <w:r>
                    <w:rPr>
                      <w:rFonts w:hint="eastAsia"/>
                      <w:color w:val="auto"/>
                      <w:lang w:val="en-US" w:eastAsia="zh-CN"/>
                    </w:rPr>
                    <w:t>1</w:t>
                  </w:r>
                </w:p>
              </w:tc>
              <w:tc>
                <w:tcPr>
                  <w:tcW w:w="1329" w:type="pct"/>
                  <w:tcBorders>
                    <w:tl2br w:val="nil"/>
                    <w:tr2bl w:val="nil"/>
                  </w:tcBorders>
                  <w:shd w:val="clear" w:color="auto" w:fill="auto"/>
                  <w:tcMar>
                    <w:top w:w="0" w:type="dxa"/>
                    <w:left w:w="0" w:type="dxa"/>
                    <w:bottom w:w="0" w:type="dxa"/>
                    <w:right w:w="0" w:type="dxa"/>
                  </w:tcMar>
                  <w:vAlign w:val="center"/>
                </w:tcPr>
                <w:p w14:paraId="5D3D5E3D">
                  <w:pPr>
                    <w:pStyle w:val="15"/>
                    <w:bidi w:val="0"/>
                    <w:rPr>
                      <w:rFonts w:hint="eastAsia"/>
                      <w:color w:val="auto"/>
                    </w:rPr>
                  </w:pPr>
                  <w:r>
                    <w:rPr>
                      <w:rFonts w:hint="eastAsia"/>
                      <w:color w:val="auto"/>
                      <w:lang w:val="en-US" w:eastAsia="zh-CN"/>
                    </w:rPr>
                    <w:t>1</w:t>
                  </w:r>
                </w:p>
              </w:tc>
              <w:tc>
                <w:tcPr>
                  <w:tcW w:w="477" w:type="pct"/>
                  <w:tcBorders>
                    <w:tl2br w:val="nil"/>
                    <w:tr2bl w:val="nil"/>
                  </w:tcBorders>
                  <w:shd w:val="clear" w:color="auto" w:fill="auto"/>
                  <w:tcMar>
                    <w:top w:w="0" w:type="dxa"/>
                    <w:left w:w="0" w:type="dxa"/>
                    <w:bottom w:w="0" w:type="dxa"/>
                    <w:right w:w="0" w:type="dxa"/>
                  </w:tcMar>
                  <w:vAlign w:val="center"/>
                </w:tcPr>
                <w:p w14:paraId="760957B2">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6CCD401F">
                  <w:pPr>
                    <w:pStyle w:val="15"/>
                    <w:bidi w:val="0"/>
                    <w:rPr>
                      <w:rFonts w:hint="eastAsia"/>
                      <w:color w:val="auto"/>
                    </w:rPr>
                  </w:pPr>
                  <w:r>
                    <w:rPr>
                      <w:rFonts w:hint="eastAsia"/>
                      <w:color w:val="auto"/>
                      <w:lang w:val="en-US" w:eastAsia="zh-CN"/>
                    </w:rPr>
                    <w:t>1</w:t>
                  </w:r>
                </w:p>
              </w:tc>
            </w:tr>
            <w:tr w14:paraId="1DBA4E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3EB8C2B2">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03BFB7A3">
                  <w:pPr>
                    <w:pStyle w:val="15"/>
                    <w:bidi w:val="0"/>
                    <w:rPr>
                      <w:rFonts w:hint="eastAsia"/>
                      <w:color w:val="auto"/>
                    </w:rPr>
                  </w:pPr>
                  <w:r>
                    <w:rPr>
                      <w:rFonts w:hint="eastAsia"/>
                      <w:color w:val="auto"/>
                      <w:lang w:val="en-US" w:eastAsia="zh-CN"/>
                    </w:rPr>
                    <w:t>23</w:t>
                  </w:r>
                </w:p>
              </w:tc>
              <w:tc>
                <w:tcPr>
                  <w:tcW w:w="578" w:type="pct"/>
                  <w:tcBorders>
                    <w:tl2br w:val="nil"/>
                    <w:tr2bl w:val="nil"/>
                  </w:tcBorders>
                  <w:shd w:val="clear" w:color="auto" w:fill="auto"/>
                  <w:tcMar>
                    <w:top w:w="0" w:type="dxa"/>
                    <w:left w:w="0" w:type="dxa"/>
                    <w:bottom w:w="0" w:type="dxa"/>
                    <w:right w:w="0" w:type="dxa"/>
                  </w:tcMar>
                  <w:vAlign w:val="center"/>
                </w:tcPr>
                <w:p w14:paraId="2B4B4995">
                  <w:pPr>
                    <w:pStyle w:val="15"/>
                    <w:bidi w:val="0"/>
                    <w:rPr>
                      <w:rFonts w:hint="eastAsia"/>
                      <w:color w:val="auto"/>
                    </w:rPr>
                  </w:pPr>
                  <w:r>
                    <w:rPr>
                      <w:rFonts w:hint="eastAsia"/>
                      <w:color w:val="auto"/>
                      <w:lang w:val="en-US" w:eastAsia="zh-CN"/>
                    </w:rPr>
                    <w:t>二甲苯</w:t>
                  </w:r>
                </w:p>
              </w:tc>
              <w:tc>
                <w:tcPr>
                  <w:tcW w:w="361" w:type="pct"/>
                  <w:tcBorders>
                    <w:tl2br w:val="nil"/>
                    <w:tr2bl w:val="nil"/>
                  </w:tcBorders>
                  <w:shd w:val="clear" w:color="auto" w:fill="auto"/>
                  <w:tcMar>
                    <w:top w:w="0" w:type="dxa"/>
                    <w:left w:w="0" w:type="dxa"/>
                    <w:bottom w:w="0" w:type="dxa"/>
                    <w:right w:w="0" w:type="dxa"/>
                  </w:tcMar>
                  <w:vAlign w:val="center"/>
                </w:tcPr>
                <w:p w14:paraId="0F7C0132">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4A610912">
                  <w:pPr>
                    <w:pStyle w:val="15"/>
                    <w:bidi w:val="0"/>
                    <w:rPr>
                      <w:rFonts w:hint="eastAsia"/>
                      <w:color w:val="auto"/>
                    </w:rPr>
                  </w:pPr>
                  <w:r>
                    <w:rPr>
                      <w:rFonts w:hint="eastAsia"/>
                      <w:color w:val="auto"/>
                      <w:lang w:val="en-US" w:eastAsia="zh-CN"/>
                    </w:rPr>
                    <w:t>1</w:t>
                  </w:r>
                </w:p>
              </w:tc>
              <w:tc>
                <w:tcPr>
                  <w:tcW w:w="1329" w:type="pct"/>
                  <w:tcBorders>
                    <w:tl2br w:val="nil"/>
                    <w:tr2bl w:val="nil"/>
                  </w:tcBorders>
                  <w:shd w:val="clear" w:color="auto" w:fill="auto"/>
                  <w:tcMar>
                    <w:top w:w="0" w:type="dxa"/>
                    <w:left w:w="0" w:type="dxa"/>
                    <w:bottom w:w="0" w:type="dxa"/>
                    <w:right w:w="0" w:type="dxa"/>
                  </w:tcMar>
                  <w:vAlign w:val="center"/>
                </w:tcPr>
                <w:p w14:paraId="5348DE74">
                  <w:pPr>
                    <w:pStyle w:val="15"/>
                    <w:bidi w:val="0"/>
                    <w:rPr>
                      <w:rFonts w:hint="eastAsia"/>
                      <w:color w:val="auto"/>
                    </w:rPr>
                  </w:pPr>
                  <w:r>
                    <w:rPr>
                      <w:rFonts w:hint="eastAsia"/>
                      <w:color w:val="auto"/>
                      <w:lang w:val="en-US" w:eastAsia="zh-CN"/>
                    </w:rPr>
                    <w:t>1</w:t>
                  </w:r>
                </w:p>
              </w:tc>
              <w:tc>
                <w:tcPr>
                  <w:tcW w:w="477" w:type="pct"/>
                  <w:tcBorders>
                    <w:tl2br w:val="nil"/>
                    <w:tr2bl w:val="nil"/>
                  </w:tcBorders>
                  <w:shd w:val="clear" w:color="auto" w:fill="auto"/>
                  <w:tcMar>
                    <w:top w:w="0" w:type="dxa"/>
                    <w:left w:w="0" w:type="dxa"/>
                    <w:bottom w:w="0" w:type="dxa"/>
                    <w:right w:w="0" w:type="dxa"/>
                  </w:tcMar>
                  <w:vAlign w:val="center"/>
                </w:tcPr>
                <w:p w14:paraId="26508CFD">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4FA27DE6">
                  <w:pPr>
                    <w:pStyle w:val="15"/>
                    <w:bidi w:val="0"/>
                    <w:rPr>
                      <w:rFonts w:hint="eastAsia"/>
                      <w:color w:val="auto"/>
                    </w:rPr>
                  </w:pPr>
                  <w:r>
                    <w:rPr>
                      <w:rFonts w:hint="eastAsia"/>
                      <w:color w:val="auto"/>
                      <w:lang w:val="en-US" w:eastAsia="zh-CN"/>
                    </w:rPr>
                    <w:t>1</w:t>
                  </w:r>
                </w:p>
              </w:tc>
            </w:tr>
            <w:tr w14:paraId="0EFD2F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0A527B18">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10DE7899">
                  <w:pPr>
                    <w:pStyle w:val="15"/>
                    <w:bidi w:val="0"/>
                    <w:rPr>
                      <w:rFonts w:hint="eastAsia"/>
                      <w:color w:val="auto"/>
                    </w:rPr>
                  </w:pPr>
                  <w:r>
                    <w:rPr>
                      <w:rFonts w:hint="eastAsia"/>
                      <w:color w:val="auto"/>
                      <w:lang w:val="en-US" w:eastAsia="zh-CN"/>
                    </w:rPr>
                    <w:t>24</w:t>
                  </w:r>
                </w:p>
              </w:tc>
              <w:tc>
                <w:tcPr>
                  <w:tcW w:w="578" w:type="pct"/>
                  <w:tcBorders>
                    <w:tl2br w:val="nil"/>
                    <w:tr2bl w:val="nil"/>
                  </w:tcBorders>
                  <w:shd w:val="clear" w:color="auto" w:fill="auto"/>
                  <w:tcMar>
                    <w:top w:w="0" w:type="dxa"/>
                    <w:left w:w="0" w:type="dxa"/>
                    <w:bottom w:w="0" w:type="dxa"/>
                    <w:right w:w="0" w:type="dxa"/>
                  </w:tcMar>
                  <w:vAlign w:val="center"/>
                </w:tcPr>
                <w:p w14:paraId="7CB04040">
                  <w:pPr>
                    <w:pStyle w:val="15"/>
                    <w:bidi w:val="0"/>
                    <w:rPr>
                      <w:rFonts w:hint="eastAsia"/>
                      <w:color w:val="auto"/>
                    </w:rPr>
                  </w:pPr>
                  <w:r>
                    <w:rPr>
                      <w:rFonts w:hint="eastAsia"/>
                      <w:color w:val="auto"/>
                      <w:lang w:val="en-US" w:eastAsia="zh-CN"/>
                    </w:rPr>
                    <w:t>铜</w:t>
                  </w:r>
                </w:p>
              </w:tc>
              <w:tc>
                <w:tcPr>
                  <w:tcW w:w="361" w:type="pct"/>
                  <w:tcBorders>
                    <w:tl2br w:val="nil"/>
                    <w:tr2bl w:val="nil"/>
                  </w:tcBorders>
                  <w:shd w:val="clear" w:color="auto" w:fill="auto"/>
                  <w:tcMar>
                    <w:top w:w="0" w:type="dxa"/>
                    <w:left w:w="0" w:type="dxa"/>
                    <w:bottom w:w="0" w:type="dxa"/>
                    <w:right w:w="0" w:type="dxa"/>
                  </w:tcMar>
                  <w:vAlign w:val="center"/>
                </w:tcPr>
                <w:p w14:paraId="325F99AF">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6F7F4CE">
                  <w:pPr>
                    <w:pStyle w:val="15"/>
                    <w:bidi w:val="0"/>
                    <w:rPr>
                      <w:rFonts w:hint="eastAsia"/>
                      <w:color w:val="auto"/>
                    </w:rPr>
                  </w:pPr>
                  <w:r>
                    <w:rPr>
                      <w:rFonts w:hint="eastAsia"/>
                      <w:color w:val="auto"/>
                      <w:lang w:val="en-US" w:eastAsia="zh-CN"/>
                    </w:rPr>
                    <w:t>2</w:t>
                  </w:r>
                </w:p>
              </w:tc>
              <w:tc>
                <w:tcPr>
                  <w:tcW w:w="1329" w:type="pct"/>
                  <w:tcBorders>
                    <w:tl2br w:val="nil"/>
                    <w:tr2bl w:val="nil"/>
                  </w:tcBorders>
                  <w:shd w:val="clear" w:color="auto" w:fill="auto"/>
                  <w:tcMar>
                    <w:top w:w="0" w:type="dxa"/>
                    <w:left w:w="0" w:type="dxa"/>
                    <w:bottom w:w="0" w:type="dxa"/>
                    <w:right w:w="0" w:type="dxa"/>
                  </w:tcMar>
                  <w:vAlign w:val="center"/>
                </w:tcPr>
                <w:p w14:paraId="642A14BF">
                  <w:pPr>
                    <w:pStyle w:val="15"/>
                    <w:bidi w:val="0"/>
                    <w:rPr>
                      <w:rFonts w:hint="eastAsia"/>
                      <w:color w:val="auto"/>
                    </w:rPr>
                  </w:pPr>
                  <w:r>
                    <w:rPr>
                      <w:rFonts w:hint="eastAsia"/>
                      <w:color w:val="auto"/>
                      <w:lang w:val="en-US" w:eastAsia="zh-CN"/>
                    </w:rPr>
                    <w:t>2</w:t>
                  </w:r>
                </w:p>
              </w:tc>
              <w:tc>
                <w:tcPr>
                  <w:tcW w:w="477" w:type="pct"/>
                  <w:tcBorders>
                    <w:tl2br w:val="nil"/>
                    <w:tr2bl w:val="nil"/>
                  </w:tcBorders>
                  <w:shd w:val="clear" w:color="auto" w:fill="auto"/>
                  <w:tcMar>
                    <w:top w:w="0" w:type="dxa"/>
                    <w:left w:w="0" w:type="dxa"/>
                    <w:bottom w:w="0" w:type="dxa"/>
                    <w:right w:w="0" w:type="dxa"/>
                  </w:tcMar>
                  <w:vAlign w:val="center"/>
                </w:tcPr>
                <w:p w14:paraId="66920CF8">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298FFE6A">
                  <w:pPr>
                    <w:pStyle w:val="15"/>
                    <w:bidi w:val="0"/>
                    <w:rPr>
                      <w:rFonts w:hint="eastAsia"/>
                      <w:color w:val="auto"/>
                    </w:rPr>
                  </w:pPr>
                  <w:r>
                    <w:rPr>
                      <w:rFonts w:hint="eastAsia"/>
                      <w:color w:val="auto"/>
                      <w:lang w:val="en-US" w:eastAsia="zh-CN"/>
                    </w:rPr>
                    <w:t>2</w:t>
                  </w:r>
                </w:p>
              </w:tc>
            </w:tr>
            <w:tr w14:paraId="3341F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tcMar>
                    <w:top w:w="0" w:type="dxa"/>
                    <w:left w:w="0" w:type="dxa"/>
                    <w:bottom w:w="0" w:type="dxa"/>
                    <w:right w:w="0" w:type="dxa"/>
                  </w:tcMar>
                  <w:vAlign w:val="center"/>
                </w:tcPr>
                <w:p w14:paraId="4FC92028">
                  <w:pPr>
                    <w:pStyle w:val="15"/>
                    <w:bidi w:val="0"/>
                    <w:rPr>
                      <w:rFonts w:hint="eastAsia"/>
                      <w:color w:val="auto"/>
                    </w:rPr>
                  </w:pPr>
                </w:p>
              </w:tc>
              <w:tc>
                <w:tcPr>
                  <w:tcW w:w="148" w:type="pct"/>
                  <w:tcBorders>
                    <w:tl2br w:val="nil"/>
                    <w:tr2bl w:val="nil"/>
                  </w:tcBorders>
                  <w:shd w:val="clear" w:color="auto" w:fill="auto"/>
                  <w:tcMar>
                    <w:top w:w="0" w:type="dxa"/>
                    <w:left w:w="0" w:type="dxa"/>
                    <w:bottom w:w="0" w:type="dxa"/>
                    <w:right w:w="0" w:type="dxa"/>
                  </w:tcMar>
                  <w:vAlign w:val="center"/>
                </w:tcPr>
                <w:p w14:paraId="734143E4">
                  <w:pPr>
                    <w:pStyle w:val="15"/>
                    <w:bidi w:val="0"/>
                    <w:rPr>
                      <w:rFonts w:hint="eastAsia"/>
                      <w:color w:val="auto"/>
                    </w:rPr>
                  </w:pPr>
                  <w:r>
                    <w:rPr>
                      <w:rFonts w:hint="eastAsia"/>
                      <w:color w:val="auto"/>
                      <w:lang w:val="en-US" w:eastAsia="zh-CN"/>
                    </w:rPr>
                    <w:t>25</w:t>
                  </w:r>
                </w:p>
              </w:tc>
              <w:tc>
                <w:tcPr>
                  <w:tcW w:w="578" w:type="pct"/>
                  <w:tcBorders>
                    <w:tl2br w:val="nil"/>
                    <w:tr2bl w:val="nil"/>
                  </w:tcBorders>
                  <w:shd w:val="clear" w:color="auto" w:fill="auto"/>
                  <w:tcMar>
                    <w:top w:w="0" w:type="dxa"/>
                    <w:left w:w="0" w:type="dxa"/>
                    <w:bottom w:w="0" w:type="dxa"/>
                    <w:right w:w="0" w:type="dxa"/>
                  </w:tcMar>
                  <w:vAlign w:val="center"/>
                </w:tcPr>
                <w:p w14:paraId="2FC74589">
                  <w:pPr>
                    <w:pStyle w:val="15"/>
                    <w:bidi w:val="0"/>
                    <w:rPr>
                      <w:rFonts w:hint="eastAsia"/>
                      <w:color w:val="auto"/>
                    </w:rPr>
                  </w:pPr>
                  <w:r>
                    <w:rPr>
                      <w:rFonts w:hint="eastAsia"/>
                      <w:color w:val="auto"/>
                      <w:lang w:val="en-US" w:eastAsia="zh-CN"/>
                    </w:rPr>
                    <w:t>锌</w:t>
                  </w:r>
                </w:p>
              </w:tc>
              <w:tc>
                <w:tcPr>
                  <w:tcW w:w="361" w:type="pct"/>
                  <w:tcBorders>
                    <w:tl2br w:val="nil"/>
                    <w:tr2bl w:val="nil"/>
                  </w:tcBorders>
                  <w:shd w:val="clear" w:color="auto" w:fill="auto"/>
                  <w:tcMar>
                    <w:top w:w="0" w:type="dxa"/>
                    <w:left w:w="0" w:type="dxa"/>
                    <w:bottom w:w="0" w:type="dxa"/>
                    <w:right w:w="0" w:type="dxa"/>
                  </w:tcMar>
                  <w:vAlign w:val="center"/>
                </w:tcPr>
                <w:p w14:paraId="278F0005">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F06D70F">
                  <w:pPr>
                    <w:pStyle w:val="15"/>
                    <w:bidi w:val="0"/>
                    <w:rPr>
                      <w:rFonts w:hint="eastAsia"/>
                      <w:color w:val="auto"/>
                    </w:rPr>
                  </w:pPr>
                  <w:r>
                    <w:rPr>
                      <w:rFonts w:hint="eastAsia"/>
                      <w:color w:val="auto"/>
                      <w:lang w:val="en-US" w:eastAsia="zh-CN"/>
                    </w:rPr>
                    <w:t>5</w:t>
                  </w:r>
                </w:p>
              </w:tc>
              <w:tc>
                <w:tcPr>
                  <w:tcW w:w="1329" w:type="pct"/>
                  <w:tcBorders>
                    <w:tl2br w:val="nil"/>
                    <w:tr2bl w:val="nil"/>
                  </w:tcBorders>
                  <w:shd w:val="clear" w:color="auto" w:fill="auto"/>
                  <w:tcMar>
                    <w:top w:w="0" w:type="dxa"/>
                    <w:left w:w="0" w:type="dxa"/>
                    <w:bottom w:w="0" w:type="dxa"/>
                    <w:right w:w="0" w:type="dxa"/>
                  </w:tcMar>
                  <w:vAlign w:val="center"/>
                </w:tcPr>
                <w:p w14:paraId="3874C2B2">
                  <w:pPr>
                    <w:pStyle w:val="15"/>
                    <w:bidi w:val="0"/>
                    <w:rPr>
                      <w:rFonts w:hint="eastAsia"/>
                      <w:color w:val="auto"/>
                    </w:rPr>
                  </w:pPr>
                  <w:r>
                    <w:rPr>
                      <w:rFonts w:hint="eastAsia"/>
                      <w:color w:val="auto"/>
                      <w:lang w:val="en-US" w:eastAsia="zh-CN"/>
                    </w:rPr>
                    <w:t>5</w:t>
                  </w:r>
                </w:p>
              </w:tc>
              <w:tc>
                <w:tcPr>
                  <w:tcW w:w="477" w:type="pct"/>
                  <w:tcBorders>
                    <w:tl2br w:val="nil"/>
                    <w:tr2bl w:val="nil"/>
                  </w:tcBorders>
                  <w:shd w:val="clear" w:color="auto" w:fill="auto"/>
                  <w:tcMar>
                    <w:top w:w="0" w:type="dxa"/>
                    <w:left w:w="0" w:type="dxa"/>
                    <w:bottom w:w="0" w:type="dxa"/>
                    <w:right w:w="0" w:type="dxa"/>
                  </w:tcMar>
                  <w:vAlign w:val="center"/>
                </w:tcPr>
                <w:p w14:paraId="7B28E1C8">
                  <w:pPr>
                    <w:pStyle w:val="15"/>
                    <w:bidi w:val="0"/>
                    <w:rPr>
                      <w:rFonts w:hint="eastAsia"/>
                      <w:color w:val="auto"/>
                    </w:rPr>
                  </w:pPr>
                </w:p>
              </w:tc>
              <w:tc>
                <w:tcPr>
                  <w:tcW w:w="479" w:type="pct"/>
                  <w:tcBorders>
                    <w:tl2br w:val="nil"/>
                    <w:tr2bl w:val="nil"/>
                  </w:tcBorders>
                  <w:shd w:val="clear" w:color="auto" w:fill="auto"/>
                  <w:noWrap/>
                  <w:tcMar>
                    <w:top w:w="0" w:type="dxa"/>
                    <w:left w:w="0" w:type="dxa"/>
                    <w:bottom w:w="0" w:type="dxa"/>
                    <w:right w:w="0" w:type="dxa"/>
                  </w:tcMar>
                  <w:vAlign w:val="center"/>
                </w:tcPr>
                <w:p w14:paraId="7FA05EBA">
                  <w:pPr>
                    <w:pStyle w:val="15"/>
                    <w:bidi w:val="0"/>
                    <w:rPr>
                      <w:rFonts w:hint="eastAsia"/>
                      <w:color w:val="auto"/>
                    </w:rPr>
                  </w:pPr>
                  <w:r>
                    <w:rPr>
                      <w:rFonts w:hint="eastAsia"/>
                      <w:color w:val="auto"/>
                      <w:lang w:val="en-US" w:eastAsia="zh-CN"/>
                    </w:rPr>
                    <w:t>5</w:t>
                  </w:r>
                </w:p>
              </w:tc>
            </w:tr>
            <w:tr w14:paraId="1BA76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restart"/>
                  <w:tcBorders>
                    <w:tl2br w:val="nil"/>
                    <w:tr2bl w:val="nil"/>
                  </w:tcBorders>
                  <w:shd w:val="clear" w:color="auto" w:fill="auto"/>
                  <w:noWrap/>
                  <w:tcMar>
                    <w:top w:w="0" w:type="dxa"/>
                    <w:left w:w="0" w:type="dxa"/>
                    <w:bottom w:w="0" w:type="dxa"/>
                    <w:right w:w="0" w:type="dxa"/>
                  </w:tcMar>
                  <w:vAlign w:val="center"/>
                </w:tcPr>
                <w:p w14:paraId="061343DD">
                  <w:pPr>
                    <w:pStyle w:val="15"/>
                    <w:bidi w:val="0"/>
                    <w:rPr>
                      <w:rFonts w:hint="eastAsia"/>
                      <w:color w:val="auto"/>
                      <w:lang w:val="en-US" w:eastAsia="zh-CN"/>
                    </w:rPr>
                  </w:pPr>
                  <w:r>
                    <w:rPr>
                      <w:rFonts w:hint="eastAsia"/>
                      <w:color w:val="auto"/>
                      <w:lang w:val="en-US" w:eastAsia="zh-CN"/>
                    </w:rPr>
                    <w:t>DW002</w:t>
                  </w:r>
                </w:p>
                <w:p w14:paraId="2DAD67C0">
                  <w:pPr>
                    <w:pStyle w:val="15"/>
                    <w:bidi w:val="0"/>
                    <w:rPr>
                      <w:rFonts w:hint="eastAsia"/>
                      <w:color w:val="auto"/>
                      <w:lang w:val="en-US" w:eastAsia="zh-CN"/>
                    </w:rPr>
                  </w:pPr>
                  <w:r>
                    <w:rPr>
                      <w:rFonts w:hint="eastAsia"/>
                      <w:color w:val="auto"/>
                      <w:lang w:val="en-US" w:eastAsia="zh-CN"/>
                    </w:rPr>
                    <w:t>生活污水</w:t>
                  </w:r>
                </w:p>
                <w:p w14:paraId="17593ABF">
                  <w:pPr>
                    <w:pStyle w:val="15"/>
                    <w:bidi w:val="0"/>
                    <w:rPr>
                      <w:rFonts w:hint="eastAsia"/>
                      <w:color w:val="auto"/>
                    </w:rPr>
                  </w:pPr>
                  <w:r>
                    <w:rPr>
                      <w:rFonts w:hint="eastAsia"/>
                      <w:color w:val="auto"/>
                      <w:lang w:val="en-US" w:eastAsia="zh-CN"/>
                    </w:rPr>
                    <w:t>排放口</w:t>
                  </w:r>
                </w:p>
              </w:tc>
              <w:tc>
                <w:tcPr>
                  <w:tcW w:w="148" w:type="pct"/>
                  <w:tcBorders>
                    <w:tl2br w:val="nil"/>
                    <w:tr2bl w:val="nil"/>
                  </w:tcBorders>
                  <w:shd w:val="clear" w:color="auto" w:fill="auto"/>
                  <w:noWrap/>
                  <w:tcMar>
                    <w:top w:w="0" w:type="dxa"/>
                    <w:left w:w="0" w:type="dxa"/>
                    <w:bottom w:w="0" w:type="dxa"/>
                    <w:right w:w="0" w:type="dxa"/>
                  </w:tcMar>
                  <w:vAlign w:val="center"/>
                </w:tcPr>
                <w:p w14:paraId="56549D64">
                  <w:pPr>
                    <w:pStyle w:val="15"/>
                    <w:bidi w:val="0"/>
                    <w:rPr>
                      <w:rFonts w:hint="eastAsia"/>
                      <w:color w:val="auto"/>
                    </w:rPr>
                  </w:pPr>
                  <w:r>
                    <w:rPr>
                      <w:rFonts w:hint="eastAsia"/>
                      <w:color w:val="auto"/>
                      <w:lang w:val="en-US" w:eastAsia="zh-CN"/>
                    </w:rPr>
                    <w:t>1</w:t>
                  </w:r>
                </w:p>
              </w:tc>
              <w:tc>
                <w:tcPr>
                  <w:tcW w:w="578" w:type="pct"/>
                  <w:tcBorders>
                    <w:tl2br w:val="nil"/>
                    <w:tr2bl w:val="nil"/>
                  </w:tcBorders>
                  <w:shd w:val="clear" w:color="auto" w:fill="auto"/>
                  <w:tcMar>
                    <w:top w:w="0" w:type="dxa"/>
                    <w:left w:w="0" w:type="dxa"/>
                    <w:bottom w:w="0" w:type="dxa"/>
                    <w:right w:w="0" w:type="dxa"/>
                  </w:tcMar>
                  <w:vAlign w:val="center"/>
                </w:tcPr>
                <w:p w14:paraId="2DE3D8DA">
                  <w:pPr>
                    <w:pStyle w:val="15"/>
                    <w:bidi w:val="0"/>
                    <w:rPr>
                      <w:rFonts w:hint="eastAsia"/>
                      <w:color w:val="auto"/>
                    </w:rPr>
                  </w:pPr>
                  <w:r>
                    <w:rPr>
                      <w:rFonts w:hint="eastAsia"/>
                      <w:color w:val="auto"/>
                      <w:lang w:val="en-US" w:eastAsia="zh-CN"/>
                    </w:rPr>
                    <w:t>pH</w:t>
                  </w:r>
                </w:p>
              </w:tc>
              <w:tc>
                <w:tcPr>
                  <w:tcW w:w="361" w:type="pct"/>
                  <w:tcBorders>
                    <w:tl2br w:val="nil"/>
                    <w:tr2bl w:val="nil"/>
                  </w:tcBorders>
                  <w:shd w:val="clear" w:color="auto" w:fill="auto"/>
                  <w:tcMar>
                    <w:top w:w="0" w:type="dxa"/>
                    <w:left w:w="0" w:type="dxa"/>
                    <w:bottom w:w="0" w:type="dxa"/>
                    <w:right w:w="0" w:type="dxa"/>
                  </w:tcMar>
                  <w:vAlign w:val="center"/>
                </w:tcPr>
                <w:p w14:paraId="398BDC6E">
                  <w:pPr>
                    <w:pStyle w:val="15"/>
                    <w:bidi w:val="0"/>
                    <w:rPr>
                      <w:rFonts w:hint="eastAsia"/>
                      <w:color w:val="auto"/>
                    </w:rPr>
                  </w:pPr>
                  <w:r>
                    <w:rPr>
                      <w:rFonts w:hint="eastAsia"/>
                      <w:color w:val="auto"/>
                      <w:lang w:val="en-US" w:eastAsia="zh-CN"/>
                    </w:rPr>
                    <w:t>无量纲</w:t>
                  </w:r>
                </w:p>
              </w:tc>
              <w:tc>
                <w:tcPr>
                  <w:tcW w:w="1120" w:type="pct"/>
                  <w:tcBorders>
                    <w:tl2br w:val="nil"/>
                    <w:tr2bl w:val="nil"/>
                  </w:tcBorders>
                  <w:shd w:val="clear" w:color="auto" w:fill="auto"/>
                  <w:tcMar>
                    <w:top w:w="0" w:type="dxa"/>
                    <w:left w:w="0" w:type="dxa"/>
                    <w:bottom w:w="0" w:type="dxa"/>
                    <w:right w:w="0" w:type="dxa"/>
                  </w:tcMar>
                  <w:vAlign w:val="center"/>
                </w:tcPr>
                <w:p w14:paraId="508F83D1">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7472CBA5">
                  <w:pPr>
                    <w:pStyle w:val="15"/>
                    <w:bidi w:val="0"/>
                    <w:rPr>
                      <w:rFonts w:hint="eastAsia"/>
                      <w:color w:val="auto"/>
                    </w:rPr>
                  </w:pPr>
                  <w:r>
                    <w:rPr>
                      <w:rFonts w:hint="eastAsia"/>
                      <w:color w:val="auto"/>
                      <w:lang w:val="en-US" w:eastAsia="zh-CN"/>
                    </w:rPr>
                    <w:t>6~9</w:t>
                  </w:r>
                </w:p>
              </w:tc>
              <w:tc>
                <w:tcPr>
                  <w:tcW w:w="477" w:type="pct"/>
                  <w:tcBorders>
                    <w:tl2br w:val="nil"/>
                    <w:tr2bl w:val="nil"/>
                  </w:tcBorders>
                  <w:shd w:val="clear" w:color="auto" w:fill="auto"/>
                  <w:tcMar>
                    <w:top w:w="0" w:type="dxa"/>
                    <w:left w:w="0" w:type="dxa"/>
                    <w:bottom w:w="0" w:type="dxa"/>
                    <w:right w:w="0" w:type="dxa"/>
                  </w:tcMar>
                  <w:vAlign w:val="center"/>
                </w:tcPr>
                <w:p w14:paraId="03CA3964">
                  <w:pPr>
                    <w:pStyle w:val="15"/>
                    <w:bidi w:val="0"/>
                    <w:rPr>
                      <w:rFonts w:hint="eastAsia"/>
                      <w:color w:val="auto"/>
                    </w:rPr>
                  </w:pPr>
                  <w:r>
                    <w:rPr>
                      <w:rFonts w:hint="eastAsia"/>
                      <w:color w:val="auto"/>
                      <w:lang w:val="en-US" w:eastAsia="zh-CN"/>
                    </w:rPr>
                    <w:t>6~9</w:t>
                  </w:r>
                </w:p>
              </w:tc>
              <w:tc>
                <w:tcPr>
                  <w:tcW w:w="479" w:type="pct"/>
                  <w:tcBorders>
                    <w:tl2br w:val="nil"/>
                    <w:tr2bl w:val="nil"/>
                  </w:tcBorders>
                  <w:shd w:val="clear" w:color="auto" w:fill="auto"/>
                  <w:tcMar>
                    <w:top w:w="0" w:type="dxa"/>
                    <w:left w:w="0" w:type="dxa"/>
                    <w:bottom w:w="0" w:type="dxa"/>
                    <w:right w:w="0" w:type="dxa"/>
                  </w:tcMar>
                  <w:vAlign w:val="center"/>
                </w:tcPr>
                <w:p w14:paraId="59BFCE89">
                  <w:pPr>
                    <w:pStyle w:val="15"/>
                    <w:bidi w:val="0"/>
                    <w:rPr>
                      <w:rFonts w:hint="eastAsia"/>
                      <w:color w:val="auto"/>
                    </w:rPr>
                  </w:pPr>
                  <w:r>
                    <w:rPr>
                      <w:rFonts w:hint="eastAsia"/>
                      <w:color w:val="auto"/>
                      <w:lang w:val="en-US" w:eastAsia="zh-CN"/>
                    </w:rPr>
                    <w:t>6~9</w:t>
                  </w:r>
                </w:p>
              </w:tc>
            </w:tr>
            <w:tr w14:paraId="346056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3A1FBAAD">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0087D5CC">
                  <w:pPr>
                    <w:pStyle w:val="15"/>
                    <w:bidi w:val="0"/>
                    <w:rPr>
                      <w:rFonts w:hint="eastAsia"/>
                      <w:color w:val="auto"/>
                    </w:rPr>
                  </w:pPr>
                  <w:r>
                    <w:rPr>
                      <w:rFonts w:hint="eastAsia"/>
                      <w:color w:val="auto"/>
                      <w:lang w:val="en-US" w:eastAsia="zh-CN"/>
                    </w:rPr>
                    <w:t>2</w:t>
                  </w:r>
                </w:p>
              </w:tc>
              <w:tc>
                <w:tcPr>
                  <w:tcW w:w="578" w:type="pct"/>
                  <w:tcBorders>
                    <w:tl2br w:val="nil"/>
                    <w:tr2bl w:val="nil"/>
                  </w:tcBorders>
                  <w:shd w:val="clear" w:color="auto" w:fill="auto"/>
                  <w:tcMar>
                    <w:top w:w="0" w:type="dxa"/>
                    <w:left w:w="0" w:type="dxa"/>
                    <w:bottom w:w="0" w:type="dxa"/>
                    <w:right w:w="0" w:type="dxa"/>
                  </w:tcMar>
                  <w:vAlign w:val="center"/>
                </w:tcPr>
                <w:p w14:paraId="327E73AB">
                  <w:pPr>
                    <w:pStyle w:val="15"/>
                    <w:bidi w:val="0"/>
                    <w:rPr>
                      <w:rFonts w:hint="eastAsia"/>
                      <w:color w:val="auto"/>
                    </w:rPr>
                  </w:pPr>
                  <w:r>
                    <w:rPr>
                      <w:rFonts w:hint="eastAsia"/>
                      <w:color w:val="auto"/>
                      <w:lang w:val="en-US" w:eastAsia="zh-CN"/>
                    </w:rPr>
                    <w:t>悬浮物</w:t>
                  </w:r>
                </w:p>
              </w:tc>
              <w:tc>
                <w:tcPr>
                  <w:tcW w:w="361" w:type="pct"/>
                  <w:tcBorders>
                    <w:tl2br w:val="nil"/>
                    <w:tr2bl w:val="nil"/>
                  </w:tcBorders>
                  <w:shd w:val="clear" w:color="auto" w:fill="auto"/>
                  <w:tcMar>
                    <w:top w:w="0" w:type="dxa"/>
                    <w:left w:w="0" w:type="dxa"/>
                    <w:bottom w:w="0" w:type="dxa"/>
                    <w:right w:w="0" w:type="dxa"/>
                  </w:tcMar>
                  <w:vAlign w:val="center"/>
                </w:tcPr>
                <w:p w14:paraId="0245B0C4">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284D84E4">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65514A9E">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0C7E878">
                  <w:pPr>
                    <w:pStyle w:val="15"/>
                    <w:bidi w:val="0"/>
                    <w:rPr>
                      <w:rFonts w:hint="eastAsia"/>
                      <w:color w:val="auto"/>
                    </w:rPr>
                  </w:pPr>
                  <w:r>
                    <w:rPr>
                      <w:rFonts w:hint="eastAsia"/>
                      <w:color w:val="auto"/>
                      <w:lang w:val="en-US" w:eastAsia="zh-CN"/>
                    </w:rPr>
                    <w:t>400</w:t>
                  </w:r>
                </w:p>
              </w:tc>
              <w:tc>
                <w:tcPr>
                  <w:tcW w:w="479" w:type="pct"/>
                  <w:tcBorders>
                    <w:tl2br w:val="nil"/>
                    <w:tr2bl w:val="nil"/>
                  </w:tcBorders>
                  <w:shd w:val="clear" w:color="auto" w:fill="auto"/>
                  <w:noWrap/>
                  <w:tcMar>
                    <w:top w:w="0" w:type="dxa"/>
                    <w:left w:w="0" w:type="dxa"/>
                    <w:bottom w:w="0" w:type="dxa"/>
                    <w:right w:w="0" w:type="dxa"/>
                  </w:tcMar>
                  <w:vAlign w:val="center"/>
                </w:tcPr>
                <w:p w14:paraId="2F457876">
                  <w:pPr>
                    <w:pStyle w:val="15"/>
                    <w:bidi w:val="0"/>
                    <w:rPr>
                      <w:rFonts w:hint="eastAsia"/>
                      <w:color w:val="auto"/>
                    </w:rPr>
                  </w:pPr>
                  <w:r>
                    <w:rPr>
                      <w:rFonts w:hint="eastAsia"/>
                      <w:color w:val="auto"/>
                      <w:lang w:val="en-US" w:eastAsia="zh-CN"/>
                    </w:rPr>
                    <w:t>400</w:t>
                  </w:r>
                </w:p>
              </w:tc>
            </w:tr>
            <w:tr w14:paraId="44B61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3EEA3D8B">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2551894D">
                  <w:pPr>
                    <w:pStyle w:val="15"/>
                    <w:bidi w:val="0"/>
                    <w:rPr>
                      <w:rFonts w:hint="eastAsia"/>
                      <w:color w:val="auto"/>
                    </w:rPr>
                  </w:pPr>
                  <w:r>
                    <w:rPr>
                      <w:rFonts w:hint="eastAsia"/>
                      <w:color w:val="auto"/>
                      <w:lang w:val="en-US" w:eastAsia="zh-CN"/>
                    </w:rPr>
                    <w:t>3</w:t>
                  </w:r>
                </w:p>
              </w:tc>
              <w:tc>
                <w:tcPr>
                  <w:tcW w:w="578" w:type="pct"/>
                  <w:tcBorders>
                    <w:tl2br w:val="nil"/>
                    <w:tr2bl w:val="nil"/>
                  </w:tcBorders>
                  <w:shd w:val="clear" w:color="auto" w:fill="auto"/>
                  <w:tcMar>
                    <w:top w:w="0" w:type="dxa"/>
                    <w:left w:w="0" w:type="dxa"/>
                    <w:bottom w:w="0" w:type="dxa"/>
                    <w:right w:w="0" w:type="dxa"/>
                  </w:tcMar>
                  <w:vAlign w:val="center"/>
                </w:tcPr>
                <w:p w14:paraId="28072088">
                  <w:pPr>
                    <w:pStyle w:val="15"/>
                    <w:bidi w:val="0"/>
                    <w:rPr>
                      <w:rFonts w:hint="eastAsia"/>
                      <w:color w:val="auto"/>
                    </w:rPr>
                  </w:pPr>
                  <w:r>
                    <w:rPr>
                      <w:rFonts w:hint="eastAsia"/>
                      <w:color w:val="auto"/>
                      <w:lang w:val="en-US" w:eastAsia="zh-CN"/>
                    </w:rPr>
                    <w:t>CODCr</w:t>
                  </w:r>
                </w:p>
              </w:tc>
              <w:tc>
                <w:tcPr>
                  <w:tcW w:w="361" w:type="pct"/>
                  <w:tcBorders>
                    <w:tl2br w:val="nil"/>
                    <w:tr2bl w:val="nil"/>
                  </w:tcBorders>
                  <w:shd w:val="clear" w:color="auto" w:fill="auto"/>
                  <w:tcMar>
                    <w:top w:w="0" w:type="dxa"/>
                    <w:left w:w="0" w:type="dxa"/>
                    <w:bottom w:w="0" w:type="dxa"/>
                    <w:right w:w="0" w:type="dxa"/>
                  </w:tcMar>
                  <w:vAlign w:val="center"/>
                </w:tcPr>
                <w:p w14:paraId="11765EA6">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65CFC10C">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5D9F1004">
                  <w:pPr>
                    <w:pStyle w:val="15"/>
                    <w:bidi w:val="0"/>
                    <w:rPr>
                      <w:rFonts w:hint="eastAsia"/>
                      <w:color w:val="auto"/>
                    </w:rPr>
                  </w:pPr>
                  <w:r>
                    <w:rPr>
                      <w:rFonts w:hint="eastAsia"/>
                      <w:color w:val="auto"/>
                      <w:lang w:val="en-US" w:eastAsia="zh-CN"/>
                    </w:rPr>
                    <w:t>500</w:t>
                  </w:r>
                </w:p>
              </w:tc>
              <w:tc>
                <w:tcPr>
                  <w:tcW w:w="477" w:type="pct"/>
                  <w:tcBorders>
                    <w:tl2br w:val="nil"/>
                    <w:tr2bl w:val="nil"/>
                  </w:tcBorders>
                  <w:shd w:val="clear" w:color="auto" w:fill="auto"/>
                  <w:tcMar>
                    <w:top w:w="0" w:type="dxa"/>
                    <w:left w:w="0" w:type="dxa"/>
                    <w:bottom w:w="0" w:type="dxa"/>
                    <w:right w:w="0" w:type="dxa"/>
                  </w:tcMar>
                  <w:vAlign w:val="center"/>
                </w:tcPr>
                <w:p w14:paraId="3644E156">
                  <w:pPr>
                    <w:pStyle w:val="15"/>
                    <w:bidi w:val="0"/>
                    <w:rPr>
                      <w:rFonts w:hint="eastAsia"/>
                      <w:color w:val="auto"/>
                    </w:rPr>
                  </w:pPr>
                  <w:r>
                    <w:rPr>
                      <w:rFonts w:hint="eastAsia"/>
                      <w:color w:val="auto"/>
                      <w:lang w:val="en-US" w:eastAsia="zh-CN"/>
                    </w:rPr>
                    <w:t>500</w:t>
                  </w:r>
                </w:p>
              </w:tc>
              <w:tc>
                <w:tcPr>
                  <w:tcW w:w="479" w:type="pct"/>
                  <w:tcBorders>
                    <w:tl2br w:val="nil"/>
                    <w:tr2bl w:val="nil"/>
                  </w:tcBorders>
                  <w:shd w:val="clear" w:color="auto" w:fill="auto"/>
                  <w:noWrap/>
                  <w:tcMar>
                    <w:top w:w="0" w:type="dxa"/>
                    <w:left w:w="0" w:type="dxa"/>
                    <w:bottom w:w="0" w:type="dxa"/>
                    <w:right w:w="0" w:type="dxa"/>
                  </w:tcMar>
                  <w:vAlign w:val="center"/>
                </w:tcPr>
                <w:p w14:paraId="03678C91">
                  <w:pPr>
                    <w:pStyle w:val="15"/>
                    <w:bidi w:val="0"/>
                    <w:rPr>
                      <w:rFonts w:hint="eastAsia"/>
                      <w:color w:val="auto"/>
                    </w:rPr>
                  </w:pPr>
                  <w:r>
                    <w:rPr>
                      <w:rFonts w:hint="eastAsia"/>
                      <w:color w:val="auto"/>
                      <w:lang w:val="en-US" w:eastAsia="zh-CN"/>
                    </w:rPr>
                    <w:t>500</w:t>
                  </w:r>
                </w:p>
              </w:tc>
            </w:tr>
            <w:tr w14:paraId="0ABA17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2587B469">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171D9347">
                  <w:pPr>
                    <w:pStyle w:val="15"/>
                    <w:bidi w:val="0"/>
                    <w:rPr>
                      <w:rFonts w:hint="eastAsia"/>
                      <w:color w:val="auto"/>
                    </w:rPr>
                  </w:pPr>
                  <w:r>
                    <w:rPr>
                      <w:rFonts w:hint="eastAsia"/>
                      <w:color w:val="auto"/>
                      <w:lang w:val="en-US" w:eastAsia="zh-CN"/>
                    </w:rPr>
                    <w:t>4</w:t>
                  </w:r>
                </w:p>
              </w:tc>
              <w:tc>
                <w:tcPr>
                  <w:tcW w:w="578" w:type="pct"/>
                  <w:tcBorders>
                    <w:tl2br w:val="nil"/>
                    <w:tr2bl w:val="nil"/>
                  </w:tcBorders>
                  <w:shd w:val="clear" w:color="auto" w:fill="auto"/>
                  <w:tcMar>
                    <w:top w:w="0" w:type="dxa"/>
                    <w:left w:w="0" w:type="dxa"/>
                    <w:bottom w:w="0" w:type="dxa"/>
                    <w:right w:w="0" w:type="dxa"/>
                  </w:tcMar>
                  <w:vAlign w:val="center"/>
                </w:tcPr>
                <w:p w14:paraId="561D4B71">
                  <w:pPr>
                    <w:pStyle w:val="15"/>
                    <w:bidi w:val="0"/>
                    <w:rPr>
                      <w:rFonts w:hint="eastAsia"/>
                      <w:color w:val="auto"/>
                    </w:rPr>
                  </w:pPr>
                  <w:r>
                    <w:rPr>
                      <w:rFonts w:hint="eastAsia"/>
                      <w:color w:val="auto"/>
                      <w:lang w:val="en-US" w:eastAsia="zh-CN"/>
                    </w:rPr>
                    <w:t>BOD5</w:t>
                  </w:r>
                </w:p>
              </w:tc>
              <w:tc>
                <w:tcPr>
                  <w:tcW w:w="361" w:type="pct"/>
                  <w:tcBorders>
                    <w:tl2br w:val="nil"/>
                    <w:tr2bl w:val="nil"/>
                  </w:tcBorders>
                  <w:shd w:val="clear" w:color="auto" w:fill="auto"/>
                  <w:tcMar>
                    <w:top w:w="0" w:type="dxa"/>
                    <w:left w:w="0" w:type="dxa"/>
                    <w:bottom w:w="0" w:type="dxa"/>
                    <w:right w:w="0" w:type="dxa"/>
                  </w:tcMar>
                  <w:vAlign w:val="center"/>
                </w:tcPr>
                <w:p w14:paraId="125ABF16">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246A6537">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71246192">
                  <w:pPr>
                    <w:pStyle w:val="15"/>
                    <w:bidi w:val="0"/>
                    <w:rPr>
                      <w:rFonts w:hint="eastAsia"/>
                      <w:color w:val="auto"/>
                    </w:rPr>
                  </w:pPr>
                  <w:r>
                    <w:rPr>
                      <w:rFonts w:hint="eastAsia"/>
                      <w:color w:val="auto"/>
                      <w:lang w:val="en-US" w:eastAsia="zh-CN"/>
                    </w:rPr>
                    <w:t>300</w:t>
                  </w:r>
                </w:p>
              </w:tc>
              <w:tc>
                <w:tcPr>
                  <w:tcW w:w="477" w:type="pct"/>
                  <w:tcBorders>
                    <w:tl2br w:val="nil"/>
                    <w:tr2bl w:val="nil"/>
                  </w:tcBorders>
                  <w:shd w:val="clear" w:color="auto" w:fill="auto"/>
                  <w:tcMar>
                    <w:top w:w="0" w:type="dxa"/>
                    <w:left w:w="0" w:type="dxa"/>
                    <w:bottom w:w="0" w:type="dxa"/>
                    <w:right w:w="0" w:type="dxa"/>
                  </w:tcMar>
                  <w:vAlign w:val="center"/>
                </w:tcPr>
                <w:p w14:paraId="5A587E7D">
                  <w:pPr>
                    <w:pStyle w:val="15"/>
                    <w:bidi w:val="0"/>
                    <w:rPr>
                      <w:rFonts w:hint="eastAsia"/>
                      <w:color w:val="auto"/>
                    </w:rPr>
                  </w:pPr>
                  <w:r>
                    <w:rPr>
                      <w:rFonts w:hint="eastAsia"/>
                      <w:color w:val="auto"/>
                      <w:lang w:val="en-US" w:eastAsia="zh-CN"/>
                    </w:rPr>
                    <w:t>300</w:t>
                  </w:r>
                </w:p>
              </w:tc>
              <w:tc>
                <w:tcPr>
                  <w:tcW w:w="479" w:type="pct"/>
                  <w:tcBorders>
                    <w:tl2br w:val="nil"/>
                    <w:tr2bl w:val="nil"/>
                  </w:tcBorders>
                  <w:shd w:val="clear" w:color="auto" w:fill="auto"/>
                  <w:noWrap/>
                  <w:tcMar>
                    <w:top w:w="0" w:type="dxa"/>
                    <w:left w:w="0" w:type="dxa"/>
                    <w:bottom w:w="0" w:type="dxa"/>
                    <w:right w:w="0" w:type="dxa"/>
                  </w:tcMar>
                  <w:vAlign w:val="center"/>
                </w:tcPr>
                <w:p w14:paraId="5EF08ADE">
                  <w:pPr>
                    <w:pStyle w:val="15"/>
                    <w:bidi w:val="0"/>
                    <w:rPr>
                      <w:rFonts w:hint="eastAsia"/>
                      <w:color w:val="auto"/>
                    </w:rPr>
                  </w:pPr>
                  <w:r>
                    <w:rPr>
                      <w:rFonts w:hint="eastAsia"/>
                      <w:color w:val="auto"/>
                      <w:lang w:val="en-US" w:eastAsia="zh-CN"/>
                    </w:rPr>
                    <w:t>300</w:t>
                  </w:r>
                </w:p>
              </w:tc>
            </w:tr>
            <w:tr w14:paraId="71D10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7F1FD5C0">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79BAB7DD">
                  <w:pPr>
                    <w:pStyle w:val="15"/>
                    <w:bidi w:val="0"/>
                    <w:rPr>
                      <w:rFonts w:hint="eastAsia"/>
                      <w:color w:val="auto"/>
                    </w:rPr>
                  </w:pPr>
                  <w:r>
                    <w:rPr>
                      <w:rFonts w:hint="eastAsia"/>
                      <w:color w:val="auto"/>
                      <w:lang w:val="en-US" w:eastAsia="zh-CN"/>
                    </w:rPr>
                    <w:t>5</w:t>
                  </w:r>
                </w:p>
              </w:tc>
              <w:tc>
                <w:tcPr>
                  <w:tcW w:w="578" w:type="pct"/>
                  <w:tcBorders>
                    <w:tl2br w:val="nil"/>
                    <w:tr2bl w:val="nil"/>
                  </w:tcBorders>
                  <w:shd w:val="clear" w:color="auto" w:fill="auto"/>
                  <w:tcMar>
                    <w:top w:w="0" w:type="dxa"/>
                    <w:left w:w="0" w:type="dxa"/>
                    <w:bottom w:w="0" w:type="dxa"/>
                    <w:right w:w="0" w:type="dxa"/>
                  </w:tcMar>
                  <w:vAlign w:val="center"/>
                </w:tcPr>
                <w:p w14:paraId="38676DAC">
                  <w:pPr>
                    <w:pStyle w:val="15"/>
                    <w:bidi w:val="0"/>
                    <w:rPr>
                      <w:rFonts w:hint="eastAsia"/>
                      <w:color w:val="auto"/>
                    </w:rPr>
                  </w:pPr>
                  <w:r>
                    <w:rPr>
                      <w:rFonts w:hint="eastAsia"/>
                      <w:color w:val="auto"/>
                      <w:lang w:val="en-US" w:eastAsia="zh-CN"/>
                    </w:rPr>
                    <w:t>色度</w:t>
                  </w:r>
                </w:p>
              </w:tc>
              <w:tc>
                <w:tcPr>
                  <w:tcW w:w="361" w:type="pct"/>
                  <w:tcBorders>
                    <w:tl2br w:val="nil"/>
                    <w:tr2bl w:val="nil"/>
                  </w:tcBorders>
                  <w:shd w:val="clear" w:color="auto" w:fill="auto"/>
                  <w:tcMar>
                    <w:top w:w="0" w:type="dxa"/>
                    <w:left w:w="0" w:type="dxa"/>
                    <w:bottom w:w="0" w:type="dxa"/>
                    <w:right w:w="0" w:type="dxa"/>
                  </w:tcMar>
                  <w:vAlign w:val="center"/>
                </w:tcPr>
                <w:p w14:paraId="2CF1EC6C">
                  <w:pPr>
                    <w:pStyle w:val="15"/>
                    <w:bidi w:val="0"/>
                    <w:rPr>
                      <w:rFonts w:hint="eastAsia"/>
                      <w:color w:val="auto"/>
                    </w:rPr>
                  </w:pPr>
                  <w:r>
                    <w:rPr>
                      <w:rFonts w:hint="eastAsia"/>
                      <w:color w:val="auto"/>
                      <w:lang w:val="en-US" w:eastAsia="zh-CN"/>
                    </w:rPr>
                    <w:t>倍</w:t>
                  </w:r>
                </w:p>
              </w:tc>
              <w:tc>
                <w:tcPr>
                  <w:tcW w:w="1120" w:type="pct"/>
                  <w:tcBorders>
                    <w:tl2br w:val="nil"/>
                    <w:tr2bl w:val="nil"/>
                  </w:tcBorders>
                  <w:shd w:val="clear" w:color="auto" w:fill="auto"/>
                  <w:tcMar>
                    <w:top w:w="0" w:type="dxa"/>
                    <w:left w:w="0" w:type="dxa"/>
                    <w:bottom w:w="0" w:type="dxa"/>
                    <w:right w:w="0" w:type="dxa"/>
                  </w:tcMar>
                  <w:vAlign w:val="center"/>
                </w:tcPr>
                <w:p w14:paraId="6A838BF8">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444C6337">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3D62CF23">
                  <w:pPr>
                    <w:pStyle w:val="15"/>
                    <w:bidi w:val="0"/>
                    <w:rPr>
                      <w:rFonts w:hint="eastAsia"/>
                      <w:color w:val="auto"/>
                    </w:rPr>
                  </w:pPr>
                  <w:r>
                    <w:rPr>
                      <w:rFonts w:hint="eastAsia"/>
                      <w:color w:val="auto"/>
                      <w:lang w:val="en-US" w:eastAsia="zh-CN"/>
                    </w:rPr>
                    <w:t>30</w:t>
                  </w:r>
                </w:p>
              </w:tc>
              <w:tc>
                <w:tcPr>
                  <w:tcW w:w="479" w:type="pct"/>
                  <w:tcBorders>
                    <w:tl2br w:val="nil"/>
                    <w:tr2bl w:val="nil"/>
                  </w:tcBorders>
                  <w:shd w:val="clear" w:color="auto" w:fill="auto"/>
                  <w:noWrap/>
                  <w:tcMar>
                    <w:top w:w="0" w:type="dxa"/>
                    <w:left w:w="0" w:type="dxa"/>
                    <w:bottom w:w="0" w:type="dxa"/>
                    <w:right w:w="0" w:type="dxa"/>
                  </w:tcMar>
                  <w:vAlign w:val="center"/>
                </w:tcPr>
                <w:p w14:paraId="6905A50F">
                  <w:pPr>
                    <w:pStyle w:val="15"/>
                    <w:bidi w:val="0"/>
                    <w:rPr>
                      <w:rFonts w:hint="eastAsia"/>
                      <w:color w:val="auto"/>
                    </w:rPr>
                  </w:pPr>
                  <w:r>
                    <w:rPr>
                      <w:rFonts w:hint="eastAsia"/>
                      <w:color w:val="auto"/>
                      <w:lang w:val="en-US" w:eastAsia="zh-CN"/>
                    </w:rPr>
                    <w:t>30</w:t>
                  </w:r>
                </w:p>
              </w:tc>
            </w:tr>
            <w:tr w14:paraId="418B3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16A17D48">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3CBE5C23">
                  <w:pPr>
                    <w:pStyle w:val="15"/>
                    <w:bidi w:val="0"/>
                    <w:rPr>
                      <w:rFonts w:hint="eastAsia"/>
                      <w:color w:val="auto"/>
                    </w:rPr>
                  </w:pPr>
                  <w:r>
                    <w:rPr>
                      <w:rFonts w:hint="eastAsia"/>
                      <w:color w:val="auto"/>
                      <w:lang w:val="en-US" w:eastAsia="zh-CN"/>
                    </w:rPr>
                    <w:t>6</w:t>
                  </w:r>
                </w:p>
              </w:tc>
              <w:tc>
                <w:tcPr>
                  <w:tcW w:w="578" w:type="pct"/>
                  <w:tcBorders>
                    <w:tl2br w:val="nil"/>
                    <w:tr2bl w:val="nil"/>
                  </w:tcBorders>
                  <w:shd w:val="clear" w:color="auto" w:fill="auto"/>
                  <w:tcMar>
                    <w:top w:w="0" w:type="dxa"/>
                    <w:left w:w="0" w:type="dxa"/>
                    <w:bottom w:w="0" w:type="dxa"/>
                    <w:right w:w="0" w:type="dxa"/>
                  </w:tcMar>
                  <w:vAlign w:val="center"/>
                </w:tcPr>
                <w:p w14:paraId="008B2D06">
                  <w:pPr>
                    <w:pStyle w:val="15"/>
                    <w:bidi w:val="0"/>
                    <w:rPr>
                      <w:rFonts w:hint="eastAsia"/>
                      <w:color w:val="auto"/>
                    </w:rPr>
                  </w:pPr>
                  <w:r>
                    <w:rPr>
                      <w:rFonts w:hint="eastAsia"/>
                      <w:color w:val="auto"/>
                      <w:lang w:val="en-US" w:eastAsia="zh-CN"/>
                    </w:rPr>
                    <w:t>总磷</w:t>
                  </w:r>
                </w:p>
              </w:tc>
              <w:tc>
                <w:tcPr>
                  <w:tcW w:w="361" w:type="pct"/>
                  <w:tcBorders>
                    <w:tl2br w:val="nil"/>
                    <w:tr2bl w:val="nil"/>
                  </w:tcBorders>
                  <w:shd w:val="clear" w:color="auto" w:fill="auto"/>
                  <w:tcMar>
                    <w:top w:w="0" w:type="dxa"/>
                    <w:left w:w="0" w:type="dxa"/>
                    <w:bottom w:w="0" w:type="dxa"/>
                    <w:right w:w="0" w:type="dxa"/>
                  </w:tcMar>
                  <w:vAlign w:val="center"/>
                </w:tcPr>
                <w:p w14:paraId="13ABBB40">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0CBD1449">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42D952AA">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C86A5BF">
                  <w:pPr>
                    <w:pStyle w:val="15"/>
                    <w:bidi w:val="0"/>
                    <w:rPr>
                      <w:rFonts w:hint="eastAsia"/>
                      <w:color w:val="auto"/>
                    </w:rPr>
                  </w:pPr>
                  <w:r>
                    <w:rPr>
                      <w:rFonts w:hint="eastAsia"/>
                      <w:color w:val="auto"/>
                      <w:lang w:val="en-US" w:eastAsia="zh-CN"/>
                    </w:rPr>
                    <w:t>8</w:t>
                  </w:r>
                </w:p>
              </w:tc>
              <w:tc>
                <w:tcPr>
                  <w:tcW w:w="479" w:type="pct"/>
                  <w:tcBorders>
                    <w:tl2br w:val="nil"/>
                    <w:tr2bl w:val="nil"/>
                  </w:tcBorders>
                  <w:shd w:val="clear" w:color="auto" w:fill="auto"/>
                  <w:noWrap/>
                  <w:tcMar>
                    <w:top w:w="0" w:type="dxa"/>
                    <w:left w:w="0" w:type="dxa"/>
                    <w:bottom w:w="0" w:type="dxa"/>
                    <w:right w:w="0" w:type="dxa"/>
                  </w:tcMar>
                  <w:vAlign w:val="center"/>
                </w:tcPr>
                <w:p w14:paraId="0F477393">
                  <w:pPr>
                    <w:pStyle w:val="15"/>
                    <w:bidi w:val="0"/>
                    <w:rPr>
                      <w:rFonts w:hint="eastAsia"/>
                      <w:color w:val="auto"/>
                    </w:rPr>
                  </w:pPr>
                  <w:r>
                    <w:rPr>
                      <w:rFonts w:hint="eastAsia"/>
                      <w:color w:val="auto"/>
                      <w:lang w:val="en-US" w:eastAsia="zh-CN"/>
                    </w:rPr>
                    <w:t>8</w:t>
                  </w:r>
                </w:p>
              </w:tc>
            </w:tr>
            <w:tr w14:paraId="642E05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15541ECF">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7549D552">
                  <w:pPr>
                    <w:pStyle w:val="15"/>
                    <w:bidi w:val="0"/>
                    <w:rPr>
                      <w:rFonts w:hint="eastAsia"/>
                      <w:color w:val="auto"/>
                    </w:rPr>
                  </w:pPr>
                  <w:r>
                    <w:rPr>
                      <w:rFonts w:hint="eastAsia"/>
                      <w:color w:val="auto"/>
                      <w:lang w:val="en-US" w:eastAsia="zh-CN"/>
                    </w:rPr>
                    <w:t>7</w:t>
                  </w:r>
                </w:p>
              </w:tc>
              <w:tc>
                <w:tcPr>
                  <w:tcW w:w="578" w:type="pct"/>
                  <w:tcBorders>
                    <w:tl2br w:val="nil"/>
                    <w:tr2bl w:val="nil"/>
                  </w:tcBorders>
                  <w:shd w:val="clear" w:color="auto" w:fill="auto"/>
                  <w:tcMar>
                    <w:top w:w="0" w:type="dxa"/>
                    <w:left w:w="0" w:type="dxa"/>
                    <w:bottom w:w="0" w:type="dxa"/>
                    <w:right w:w="0" w:type="dxa"/>
                  </w:tcMar>
                  <w:vAlign w:val="center"/>
                </w:tcPr>
                <w:p w14:paraId="2AD9B075">
                  <w:pPr>
                    <w:pStyle w:val="15"/>
                    <w:bidi w:val="0"/>
                    <w:rPr>
                      <w:rFonts w:hint="eastAsia"/>
                      <w:color w:val="auto"/>
                    </w:rPr>
                  </w:pPr>
                  <w:r>
                    <w:rPr>
                      <w:rFonts w:hint="eastAsia"/>
                      <w:color w:val="auto"/>
                      <w:lang w:val="en-US" w:eastAsia="zh-CN"/>
                    </w:rPr>
                    <w:t>总氮</w:t>
                  </w:r>
                </w:p>
              </w:tc>
              <w:tc>
                <w:tcPr>
                  <w:tcW w:w="361" w:type="pct"/>
                  <w:tcBorders>
                    <w:tl2br w:val="nil"/>
                    <w:tr2bl w:val="nil"/>
                  </w:tcBorders>
                  <w:shd w:val="clear" w:color="auto" w:fill="auto"/>
                  <w:tcMar>
                    <w:top w:w="0" w:type="dxa"/>
                    <w:left w:w="0" w:type="dxa"/>
                    <w:bottom w:w="0" w:type="dxa"/>
                    <w:right w:w="0" w:type="dxa"/>
                  </w:tcMar>
                  <w:vAlign w:val="center"/>
                </w:tcPr>
                <w:p w14:paraId="7E7CF26F">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0D2E3CA6">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6B245387">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0CA2D541">
                  <w:pPr>
                    <w:pStyle w:val="15"/>
                    <w:bidi w:val="0"/>
                    <w:rPr>
                      <w:rFonts w:hint="eastAsia"/>
                      <w:color w:val="auto"/>
                    </w:rPr>
                  </w:pPr>
                  <w:r>
                    <w:rPr>
                      <w:rFonts w:hint="eastAsia"/>
                      <w:color w:val="auto"/>
                      <w:lang w:val="en-US" w:eastAsia="zh-CN"/>
                    </w:rPr>
                    <w:t>70</w:t>
                  </w:r>
                </w:p>
              </w:tc>
              <w:tc>
                <w:tcPr>
                  <w:tcW w:w="479" w:type="pct"/>
                  <w:tcBorders>
                    <w:tl2br w:val="nil"/>
                    <w:tr2bl w:val="nil"/>
                  </w:tcBorders>
                  <w:shd w:val="clear" w:color="auto" w:fill="auto"/>
                  <w:noWrap/>
                  <w:tcMar>
                    <w:top w:w="0" w:type="dxa"/>
                    <w:left w:w="0" w:type="dxa"/>
                    <w:bottom w:w="0" w:type="dxa"/>
                    <w:right w:w="0" w:type="dxa"/>
                  </w:tcMar>
                  <w:vAlign w:val="center"/>
                </w:tcPr>
                <w:p w14:paraId="1F3255F7">
                  <w:pPr>
                    <w:pStyle w:val="15"/>
                    <w:bidi w:val="0"/>
                    <w:rPr>
                      <w:rFonts w:hint="eastAsia"/>
                      <w:color w:val="auto"/>
                    </w:rPr>
                  </w:pPr>
                  <w:r>
                    <w:rPr>
                      <w:rFonts w:hint="eastAsia"/>
                      <w:color w:val="auto"/>
                      <w:lang w:val="en-US" w:eastAsia="zh-CN"/>
                    </w:rPr>
                    <w:t>70</w:t>
                  </w:r>
                </w:p>
              </w:tc>
            </w:tr>
            <w:tr w14:paraId="43174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3C1CE4E1">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6762345D">
                  <w:pPr>
                    <w:pStyle w:val="15"/>
                    <w:bidi w:val="0"/>
                    <w:rPr>
                      <w:rFonts w:hint="eastAsia"/>
                      <w:color w:val="auto"/>
                    </w:rPr>
                  </w:pPr>
                  <w:r>
                    <w:rPr>
                      <w:rFonts w:hint="eastAsia"/>
                      <w:color w:val="auto"/>
                      <w:lang w:val="en-US" w:eastAsia="zh-CN"/>
                    </w:rPr>
                    <w:t>8</w:t>
                  </w:r>
                </w:p>
              </w:tc>
              <w:tc>
                <w:tcPr>
                  <w:tcW w:w="578" w:type="pct"/>
                  <w:tcBorders>
                    <w:tl2br w:val="nil"/>
                    <w:tr2bl w:val="nil"/>
                  </w:tcBorders>
                  <w:shd w:val="clear" w:color="auto" w:fill="auto"/>
                  <w:tcMar>
                    <w:top w:w="0" w:type="dxa"/>
                    <w:left w:w="0" w:type="dxa"/>
                    <w:bottom w:w="0" w:type="dxa"/>
                    <w:right w:w="0" w:type="dxa"/>
                  </w:tcMar>
                  <w:vAlign w:val="center"/>
                </w:tcPr>
                <w:p w14:paraId="58E3024C">
                  <w:pPr>
                    <w:pStyle w:val="15"/>
                    <w:bidi w:val="0"/>
                    <w:rPr>
                      <w:rFonts w:hint="eastAsia"/>
                      <w:color w:val="auto"/>
                    </w:rPr>
                  </w:pPr>
                  <w:r>
                    <w:rPr>
                      <w:rFonts w:hint="eastAsia"/>
                      <w:color w:val="auto"/>
                      <w:lang w:val="en-US" w:eastAsia="zh-CN"/>
                    </w:rPr>
                    <w:t>氨氮</w:t>
                  </w:r>
                </w:p>
              </w:tc>
              <w:tc>
                <w:tcPr>
                  <w:tcW w:w="361" w:type="pct"/>
                  <w:tcBorders>
                    <w:tl2br w:val="nil"/>
                    <w:tr2bl w:val="nil"/>
                  </w:tcBorders>
                  <w:shd w:val="clear" w:color="auto" w:fill="auto"/>
                  <w:tcMar>
                    <w:top w:w="0" w:type="dxa"/>
                    <w:left w:w="0" w:type="dxa"/>
                    <w:bottom w:w="0" w:type="dxa"/>
                    <w:right w:w="0" w:type="dxa"/>
                  </w:tcMar>
                  <w:vAlign w:val="center"/>
                </w:tcPr>
                <w:p w14:paraId="5483414A">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7B495F28">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42D46755">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F065D33">
                  <w:pPr>
                    <w:pStyle w:val="15"/>
                    <w:bidi w:val="0"/>
                    <w:rPr>
                      <w:rFonts w:hint="eastAsia"/>
                      <w:color w:val="auto"/>
                    </w:rPr>
                  </w:pPr>
                  <w:r>
                    <w:rPr>
                      <w:rFonts w:hint="eastAsia"/>
                      <w:color w:val="auto"/>
                      <w:lang w:val="en-US" w:eastAsia="zh-CN"/>
                    </w:rPr>
                    <w:t>45</w:t>
                  </w:r>
                </w:p>
              </w:tc>
              <w:tc>
                <w:tcPr>
                  <w:tcW w:w="479" w:type="pct"/>
                  <w:tcBorders>
                    <w:tl2br w:val="nil"/>
                    <w:tr2bl w:val="nil"/>
                  </w:tcBorders>
                  <w:shd w:val="clear" w:color="auto" w:fill="auto"/>
                  <w:noWrap/>
                  <w:tcMar>
                    <w:top w:w="0" w:type="dxa"/>
                    <w:left w:w="0" w:type="dxa"/>
                    <w:bottom w:w="0" w:type="dxa"/>
                    <w:right w:w="0" w:type="dxa"/>
                  </w:tcMar>
                  <w:vAlign w:val="center"/>
                </w:tcPr>
                <w:p w14:paraId="4DC5DDF3">
                  <w:pPr>
                    <w:pStyle w:val="15"/>
                    <w:bidi w:val="0"/>
                    <w:rPr>
                      <w:rFonts w:hint="eastAsia"/>
                      <w:color w:val="auto"/>
                    </w:rPr>
                  </w:pPr>
                  <w:r>
                    <w:rPr>
                      <w:rFonts w:hint="eastAsia"/>
                      <w:color w:val="auto"/>
                      <w:lang w:val="en-US" w:eastAsia="zh-CN"/>
                    </w:rPr>
                    <w:t>45</w:t>
                  </w:r>
                </w:p>
              </w:tc>
            </w:tr>
            <w:tr w14:paraId="69E0B1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1A96DDDE">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3D81E4C1">
                  <w:pPr>
                    <w:pStyle w:val="15"/>
                    <w:bidi w:val="0"/>
                    <w:rPr>
                      <w:rFonts w:hint="eastAsia"/>
                      <w:color w:val="auto"/>
                    </w:rPr>
                  </w:pPr>
                  <w:r>
                    <w:rPr>
                      <w:rFonts w:hint="eastAsia"/>
                      <w:color w:val="auto"/>
                      <w:lang w:val="en-US" w:eastAsia="zh-CN"/>
                    </w:rPr>
                    <w:t>9</w:t>
                  </w:r>
                </w:p>
              </w:tc>
              <w:tc>
                <w:tcPr>
                  <w:tcW w:w="578" w:type="pct"/>
                  <w:tcBorders>
                    <w:tl2br w:val="nil"/>
                    <w:tr2bl w:val="nil"/>
                  </w:tcBorders>
                  <w:shd w:val="clear" w:color="auto" w:fill="auto"/>
                  <w:tcMar>
                    <w:top w:w="0" w:type="dxa"/>
                    <w:left w:w="0" w:type="dxa"/>
                    <w:bottom w:w="0" w:type="dxa"/>
                    <w:right w:w="0" w:type="dxa"/>
                  </w:tcMar>
                  <w:vAlign w:val="center"/>
                </w:tcPr>
                <w:p w14:paraId="4F645C39">
                  <w:pPr>
                    <w:pStyle w:val="15"/>
                    <w:bidi w:val="0"/>
                    <w:rPr>
                      <w:rFonts w:hint="eastAsia"/>
                      <w:color w:val="auto"/>
                    </w:rPr>
                  </w:pPr>
                  <w:r>
                    <w:rPr>
                      <w:rFonts w:hint="eastAsia"/>
                      <w:color w:val="auto"/>
                      <w:lang w:val="en-US" w:eastAsia="zh-CN"/>
                    </w:rPr>
                    <w:t>硫酸盐</w:t>
                  </w:r>
                </w:p>
              </w:tc>
              <w:tc>
                <w:tcPr>
                  <w:tcW w:w="361" w:type="pct"/>
                  <w:tcBorders>
                    <w:tl2br w:val="nil"/>
                    <w:tr2bl w:val="nil"/>
                  </w:tcBorders>
                  <w:shd w:val="clear" w:color="auto" w:fill="auto"/>
                  <w:tcMar>
                    <w:top w:w="0" w:type="dxa"/>
                    <w:left w:w="0" w:type="dxa"/>
                    <w:bottom w:w="0" w:type="dxa"/>
                    <w:right w:w="0" w:type="dxa"/>
                  </w:tcMar>
                  <w:vAlign w:val="center"/>
                </w:tcPr>
                <w:p w14:paraId="7C0855DB">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72FA06FB">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7EF24BED">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3848CF2E">
                  <w:pPr>
                    <w:pStyle w:val="15"/>
                    <w:bidi w:val="0"/>
                    <w:rPr>
                      <w:rFonts w:hint="eastAsia"/>
                      <w:color w:val="auto"/>
                    </w:rPr>
                  </w:pPr>
                  <w:r>
                    <w:rPr>
                      <w:rFonts w:hint="eastAsia"/>
                      <w:color w:val="auto"/>
                      <w:lang w:val="en-US" w:eastAsia="zh-CN"/>
                    </w:rPr>
                    <w:t>400</w:t>
                  </w:r>
                </w:p>
              </w:tc>
              <w:tc>
                <w:tcPr>
                  <w:tcW w:w="479" w:type="pct"/>
                  <w:tcBorders>
                    <w:tl2br w:val="nil"/>
                    <w:tr2bl w:val="nil"/>
                  </w:tcBorders>
                  <w:shd w:val="clear" w:color="auto" w:fill="auto"/>
                  <w:noWrap/>
                  <w:tcMar>
                    <w:top w:w="0" w:type="dxa"/>
                    <w:left w:w="0" w:type="dxa"/>
                    <w:bottom w:w="0" w:type="dxa"/>
                    <w:right w:w="0" w:type="dxa"/>
                  </w:tcMar>
                  <w:vAlign w:val="center"/>
                </w:tcPr>
                <w:p w14:paraId="4295FEFB">
                  <w:pPr>
                    <w:pStyle w:val="15"/>
                    <w:bidi w:val="0"/>
                    <w:rPr>
                      <w:rFonts w:hint="eastAsia"/>
                      <w:color w:val="auto"/>
                    </w:rPr>
                  </w:pPr>
                  <w:r>
                    <w:rPr>
                      <w:rFonts w:hint="eastAsia"/>
                      <w:color w:val="auto"/>
                      <w:lang w:val="en-US" w:eastAsia="zh-CN"/>
                    </w:rPr>
                    <w:t>400</w:t>
                  </w:r>
                </w:p>
              </w:tc>
            </w:tr>
            <w:tr w14:paraId="48D50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5A7AF4E0">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59C4BC28">
                  <w:pPr>
                    <w:pStyle w:val="15"/>
                    <w:bidi w:val="0"/>
                    <w:rPr>
                      <w:rFonts w:hint="eastAsia"/>
                      <w:color w:val="auto"/>
                    </w:rPr>
                  </w:pPr>
                  <w:r>
                    <w:rPr>
                      <w:rFonts w:hint="eastAsia"/>
                      <w:color w:val="auto"/>
                      <w:lang w:val="en-US" w:eastAsia="zh-CN"/>
                    </w:rPr>
                    <w:t>10</w:t>
                  </w:r>
                </w:p>
              </w:tc>
              <w:tc>
                <w:tcPr>
                  <w:tcW w:w="578" w:type="pct"/>
                  <w:tcBorders>
                    <w:tl2br w:val="nil"/>
                    <w:tr2bl w:val="nil"/>
                  </w:tcBorders>
                  <w:shd w:val="clear" w:color="auto" w:fill="auto"/>
                  <w:tcMar>
                    <w:top w:w="0" w:type="dxa"/>
                    <w:left w:w="0" w:type="dxa"/>
                    <w:bottom w:w="0" w:type="dxa"/>
                    <w:right w:w="0" w:type="dxa"/>
                  </w:tcMar>
                  <w:vAlign w:val="center"/>
                </w:tcPr>
                <w:p w14:paraId="673C7A88">
                  <w:pPr>
                    <w:pStyle w:val="15"/>
                    <w:bidi w:val="0"/>
                    <w:rPr>
                      <w:rFonts w:hint="eastAsia"/>
                      <w:color w:val="auto"/>
                    </w:rPr>
                  </w:pPr>
                  <w:r>
                    <w:rPr>
                      <w:rFonts w:hint="eastAsia"/>
                      <w:color w:val="auto"/>
                      <w:lang w:val="en-US" w:eastAsia="zh-CN"/>
                    </w:rPr>
                    <w:t>溶解性总固体</w:t>
                  </w:r>
                </w:p>
              </w:tc>
              <w:tc>
                <w:tcPr>
                  <w:tcW w:w="361" w:type="pct"/>
                  <w:tcBorders>
                    <w:tl2br w:val="nil"/>
                    <w:tr2bl w:val="nil"/>
                  </w:tcBorders>
                  <w:shd w:val="clear" w:color="auto" w:fill="auto"/>
                  <w:tcMar>
                    <w:top w:w="0" w:type="dxa"/>
                    <w:left w:w="0" w:type="dxa"/>
                    <w:bottom w:w="0" w:type="dxa"/>
                    <w:right w:w="0" w:type="dxa"/>
                  </w:tcMar>
                  <w:vAlign w:val="center"/>
                </w:tcPr>
                <w:p w14:paraId="33403F2E">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38CE9E51">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2BC14B60">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2D5157C6">
                  <w:pPr>
                    <w:pStyle w:val="15"/>
                    <w:bidi w:val="0"/>
                    <w:rPr>
                      <w:rFonts w:hint="eastAsia"/>
                      <w:color w:val="auto"/>
                    </w:rPr>
                  </w:pPr>
                  <w:r>
                    <w:rPr>
                      <w:rFonts w:hint="eastAsia"/>
                      <w:color w:val="auto"/>
                      <w:lang w:val="en-US" w:eastAsia="zh-CN"/>
                    </w:rPr>
                    <w:t>1000</w:t>
                  </w:r>
                </w:p>
              </w:tc>
              <w:tc>
                <w:tcPr>
                  <w:tcW w:w="479" w:type="pct"/>
                  <w:tcBorders>
                    <w:tl2br w:val="nil"/>
                    <w:tr2bl w:val="nil"/>
                  </w:tcBorders>
                  <w:shd w:val="clear" w:color="auto" w:fill="auto"/>
                  <w:noWrap/>
                  <w:tcMar>
                    <w:top w:w="0" w:type="dxa"/>
                    <w:left w:w="0" w:type="dxa"/>
                    <w:bottom w:w="0" w:type="dxa"/>
                    <w:right w:w="0" w:type="dxa"/>
                  </w:tcMar>
                  <w:vAlign w:val="center"/>
                </w:tcPr>
                <w:p w14:paraId="40B57992">
                  <w:pPr>
                    <w:pStyle w:val="15"/>
                    <w:bidi w:val="0"/>
                    <w:rPr>
                      <w:rFonts w:hint="eastAsia"/>
                      <w:color w:val="auto"/>
                    </w:rPr>
                  </w:pPr>
                  <w:r>
                    <w:rPr>
                      <w:rFonts w:hint="eastAsia"/>
                      <w:color w:val="auto"/>
                      <w:lang w:val="en-US" w:eastAsia="zh-CN"/>
                    </w:rPr>
                    <w:t>1000</w:t>
                  </w:r>
                </w:p>
              </w:tc>
            </w:tr>
            <w:tr w14:paraId="22905B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03A64567">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059CB76E">
                  <w:pPr>
                    <w:pStyle w:val="15"/>
                    <w:bidi w:val="0"/>
                    <w:rPr>
                      <w:rFonts w:hint="eastAsia"/>
                      <w:color w:val="auto"/>
                    </w:rPr>
                  </w:pPr>
                  <w:r>
                    <w:rPr>
                      <w:rFonts w:hint="eastAsia"/>
                      <w:color w:val="auto"/>
                      <w:lang w:val="en-US" w:eastAsia="zh-CN"/>
                    </w:rPr>
                    <w:t>11</w:t>
                  </w:r>
                </w:p>
              </w:tc>
              <w:tc>
                <w:tcPr>
                  <w:tcW w:w="578" w:type="pct"/>
                  <w:tcBorders>
                    <w:tl2br w:val="nil"/>
                    <w:tr2bl w:val="nil"/>
                  </w:tcBorders>
                  <w:shd w:val="clear" w:color="auto" w:fill="auto"/>
                  <w:tcMar>
                    <w:top w:w="0" w:type="dxa"/>
                    <w:left w:w="0" w:type="dxa"/>
                    <w:bottom w:w="0" w:type="dxa"/>
                    <w:right w:w="0" w:type="dxa"/>
                  </w:tcMar>
                  <w:vAlign w:val="center"/>
                </w:tcPr>
                <w:p w14:paraId="586E7339">
                  <w:pPr>
                    <w:pStyle w:val="15"/>
                    <w:bidi w:val="0"/>
                    <w:rPr>
                      <w:rFonts w:hint="eastAsia"/>
                      <w:color w:val="auto"/>
                    </w:rPr>
                  </w:pPr>
                  <w:r>
                    <w:rPr>
                      <w:rFonts w:hint="eastAsia"/>
                      <w:color w:val="auto"/>
                      <w:lang w:val="en-US" w:eastAsia="zh-CN"/>
                    </w:rPr>
                    <w:t>氯化物</w:t>
                  </w:r>
                </w:p>
              </w:tc>
              <w:tc>
                <w:tcPr>
                  <w:tcW w:w="361" w:type="pct"/>
                  <w:tcBorders>
                    <w:tl2br w:val="nil"/>
                    <w:tr2bl w:val="nil"/>
                  </w:tcBorders>
                  <w:shd w:val="clear" w:color="auto" w:fill="auto"/>
                  <w:tcMar>
                    <w:top w:w="0" w:type="dxa"/>
                    <w:left w:w="0" w:type="dxa"/>
                    <w:bottom w:w="0" w:type="dxa"/>
                    <w:right w:w="0" w:type="dxa"/>
                  </w:tcMar>
                  <w:vAlign w:val="center"/>
                </w:tcPr>
                <w:p w14:paraId="5B4989D5">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4C3CB880">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6137F83E">
                  <w:pPr>
                    <w:pStyle w:val="15"/>
                    <w:bidi w:val="0"/>
                    <w:rPr>
                      <w:rFonts w:hint="eastAsia"/>
                      <w:color w:val="auto"/>
                    </w:rPr>
                  </w:pPr>
                  <w:r>
                    <w:rPr>
                      <w:rFonts w:hint="eastAsia"/>
                      <w:color w:val="auto"/>
                      <w:lang w:val="en-US" w:eastAsia="zh-CN"/>
                    </w:rPr>
                    <w:t>-</w:t>
                  </w:r>
                </w:p>
              </w:tc>
              <w:tc>
                <w:tcPr>
                  <w:tcW w:w="477" w:type="pct"/>
                  <w:tcBorders>
                    <w:tl2br w:val="nil"/>
                    <w:tr2bl w:val="nil"/>
                  </w:tcBorders>
                  <w:shd w:val="clear" w:color="auto" w:fill="auto"/>
                  <w:tcMar>
                    <w:top w:w="0" w:type="dxa"/>
                    <w:left w:w="0" w:type="dxa"/>
                    <w:bottom w:w="0" w:type="dxa"/>
                    <w:right w:w="0" w:type="dxa"/>
                  </w:tcMar>
                  <w:vAlign w:val="center"/>
                </w:tcPr>
                <w:p w14:paraId="7D1DBF03">
                  <w:pPr>
                    <w:pStyle w:val="15"/>
                    <w:bidi w:val="0"/>
                    <w:rPr>
                      <w:rFonts w:hint="eastAsia"/>
                      <w:color w:val="auto"/>
                    </w:rPr>
                  </w:pPr>
                  <w:r>
                    <w:rPr>
                      <w:rFonts w:hint="eastAsia"/>
                      <w:color w:val="auto"/>
                      <w:lang w:val="en-US" w:eastAsia="zh-CN"/>
                    </w:rPr>
                    <w:t>250</w:t>
                  </w:r>
                </w:p>
              </w:tc>
              <w:tc>
                <w:tcPr>
                  <w:tcW w:w="479" w:type="pct"/>
                  <w:tcBorders>
                    <w:tl2br w:val="nil"/>
                    <w:tr2bl w:val="nil"/>
                  </w:tcBorders>
                  <w:shd w:val="clear" w:color="auto" w:fill="auto"/>
                  <w:noWrap/>
                  <w:tcMar>
                    <w:top w:w="0" w:type="dxa"/>
                    <w:left w:w="0" w:type="dxa"/>
                    <w:bottom w:w="0" w:type="dxa"/>
                    <w:right w:w="0" w:type="dxa"/>
                  </w:tcMar>
                  <w:vAlign w:val="center"/>
                </w:tcPr>
                <w:p w14:paraId="6DD423EF">
                  <w:pPr>
                    <w:pStyle w:val="15"/>
                    <w:bidi w:val="0"/>
                    <w:rPr>
                      <w:rFonts w:hint="eastAsia"/>
                      <w:color w:val="auto"/>
                    </w:rPr>
                  </w:pPr>
                  <w:r>
                    <w:rPr>
                      <w:rFonts w:hint="eastAsia"/>
                      <w:color w:val="auto"/>
                      <w:lang w:val="en-US" w:eastAsia="zh-CN"/>
                    </w:rPr>
                    <w:t>250</w:t>
                  </w:r>
                </w:p>
              </w:tc>
            </w:tr>
            <w:tr w14:paraId="1F86A6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5" w:type="pct"/>
                  <w:vMerge w:val="continue"/>
                  <w:tcBorders>
                    <w:tl2br w:val="nil"/>
                    <w:tr2bl w:val="nil"/>
                  </w:tcBorders>
                  <w:shd w:val="clear" w:color="auto" w:fill="auto"/>
                  <w:noWrap/>
                  <w:tcMar>
                    <w:top w:w="0" w:type="dxa"/>
                    <w:left w:w="0" w:type="dxa"/>
                    <w:bottom w:w="0" w:type="dxa"/>
                    <w:right w:w="0" w:type="dxa"/>
                  </w:tcMar>
                  <w:vAlign w:val="center"/>
                </w:tcPr>
                <w:p w14:paraId="31BB1B40">
                  <w:pPr>
                    <w:pStyle w:val="15"/>
                    <w:bidi w:val="0"/>
                    <w:rPr>
                      <w:rFonts w:hint="eastAsia"/>
                      <w:color w:val="auto"/>
                    </w:rPr>
                  </w:pPr>
                </w:p>
              </w:tc>
              <w:tc>
                <w:tcPr>
                  <w:tcW w:w="148" w:type="pct"/>
                  <w:tcBorders>
                    <w:tl2br w:val="nil"/>
                    <w:tr2bl w:val="nil"/>
                  </w:tcBorders>
                  <w:shd w:val="clear" w:color="auto" w:fill="auto"/>
                  <w:noWrap/>
                  <w:tcMar>
                    <w:top w:w="0" w:type="dxa"/>
                    <w:left w:w="0" w:type="dxa"/>
                    <w:bottom w:w="0" w:type="dxa"/>
                    <w:right w:w="0" w:type="dxa"/>
                  </w:tcMar>
                  <w:vAlign w:val="center"/>
                </w:tcPr>
                <w:p w14:paraId="502B5D22">
                  <w:pPr>
                    <w:pStyle w:val="15"/>
                    <w:bidi w:val="0"/>
                    <w:rPr>
                      <w:rFonts w:hint="eastAsia"/>
                      <w:color w:val="auto"/>
                    </w:rPr>
                  </w:pPr>
                  <w:r>
                    <w:rPr>
                      <w:rFonts w:hint="eastAsia"/>
                      <w:color w:val="auto"/>
                      <w:lang w:val="en-US" w:eastAsia="zh-CN"/>
                    </w:rPr>
                    <w:t>12</w:t>
                  </w:r>
                </w:p>
              </w:tc>
              <w:tc>
                <w:tcPr>
                  <w:tcW w:w="578" w:type="pct"/>
                  <w:tcBorders>
                    <w:tl2br w:val="nil"/>
                    <w:tr2bl w:val="nil"/>
                  </w:tcBorders>
                  <w:shd w:val="clear" w:color="auto" w:fill="auto"/>
                  <w:tcMar>
                    <w:top w:w="0" w:type="dxa"/>
                    <w:left w:w="0" w:type="dxa"/>
                    <w:bottom w:w="0" w:type="dxa"/>
                    <w:right w:w="0" w:type="dxa"/>
                  </w:tcMar>
                  <w:vAlign w:val="center"/>
                </w:tcPr>
                <w:p w14:paraId="1DD4C135">
                  <w:pPr>
                    <w:pStyle w:val="15"/>
                    <w:bidi w:val="0"/>
                    <w:rPr>
                      <w:rFonts w:hint="eastAsia"/>
                      <w:color w:val="auto"/>
                    </w:rPr>
                  </w:pPr>
                  <w:r>
                    <w:rPr>
                      <w:rFonts w:hint="eastAsia"/>
                      <w:color w:val="auto"/>
                      <w:lang w:val="en-US" w:eastAsia="zh-CN"/>
                    </w:rPr>
                    <w:t>石油类</w:t>
                  </w:r>
                </w:p>
              </w:tc>
              <w:tc>
                <w:tcPr>
                  <w:tcW w:w="361" w:type="pct"/>
                  <w:tcBorders>
                    <w:tl2br w:val="nil"/>
                    <w:tr2bl w:val="nil"/>
                  </w:tcBorders>
                  <w:shd w:val="clear" w:color="auto" w:fill="auto"/>
                  <w:tcMar>
                    <w:top w:w="0" w:type="dxa"/>
                    <w:left w:w="0" w:type="dxa"/>
                    <w:bottom w:w="0" w:type="dxa"/>
                    <w:right w:w="0" w:type="dxa"/>
                  </w:tcMar>
                  <w:vAlign w:val="center"/>
                </w:tcPr>
                <w:p w14:paraId="3D3D2023">
                  <w:pPr>
                    <w:pStyle w:val="15"/>
                    <w:bidi w:val="0"/>
                    <w:rPr>
                      <w:rFonts w:hint="eastAsia"/>
                      <w:color w:val="auto"/>
                    </w:rPr>
                  </w:pPr>
                  <w:r>
                    <w:rPr>
                      <w:rFonts w:hint="eastAsia"/>
                      <w:color w:val="auto"/>
                      <w:lang w:val="en-US" w:eastAsia="zh-CN"/>
                    </w:rPr>
                    <w:t>mg/L</w:t>
                  </w:r>
                </w:p>
              </w:tc>
              <w:tc>
                <w:tcPr>
                  <w:tcW w:w="1120" w:type="pct"/>
                  <w:tcBorders>
                    <w:tl2br w:val="nil"/>
                    <w:tr2bl w:val="nil"/>
                  </w:tcBorders>
                  <w:shd w:val="clear" w:color="auto" w:fill="auto"/>
                  <w:tcMar>
                    <w:top w:w="0" w:type="dxa"/>
                    <w:left w:w="0" w:type="dxa"/>
                    <w:bottom w:w="0" w:type="dxa"/>
                    <w:right w:w="0" w:type="dxa"/>
                  </w:tcMar>
                  <w:vAlign w:val="center"/>
                </w:tcPr>
                <w:p w14:paraId="4D1AFC80">
                  <w:pPr>
                    <w:pStyle w:val="15"/>
                    <w:bidi w:val="0"/>
                    <w:rPr>
                      <w:rFonts w:hint="eastAsia"/>
                      <w:color w:val="auto"/>
                    </w:rPr>
                  </w:pPr>
                </w:p>
              </w:tc>
              <w:tc>
                <w:tcPr>
                  <w:tcW w:w="1329" w:type="pct"/>
                  <w:tcBorders>
                    <w:tl2br w:val="nil"/>
                    <w:tr2bl w:val="nil"/>
                  </w:tcBorders>
                  <w:shd w:val="clear" w:color="auto" w:fill="auto"/>
                  <w:tcMar>
                    <w:top w:w="0" w:type="dxa"/>
                    <w:left w:w="0" w:type="dxa"/>
                    <w:bottom w:w="0" w:type="dxa"/>
                    <w:right w:w="0" w:type="dxa"/>
                  </w:tcMar>
                  <w:vAlign w:val="center"/>
                </w:tcPr>
                <w:p w14:paraId="1CDD597E">
                  <w:pPr>
                    <w:pStyle w:val="15"/>
                    <w:bidi w:val="0"/>
                    <w:rPr>
                      <w:rFonts w:hint="eastAsia"/>
                      <w:color w:val="auto"/>
                    </w:rPr>
                  </w:pPr>
                  <w:r>
                    <w:rPr>
                      <w:rFonts w:hint="eastAsia"/>
                      <w:color w:val="auto"/>
                      <w:lang w:val="en-US" w:eastAsia="zh-CN"/>
                    </w:rPr>
                    <w:t>20</w:t>
                  </w:r>
                </w:p>
              </w:tc>
              <w:tc>
                <w:tcPr>
                  <w:tcW w:w="477" w:type="pct"/>
                  <w:tcBorders>
                    <w:tl2br w:val="nil"/>
                    <w:tr2bl w:val="nil"/>
                  </w:tcBorders>
                  <w:shd w:val="clear" w:color="auto" w:fill="auto"/>
                  <w:tcMar>
                    <w:top w:w="0" w:type="dxa"/>
                    <w:left w:w="0" w:type="dxa"/>
                    <w:bottom w:w="0" w:type="dxa"/>
                    <w:right w:w="0" w:type="dxa"/>
                  </w:tcMar>
                  <w:vAlign w:val="center"/>
                </w:tcPr>
                <w:p w14:paraId="59A0D0FC">
                  <w:pPr>
                    <w:pStyle w:val="15"/>
                    <w:bidi w:val="0"/>
                    <w:rPr>
                      <w:rFonts w:hint="eastAsia"/>
                      <w:color w:val="auto"/>
                    </w:rPr>
                  </w:pPr>
                  <w:r>
                    <w:rPr>
                      <w:rFonts w:hint="eastAsia"/>
                      <w:color w:val="auto"/>
                      <w:lang w:val="en-US" w:eastAsia="zh-CN"/>
                    </w:rPr>
                    <w:t>20</w:t>
                  </w:r>
                </w:p>
              </w:tc>
              <w:tc>
                <w:tcPr>
                  <w:tcW w:w="479" w:type="pct"/>
                  <w:tcBorders>
                    <w:tl2br w:val="nil"/>
                    <w:tr2bl w:val="nil"/>
                  </w:tcBorders>
                  <w:shd w:val="clear" w:color="auto" w:fill="auto"/>
                  <w:noWrap/>
                  <w:tcMar>
                    <w:top w:w="0" w:type="dxa"/>
                    <w:left w:w="0" w:type="dxa"/>
                    <w:bottom w:w="0" w:type="dxa"/>
                    <w:right w:w="0" w:type="dxa"/>
                  </w:tcMar>
                  <w:vAlign w:val="center"/>
                </w:tcPr>
                <w:p w14:paraId="0D2D78AB">
                  <w:pPr>
                    <w:pStyle w:val="15"/>
                    <w:bidi w:val="0"/>
                    <w:rPr>
                      <w:rFonts w:hint="eastAsia"/>
                      <w:color w:val="auto"/>
                    </w:rPr>
                  </w:pPr>
                  <w:r>
                    <w:rPr>
                      <w:rFonts w:hint="eastAsia"/>
                      <w:color w:val="auto"/>
                      <w:lang w:val="en-US" w:eastAsia="zh-CN"/>
                    </w:rPr>
                    <w:t>20</w:t>
                  </w:r>
                </w:p>
              </w:tc>
            </w:tr>
          </w:tbl>
          <w:p w14:paraId="03BA1AD3">
            <w:pPr>
              <w:pStyle w:val="3"/>
              <w:bidi w:val="0"/>
              <w:rPr>
                <w:b/>
                <w:bCs/>
                <w:color w:val="auto"/>
              </w:rPr>
            </w:pPr>
            <w:r>
              <w:rPr>
                <w:b/>
                <w:bCs/>
                <w:color w:val="auto"/>
              </w:rPr>
              <w:t>3</w:t>
            </w:r>
            <w:r>
              <w:rPr>
                <w:rFonts w:hint="eastAsia"/>
                <w:b/>
                <w:bCs/>
                <w:color w:val="auto"/>
                <w:lang w:val="en-US" w:eastAsia="zh-CN"/>
              </w:rPr>
              <w:t>.</w:t>
            </w:r>
            <w:r>
              <w:rPr>
                <w:b/>
                <w:bCs/>
                <w:color w:val="auto"/>
              </w:rPr>
              <w:t>噪声</w:t>
            </w:r>
          </w:p>
          <w:p w14:paraId="6C127161">
            <w:pPr>
              <w:rPr>
                <w:rFonts w:hint="eastAsia"/>
                <w:color w:val="auto"/>
                <w:lang w:val="en-US" w:eastAsia="zh-CN"/>
              </w:rPr>
            </w:pPr>
            <w:r>
              <w:rPr>
                <w:rFonts w:hint="eastAsia"/>
                <w:color w:val="auto"/>
                <w:lang w:val="en-US" w:eastAsia="zh-CN"/>
              </w:rPr>
              <w:t>施工期执行《建筑施工噪声排放标准》（GB 12523-2025），运行期执行《工业企业厂界环境噪声排放标准》（GB 12348-2008）中的3类标准。</w:t>
            </w:r>
          </w:p>
          <w:p w14:paraId="2C2E6740">
            <w:pPr>
              <w:pStyle w:val="16"/>
              <w:bidi w:val="0"/>
              <w:rPr>
                <w:rFonts w:hint="eastAsia"/>
                <w:color w:val="auto"/>
                <w:lang w:val="en-US" w:eastAsia="zh-CN"/>
              </w:rPr>
            </w:pPr>
            <w:r>
              <w:t xml:space="preserve">表 </w:t>
            </w:r>
            <w:r>
              <w:fldChar w:fldCharType="begin"/>
            </w:r>
            <w:r>
              <w:instrText xml:space="preserve"> SEQ 表 \* ARABIC </w:instrText>
            </w:r>
            <w:r>
              <w:fldChar w:fldCharType="separate"/>
            </w:r>
            <w:r>
              <w:t>28</w:t>
            </w:r>
            <w:r>
              <w:fldChar w:fldCharType="end"/>
            </w:r>
            <w:r>
              <w:rPr>
                <w:rFonts w:hint="eastAsia"/>
                <w:lang w:val="en-US" w:eastAsia="zh-CN"/>
              </w:rPr>
              <w:t xml:space="preserve">  </w:t>
            </w:r>
            <w:r>
              <w:rPr>
                <w:rFonts w:hint="eastAsia"/>
                <w:color w:val="auto"/>
                <w:lang w:val="en-US" w:eastAsia="zh-CN"/>
              </w:rPr>
              <w:t>噪声污染物排放标准</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883"/>
              <w:gridCol w:w="1388"/>
              <w:gridCol w:w="1524"/>
              <w:gridCol w:w="2816"/>
            </w:tblGrid>
            <w:tr w14:paraId="6E685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65" w:hRule="atLeast"/>
                <w:jc w:val="center"/>
              </w:trPr>
              <w:tc>
                <w:tcPr>
                  <w:tcW w:w="838" w:type="pct"/>
                  <w:tcBorders>
                    <w:tl2br w:val="nil"/>
                    <w:tr2bl w:val="nil"/>
                  </w:tcBorders>
                  <w:vAlign w:val="center"/>
                </w:tcPr>
                <w:p w14:paraId="211372BC">
                  <w:pPr>
                    <w:pStyle w:val="15"/>
                    <w:rPr>
                      <w:color w:val="auto"/>
                    </w:rPr>
                  </w:pPr>
                  <w:r>
                    <w:rPr>
                      <w:color w:val="auto"/>
                    </w:rPr>
                    <w:t>项目</w:t>
                  </w:r>
                </w:p>
              </w:tc>
              <w:tc>
                <w:tcPr>
                  <w:tcW w:w="555" w:type="pct"/>
                  <w:tcBorders>
                    <w:tl2br w:val="nil"/>
                    <w:tr2bl w:val="nil"/>
                  </w:tcBorders>
                  <w:vAlign w:val="center"/>
                </w:tcPr>
                <w:p w14:paraId="4F4ADAC6">
                  <w:pPr>
                    <w:pStyle w:val="15"/>
                    <w:rPr>
                      <w:color w:val="auto"/>
                    </w:rPr>
                  </w:pPr>
                  <w:r>
                    <w:rPr>
                      <w:color w:val="auto"/>
                    </w:rPr>
                    <w:t>类别</w:t>
                  </w:r>
                </w:p>
              </w:tc>
              <w:tc>
                <w:tcPr>
                  <w:tcW w:w="873" w:type="pct"/>
                  <w:tcBorders>
                    <w:tl2br w:val="nil"/>
                    <w:tr2bl w:val="nil"/>
                  </w:tcBorders>
                  <w:vAlign w:val="center"/>
                </w:tcPr>
                <w:p w14:paraId="249BD3F2">
                  <w:pPr>
                    <w:pStyle w:val="15"/>
                    <w:rPr>
                      <w:color w:val="auto"/>
                    </w:rPr>
                  </w:pPr>
                  <w:r>
                    <w:rPr>
                      <w:color w:val="auto"/>
                    </w:rPr>
                    <w:t>昼间dB（A）</w:t>
                  </w:r>
                </w:p>
              </w:tc>
              <w:tc>
                <w:tcPr>
                  <w:tcW w:w="959" w:type="pct"/>
                  <w:tcBorders>
                    <w:tl2br w:val="nil"/>
                    <w:tr2bl w:val="nil"/>
                  </w:tcBorders>
                  <w:vAlign w:val="center"/>
                </w:tcPr>
                <w:p w14:paraId="31EE6B2B">
                  <w:pPr>
                    <w:pStyle w:val="15"/>
                    <w:rPr>
                      <w:color w:val="auto"/>
                    </w:rPr>
                  </w:pPr>
                  <w:r>
                    <w:rPr>
                      <w:color w:val="auto"/>
                    </w:rPr>
                    <w:t>夜间dB（A）</w:t>
                  </w:r>
                </w:p>
              </w:tc>
              <w:tc>
                <w:tcPr>
                  <w:tcW w:w="1772" w:type="pct"/>
                  <w:tcBorders>
                    <w:tl2br w:val="nil"/>
                    <w:tr2bl w:val="nil"/>
                  </w:tcBorders>
                  <w:vAlign w:val="center"/>
                </w:tcPr>
                <w:p w14:paraId="0AC4241F">
                  <w:pPr>
                    <w:pStyle w:val="15"/>
                    <w:rPr>
                      <w:color w:val="auto"/>
                    </w:rPr>
                  </w:pPr>
                  <w:r>
                    <w:rPr>
                      <w:color w:val="auto"/>
                    </w:rPr>
                    <w:t>标准来源</w:t>
                  </w:r>
                </w:p>
              </w:tc>
            </w:tr>
            <w:tr w14:paraId="55F61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38" w:type="pct"/>
                  <w:tcBorders>
                    <w:tl2br w:val="nil"/>
                    <w:tr2bl w:val="nil"/>
                  </w:tcBorders>
                  <w:vAlign w:val="center"/>
                </w:tcPr>
                <w:p w14:paraId="6A1682AF">
                  <w:pPr>
                    <w:pStyle w:val="15"/>
                    <w:rPr>
                      <w:color w:val="auto"/>
                    </w:rPr>
                  </w:pPr>
                  <w:r>
                    <w:rPr>
                      <w:color w:val="auto"/>
                    </w:rPr>
                    <w:t>施工期场界</w:t>
                  </w:r>
                </w:p>
              </w:tc>
              <w:tc>
                <w:tcPr>
                  <w:tcW w:w="555" w:type="pct"/>
                  <w:tcBorders>
                    <w:tl2br w:val="nil"/>
                    <w:tr2bl w:val="nil"/>
                  </w:tcBorders>
                  <w:vAlign w:val="center"/>
                </w:tcPr>
                <w:p w14:paraId="162CD582">
                  <w:pPr>
                    <w:pStyle w:val="15"/>
                    <w:rPr>
                      <w:color w:val="auto"/>
                    </w:rPr>
                  </w:pPr>
                  <w:r>
                    <w:rPr>
                      <w:color w:val="auto"/>
                    </w:rPr>
                    <w:t>-</w:t>
                  </w:r>
                </w:p>
              </w:tc>
              <w:tc>
                <w:tcPr>
                  <w:tcW w:w="873" w:type="pct"/>
                  <w:tcBorders>
                    <w:tl2br w:val="nil"/>
                    <w:tr2bl w:val="nil"/>
                  </w:tcBorders>
                  <w:vAlign w:val="center"/>
                </w:tcPr>
                <w:p w14:paraId="3BF88B77">
                  <w:pPr>
                    <w:pStyle w:val="15"/>
                    <w:rPr>
                      <w:color w:val="auto"/>
                    </w:rPr>
                  </w:pPr>
                  <w:r>
                    <w:rPr>
                      <w:color w:val="auto"/>
                    </w:rPr>
                    <w:t>70</w:t>
                  </w:r>
                </w:p>
              </w:tc>
              <w:tc>
                <w:tcPr>
                  <w:tcW w:w="959" w:type="pct"/>
                  <w:tcBorders>
                    <w:tl2br w:val="nil"/>
                    <w:tr2bl w:val="nil"/>
                  </w:tcBorders>
                  <w:vAlign w:val="center"/>
                </w:tcPr>
                <w:p w14:paraId="0ED540A3">
                  <w:pPr>
                    <w:pStyle w:val="15"/>
                    <w:rPr>
                      <w:color w:val="auto"/>
                    </w:rPr>
                  </w:pPr>
                  <w:r>
                    <w:rPr>
                      <w:color w:val="auto"/>
                    </w:rPr>
                    <w:t>55</w:t>
                  </w:r>
                </w:p>
              </w:tc>
              <w:tc>
                <w:tcPr>
                  <w:tcW w:w="1772" w:type="pct"/>
                  <w:tcBorders>
                    <w:tl2br w:val="nil"/>
                    <w:tr2bl w:val="nil"/>
                  </w:tcBorders>
                  <w:vAlign w:val="center"/>
                </w:tcPr>
                <w:p w14:paraId="5B161135">
                  <w:pPr>
                    <w:pStyle w:val="15"/>
                    <w:rPr>
                      <w:color w:val="auto"/>
                    </w:rPr>
                  </w:pPr>
                  <w:r>
                    <w:rPr>
                      <w:rFonts w:hint="eastAsia"/>
                      <w:color w:val="auto"/>
                    </w:rPr>
                    <w:t>《建筑施工噪声排放标准》（GB 12523-2025）</w:t>
                  </w:r>
                </w:p>
              </w:tc>
            </w:tr>
            <w:tr w14:paraId="4D5C5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38" w:type="pct"/>
                  <w:tcBorders>
                    <w:tl2br w:val="nil"/>
                    <w:tr2bl w:val="nil"/>
                  </w:tcBorders>
                  <w:vAlign w:val="center"/>
                </w:tcPr>
                <w:p w14:paraId="3954B603">
                  <w:pPr>
                    <w:pStyle w:val="15"/>
                    <w:rPr>
                      <w:color w:val="auto"/>
                    </w:rPr>
                  </w:pPr>
                  <w:r>
                    <w:rPr>
                      <w:color w:val="auto"/>
                    </w:rPr>
                    <w:t>运行期厂界</w:t>
                  </w:r>
                </w:p>
              </w:tc>
              <w:tc>
                <w:tcPr>
                  <w:tcW w:w="555" w:type="pct"/>
                  <w:tcBorders>
                    <w:tl2br w:val="nil"/>
                    <w:tr2bl w:val="nil"/>
                  </w:tcBorders>
                  <w:vAlign w:val="center"/>
                </w:tcPr>
                <w:p w14:paraId="23516CC1">
                  <w:pPr>
                    <w:pStyle w:val="15"/>
                    <w:rPr>
                      <w:color w:val="auto"/>
                    </w:rPr>
                  </w:pPr>
                  <w:r>
                    <w:rPr>
                      <w:color w:val="auto"/>
                    </w:rPr>
                    <w:t>3类</w:t>
                  </w:r>
                </w:p>
              </w:tc>
              <w:tc>
                <w:tcPr>
                  <w:tcW w:w="873" w:type="pct"/>
                  <w:tcBorders>
                    <w:tl2br w:val="nil"/>
                    <w:tr2bl w:val="nil"/>
                  </w:tcBorders>
                  <w:vAlign w:val="center"/>
                </w:tcPr>
                <w:p w14:paraId="7F034F35">
                  <w:pPr>
                    <w:pStyle w:val="15"/>
                    <w:rPr>
                      <w:color w:val="auto"/>
                    </w:rPr>
                  </w:pPr>
                  <w:r>
                    <w:rPr>
                      <w:color w:val="auto"/>
                    </w:rPr>
                    <w:t>65</w:t>
                  </w:r>
                </w:p>
              </w:tc>
              <w:tc>
                <w:tcPr>
                  <w:tcW w:w="959" w:type="pct"/>
                  <w:tcBorders>
                    <w:tl2br w:val="nil"/>
                    <w:tr2bl w:val="nil"/>
                  </w:tcBorders>
                  <w:vAlign w:val="center"/>
                </w:tcPr>
                <w:p w14:paraId="595A548A">
                  <w:pPr>
                    <w:pStyle w:val="15"/>
                    <w:rPr>
                      <w:color w:val="auto"/>
                    </w:rPr>
                  </w:pPr>
                  <w:r>
                    <w:rPr>
                      <w:color w:val="auto"/>
                    </w:rPr>
                    <w:t>55</w:t>
                  </w:r>
                </w:p>
              </w:tc>
              <w:tc>
                <w:tcPr>
                  <w:tcW w:w="1772" w:type="pct"/>
                  <w:tcBorders>
                    <w:tl2br w:val="nil"/>
                    <w:tr2bl w:val="nil"/>
                  </w:tcBorders>
                  <w:vAlign w:val="center"/>
                </w:tcPr>
                <w:p w14:paraId="57AD4E25">
                  <w:pPr>
                    <w:pStyle w:val="15"/>
                    <w:rPr>
                      <w:color w:val="auto"/>
                    </w:rPr>
                  </w:pPr>
                  <w:r>
                    <w:rPr>
                      <w:rFonts w:hint="eastAsia"/>
                      <w:color w:val="auto"/>
                    </w:rPr>
                    <w:t>《工业企业厂界环境噪声排放标准》（GB 12348-2008）</w:t>
                  </w:r>
                </w:p>
              </w:tc>
            </w:tr>
          </w:tbl>
          <w:p w14:paraId="5879A911">
            <w:pPr>
              <w:pStyle w:val="3"/>
              <w:bidi w:val="0"/>
              <w:rPr>
                <w:b/>
                <w:bCs/>
                <w:color w:val="auto"/>
              </w:rPr>
            </w:pPr>
            <w:r>
              <w:rPr>
                <w:b/>
                <w:bCs/>
                <w:color w:val="auto"/>
              </w:rPr>
              <w:t>4</w:t>
            </w:r>
            <w:r>
              <w:rPr>
                <w:rFonts w:hint="eastAsia"/>
                <w:b/>
                <w:bCs/>
                <w:color w:val="auto"/>
                <w:lang w:val="en-US" w:eastAsia="zh-CN"/>
              </w:rPr>
              <w:t>.</w:t>
            </w:r>
            <w:r>
              <w:rPr>
                <w:b/>
                <w:bCs/>
                <w:color w:val="auto"/>
              </w:rPr>
              <w:t>固废</w:t>
            </w:r>
          </w:p>
          <w:p w14:paraId="0A5D08C9">
            <w:pPr>
              <w:rPr>
                <w:rFonts w:hint="eastAsia"/>
                <w:color w:val="auto"/>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盐酸储罐无工业固体废物产生。</w:t>
            </w:r>
          </w:p>
          <w:p w14:paraId="4A798246">
            <w:pPr>
              <w:rPr>
                <w:color w:val="auto"/>
              </w:rPr>
            </w:pPr>
            <w:r>
              <w:rPr>
                <w:rFonts w:hint="eastAsia"/>
                <w:color w:val="auto"/>
                <w:lang w:val="en-US" w:eastAsia="zh-CN"/>
              </w:rPr>
              <w:t>全厂一般固体废物处置执行《一般工业固体废物贮存和填埋污染控制标准》（GB 18599-2020），危险废物处置执行《危险废物贮存污染控制标准》（GB18597-2023）。</w:t>
            </w:r>
          </w:p>
        </w:tc>
      </w:tr>
      <w:tr w14:paraId="15C8E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1" w:hRule="atLeast"/>
          <w:jc w:val="center"/>
        </w:trPr>
        <w:tc>
          <w:tcPr>
            <w:tcW w:w="800" w:type="dxa"/>
            <w:vAlign w:val="center"/>
          </w:tcPr>
          <w:p w14:paraId="2AFB7B97">
            <w:pPr>
              <w:pStyle w:val="3"/>
              <w:bidi w:val="0"/>
              <w:jc w:val="center"/>
            </w:pPr>
            <w:r>
              <w:t>总</w:t>
            </w:r>
          </w:p>
          <w:p w14:paraId="2660AFF5">
            <w:pPr>
              <w:pStyle w:val="3"/>
              <w:bidi w:val="0"/>
              <w:jc w:val="center"/>
            </w:pPr>
            <w:r>
              <w:t>量</w:t>
            </w:r>
          </w:p>
          <w:p w14:paraId="0B79EE1D">
            <w:pPr>
              <w:pStyle w:val="3"/>
              <w:bidi w:val="0"/>
              <w:jc w:val="center"/>
            </w:pPr>
            <w:r>
              <w:t>控</w:t>
            </w:r>
          </w:p>
          <w:p w14:paraId="329FC182">
            <w:pPr>
              <w:pStyle w:val="3"/>
              <w:bidi w:val="0"/>
              <w:jc w:val="center"/>
            </w:pPr>
            <w:r>
              <w:t>制</w:t>
            </w:r>
          </w:p>
          <w:p w14:paraId="34390F9D">
            <w:pPr>
              <w:pStyle w:val="3"/>
              <w:bidi w:val="0"/>
              <w:jc w:val="center"/>
            </w:pPr>
            <w:r>
              <w:t>指</w:t>
            </w:r>
          </w:p>
          <w:p w14:paraId="691B0AEC">
            <w:pPr>
              <w:pStyle w:val="3"/>
              <w:bidi w:val="0"/>
              <w:jc w:val="center"/>
            </w:pPr>
            <w:r>
              <w:t>标</w:t>
            </w:r>
          </w:p>
        </w:tc>
        <w:tc>
          <w:tcPr>
            <w:tcW w:w="8190" w:type="dxa"/>
            <w:vAlign w:val="top"/>
          </w:tcPr>
          <w:p w14:paraId="26BDB7B5">
            <w:pPr>
              <w:pStyle w:val="3"/>
              <w:bidi w:val="0"/>
              <w:jc w:val="left"/>
              <w:rPr>
                <w:rFonts w:hint="default"/>
                <w:lang w:val="en-US" w:eastAsia="zh-CN"/>
              </w:rPr>
            </w:pPr>
            <w:r>
              <w:rPr>
                <w:rFonts w:hint="eastAsia"/>
                <w:lang w:val="en-US" w:eastAsia="zh-CN"/>
              </w:rPr>
              <w:t>1.本项目总量控制指标</w:t>
            </w:r>
          </w:p>
          <w:p w14:paraId="1E0CF24D">
            <w:pPr>
              <w:bidi w:val="0"/>
              <w:jc w:val="left"/>
              <w:rPr>
                <w:rFonts w:hint="default"/>
                <w:color w:val="auto"/>
                <w:lang w:val="en-US" w:eastAsia="zh-CN"/>
              </w:rPr>
            </w:pPr>
            <w:r>
              <w:rPr>
                <w:rFonts w:hint="default"/>
                <w:color w:val="auto"/>
                <w:lang w:val="en-US" w:eastAsia="zh-CN"/>
              </w:rPr>
              <w:t>根据《新疆生态环境保护“十四五”规划》，总量控制包含氮氧化物、挥发性有机物、化学需氧量、氨氮、总磷、总氮。</w:t>
            </w:r>
          </w:p>
          <w:p w14:paraId="7737B259">
            <w:pPr>
              <w:bidi w:val="0"/>
              <w:jc w:val="left"/>
              <w:rPr>
                <w:rFonts w:hint="eastAsia"/>
                <w:color w:val="auto"/>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盐酸储罐主要污染物为HCl，不属于总量控制污染物。</w:t>
            </w:r>
          </w:p>
          <w:p w14:paraId="41477947">
            <w:pPr>
              <w:jc w:val="left"/>
              <w:rPr>
                <w:color w:val="auto"/>
              </w:rPr>
            </w:pPr>
          </w:p>
        </w:tc>
      </w:tr>
    </w:tbl>
    <w:p w14:paraId="79838EAD">
      <w:pPr>
        <w:pStyle w:val="2"/>
        <w:bidi w:val="0"/>
      </w:pPr>
      <w:r>
        <w:t>四、主要环境影响和保护措施</w:t>
      </w:r>
    </w:p>
    <w:tbl>
      <w:tblPr>
        <w:tblStyle w:val="11"/>
        <w:tblW w:w="84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3"/>
        <w:gridCol w:w="8139"/>
      </w:tblGrid>
      <w:tr w14:paraId="350FE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dxa"/>
            <w:tcMar>
              <w:left w:w="28" w:type="dxa"/>
              <w:right w:w="28" w:type="dxa"/>
            </w:tcMar>
            <w:vAlign w:val="center"/>
          </w:tcPr>
          <w:p w14:paraId="524CA1E9">
            <w:pPr>
              <w:pStyle w:val="3"/>
              <w:bidi w:val="0"/>
              <w:jc w:val="center"/>
            </w:pPr>
            <w:r>
              <w:t>施工</w:t>
            </w:r>
          </w:p>
          <w:p w14:paraId="7E16A6C7">
            <w:pPr>
              <w:pStyle w:val="3"/>
              <w:bidi w:val="0"/>
              <w:jc w:val="center"/>
            </w:pPr>
            <w:r>
              <w:t>期环</w:t>
            </w:r>
          </w:p>
          <w:p w14:paraId="2948FDAC">
            <w:pPr>
              <w:pStyle w:val="3"/>
              <w:bidi w:val="0"/>
              <w:jc w:val="center"/>
            </w:pPr>
            <w:r>
              <w:t>境保</w:t>
            </w:r>
          </w:p>
          <w:p w14:paraId="05CCE1BA">
            <w:pPr>
              <w:pStyle w:val="3"/>
              <w:bidi w:val="0"/>
              <w:jc w:val="center"/>
            </w:pPr>
            <w:r>
              <w:rPr>
                <w:rFonts w:hint="eastAsia"/>
                <w:lang w:eastAsia="zh-CN"/>
              </w:rPr>
              <w:t>举措</w:t>
            </w:r>
          </w:p>
          <w:p w14:paraId="2EC22EDC">
            <w:pPr>
              <w:pStyle w:val="3"/>
              <w:bidi w:val="0"/>
              <w:jc w:val="center"/>
            </w:pPr>
            <w:r>
              <w:t>施</w:t>
            </w:r>
          </w:p>
        </w:tc>
        <w:tc>
          <w:tcPr>
            <w:tcW w:w="8053" w:type="dxa"/>
            <w:vAlign w:val="center"/>
          </w:tcPr>
          <w:p w14:paraId="3F8BFCD6">
            <w:pPr>
              <w:rPr>
                <w:color w:val="auto"/>
              </w:rPr>
            </w:pPr>
            <w:r>
              <w:rPr>
                <w:color w:val="auto"/>
              </w:rPr>
              <w:t>项目施工期对环境造成的影响主要包括：施工废气、施工噪声和施工固体废弃物等。</w:t>
            </w:r>
          </w:p>
          <w:p w14:paraId="3F74520E">
            <w:pPr>
              <w:pStyle w:val="3"/>
              <w:bidi w:val="0"/>
              <w:rPr>
                <w:b/>
                <w:bCs/>
                <w:color w:val="auto"/>
              </w:rPr>
            </w:pPr>
            <w:r>
              <w:rPr>
                <w:rFonts w:hint="eastAsia"/>
                <w:b/>
                <w:bCs/>
                <w:color w:val="auto"/>
                <w:lang w:eastAsia="zh-CN"/>
              </w:rPr>
              <w:t>1</w:t>
            </w:r>
            <w:r>
              <w:rPr>
                <w:rFonts w:hint="eastAsia"/>
                <w:b/>
                <w:bCs/>
                <w:color w:val="auto"/>
                <w:lang w:val="en-US" w:eastAsia="zh-CN"/>
              </w:rPr>
              <w:t>.</w:t>
            </w:r>
            <w:r>
              <w:rPr>
                <w:b/>
                <w:bCs/>
                <w:color w:val="auto"/>
              </w:rPr>
              <w:t>大气环境影响分析</w:t>
            </w:r>
          </w:p>
          <w:p w14:paraId="30E024B4">
            <w:pPr>
              <w:rPr>
                <w:rFonts w:hint="eastAsia"/>
              </w:rPr>
            </w:pPr>
            <w:r>
              <w:rPr>
                <w:rFonts w:hint="eastAsia"/>
              </w:rPr>
              <w:t>项目建设阶段设备运输、材料装卸及堆存、工程施工、车辆行驶等过程产生的扬尘，对周边环境空气产生一定的影响。</w:t>
            </w:r>
          </w:p>
          <w:p w14:paraId="775F599F">
            <w:pPr>
              <w:rPr>
                <w:rFonts w:hint="eastAsia"/>
              </w:rPr>
            </w:pPr>
            <w:r>
              <w:rPr>
                <w:rFonts w:hint="eastAsia"/>
              </w:rPr>
              <w:t>本次扩建不新建建筑，仅安装新的设备。不涉及土方挖掘，土地平整等工序，施工扬尘的主要来源为车辆运输和材料装卸和堆存。</w:t>
            </w:r>
          </w:p>
          <w:p w14:paraId="26E420CA">
            <w:pPr>
              <w:pStyle w:val="4"/>
              <w:bidi w:val="0"/>
              <w:rPr>
                <w:rFonts w:hint="eastAsia"/>
                <w:lang w:val="en-US" w:eastAsia="zh-CN"/>
              </w:rPr>
            </w:pPr>
            <w:r>
              <w:rPr>
                <w:rFonts w:hint="eastAsia"/>
                <w:lang w:val="en-US" w:eastAsia="zh-CN"/>
              </w:rPr>
              <w:t>1.1施工期采取的扬尘污染防治措施</w:t>
            </w:r>
          </w:p>
          <w:p w14:paraId="2105D7FD">
            <w:pPr>
              <w:pStyle w:val="5"/>
              <w:bidi w:val="0"/>
              <w:rPr>
                <w:rFonts w:hint="default"/>
                <w:lang w:val="en-US" w:eastAsia="zh-CN"/>
              </w:rPr>
            </w:pPr>
            <w:r>
              <w:rPr>
                <w:rFonts w:hint="eastAsia"/>
                <w:lang w:val="en-US" w:eastAsia="zh-CN"/>
              </w:rPr>
              <w:t>1.1.1盐酸储罐建设施工过程中扬尘污染防治措施</w:t>
            </w:r>
          </w:p>
          <w:p w14:paraId="12BF753D">
            <w:pPr>
              <w:rPr>
                <w:rFonts w:hint="default"/>
                <w:lang w:val="en-US" w:eastAsia="zh-CN"/>
              </w:rPr>
            </w:pPr>
            <w:r>
              <w:rPr>
                <w:rFonts w:hint="eastAsia"/>
                <w:lang w:val="en-US" w:eastAsia="zh-CN"/>
              </w:rPr>
              <w:t>（1）</w:t>
            </w:r>
            <w:r>
              <w:rPr>
                <w:rFonts w:hint="default"/>
                <w:lang w:val="en-US" w:eastAsia="zh-CN"/>
              </w:rPr>
              <w:t>建设工程施工应当采取有效措施防止、减少扬尘污染，保证施工场地扬尘污染物排放符合国家和河北省污染物排放标准。</w:t>
            </w:r>
          </w:p>
          <w:p w14:paraId="722E7D0A">
            <w:pPr>
              <w:rPr>
                <w:rFonts w:hint="default"/>
                <w:lang w:val="en-US" w:eastAsia="zh-CN"/>
              </w:rPr>
            </w:pPr>
            <w:r>
              <w:rPr>
                <w:rFonts w:hint="eastAsia"/>
                <w:lang w:val="en-US" w:eastAsia="zh-CN"/>
              </w:rPr>
              <w:t>（2）</w:t>
            </w:r>
            <w:r>
              <w:rPr>
                <w:rFonts w:hint="default"/>
                <w:lang w:val="en-US" w:eastAsia="zh-CN"/>
              </w:rPr>
              <w:t>在施工现场出入口明显位置设置公示牌，公示施工现场负责人、环保监督员、防尘措施、扬尘监督管理部门、举报投诉电话等信息；</w:t>
            </w:r>
          </w:p>
          <w:p w14:paraId="4EC1ABAC">
            <w:pPr>
              <w:rPr>
                <w:rFonts w:hint="default"/>
                <w:lang w:val="en-US" w:eastAsia="zh-CN"/>
              </w:rPr>
            </w:pPr>
            <w:r>
              <w:rPr>
                <w:rFonts w:hint="eastAsia"/>
                <w:lang w:val="en-US" w:eastAsia="zh-CN"/>
              </w:rPr>
              <w:t>（3）</w:t>
            </w:r>
            <w:r>
              <w:rPr>
                <w:rFonts w:hint="default"/>
                <w:lang w:val="en-US" w:eastAsia="zh-CN"/>
              </w:rPr>
              <w:t>对施工现场出入口、车辆运输道路、材料加工堆放区、办公区、生活区进行硬化处理，并保持地面整洁；</w:t>
            </w:r>
          </w:p>
          <w:p w14:paraId="4FEA7B51">
            <w:pPr>
              <w:rPr>
                <w:rFonts w:hint="default"/>
                <w:lang w:val="en-US" w:eastAsia="zh-CN"/>
              </w:rPr>
            </w:pPr>
            <w:r>
              <w:rPr>
                <w:rFonts w:hint="eastAsia"/>
                <w:lang w:val="en-US" w:eastAsia="zh-CN"/>
              </w:rPr>
              <w:t>（4）</w:t>
            </w:r>
            <w:r>
              <w:rPr>
                <w:rFonts w:hint="default"/>
                <w:lang w:val="en-US" w:eastAsia="zh-CN"/>
              </w:rPr>
              <w:t>在施工现场出口处设置车辆清洗设施并配套设置排水、泥浆沉淀设施，车辆冲洗干净后方可驶出；</w:t>
            </w:r>
          </w:p>
          <w:p w14:paraId="00D3B222">
            <w:pPr>
              <w:rPr>
                <w:rFonts w:hint="default"/>
                <w:lang w:val="en-US" w:eastAsia="zh-CN"/>
              </w:rPr>
            </w:pPr>
            <w:r>
              <w:rPr>
                <w:rFonts w:hint="eastAsia"/>
                <w:lang w:val="en-US" w:eastAsia="zh-CN"/>
              </w:rPr>
              <w:t>（5）</w:t>
            </w:r>
            <w:r>
              <w:rPr>
                <w:rFonts w:hint="default"/>
                <w:lang w:val="en-US" w:eastAsia="zh-CN"/>
              </w:rPr>
              <w:t>建筑垃圾应当及时清运，在场地内堆存的，应当集中堆放并采取密闭或者遮盖等防尘措施；</w:t>
            </w:r>
          </w:p>
          <w:p w14:paraId="28F7AC81">
            <w:pPr>
              <w:rPr>
                <w:rFonts w:hint="eastAsia"/>
                <w:lang w:val="en-US" w:eastAsia="zh-CN"/>
              </w:rPr>
            </w:pPr>
            <w:r>
              <w:rPr>
                <w:rFonts w:hint="eastAsia"/>
                <w:lang w:val="en-US" w:eastAsia="zh-CN"/>
              </w:rPr>
              <w:t>（6）</w:t>
            </w:r>
            <w:r>
              <w:rPr>
                <w:rFonts w:hint="default"/>
                <w:lang w:val="en-US" w:eastAsia="zh-CN"/>
              </w:rPr>
              <w:t>在施工工地同步安装视频监控设备和扬尘污染物在线监测设备，分别与建设主管部门、生态环境主管部门的监控设备联网，并保证系统正常运行，发生故障应当在二十四小时内修复</w:t>
            </w:r>
            <w:r>
              <w:rPr>
                <w:rFonts w:hint="eastAsia"/>
                <w:lang w:val="en-US" w:eastAsia="zh-CN"/>
              </w:rPr>
              <w:t>。</w:t>
            </w:r>
          </w:p>
          <w:p w14:paraId="4B128B88">
            <w:pPr>
              <w:pStyle w:val="5"/>
              <w:bidi w:val="0"/>
              <w:rPr>
                <w:rFonts w:hint="eastAsia"/>
                <w:lang w:val="en-US" w:eastAsia="zh-CN"/>
              </w:rPr>
            </w:pPr>
            <w:r>
              <w:rPr>
                <w:rFonts w:hint="eastAsia"/>
                <w:lang w:val="en-US" w:eastAsia="zh-CN"/>
              </w:rPr>
              <w:t>1.1.2物料堆存过程中扬尘污染防治措施</w:t>
            </w:r>
          </w:p>
          <w:p w14:paraId="64055F69">
            <w:pPr>
              <w:rPr>
                <w:rFonts w:hint="default"/>
                <w:lang w:val="en-US" w:eastAsia="zh-CN"/>
              </w:rPr>
            </w:pPr>
            <w:r>
              <w:rPr>
                <w:rFonts w:hint="eastAsia"/>
                <w:lang w:val="en-US" w:eastAsia="zh-CN"/>
              </w:rPr>
              <w:t>（1）</w:t>
            </w:r>
            <w:r>
              <w:rPr>
                <w:rFonts w:hint="default"/>
                <w:lang w:val="en-US" w:eastAsia="zh-CN"/>
              </w:rPr>
              <w:t>划分物料区域和道路界限，及时清除散落的物料，保持物料堆放区域和道路整洁；</w:t>
            </w:r>
          </w:p>
          <w:p w14:paraId="66ED5F08">
            <w:pPr>
              <w:rPr>
                <w:rFonts w:hint="default"/>
                <w:lang w:val="en-US" w:eastAsia="zh-CN"/>
              </w:rPr>
            </w:pPr>
            <w:r>
              <w:rPr>
                <w:rFonts w:hint="eastAsia"/>
                <w:lang w:val="en-US" w:eastAsia="zh-CN"/>
              </w:rPr>
              <w:t>（2）对</w:t>
            </w:r>
            <w:r>
              <w:rPr>
                <w:rFonts w:hint="default"/>
                <w:lang w:val="en-US" w:eastAsia="zh-CN"/>
              </w:rPr>
              <w:t>场地进行硬化处理，并及时清扫、清洗；</w:t>
            </w:r>
          </w:p>
          <w:p w14:paraId="3656A670">
            <w:pPr>
              <w:rPr>
                <w:rFonts w:hint="default"/>
                <w:lang w:val="en-US" w:eastAsia="zh-CN"/>
              </w:rPr>
            </w:pPr>
            <w:r>
              <w:rPr>
                <w:rFonts w:hint="eastAsia"/>
                <w:lang w:val="en-US" w:eastAsia="zh-CN"/>
              </w:rPr>
              <w:t>（3）</w:t>
            </w:r>
            <w:r>
              <w:rPr>
                <w:rFonts w:hint="default"/>
                <w:lang w:val="en-US" w:eastAsia="zh-CN"/>
              </w:rPr>
              <w:t>物料堆场周边设置高于堆存物料的围挡、防风网等设施，并采取遮盖、喷淋等防尘措施；</w:t>
            </w:r>
          </w:p>
          <w:p w14:paraId="1D764749">
            <w:pPr>
              <w:rPr>
                <w:rFonts w:hint="default"/>
                <w:lang w:val="en-US" w:eastAsia="zh-CN"/>
              </w:rPr>
            </w:pPr>
            <w:r>
              <w:rPr>
                <w:rFonts w:hint="eastAsia"/>
                <w:lang w:val="en-US" w:eastAsia="zh-CN"/>
              </w:rPr>
              <w:t>（4）</w:t>
            </w:r>
            <w:r>
              <w:rPr>
                <w:rFonts w:hint="default"/>
                <w:lang w:val="en-US" w:eastAsia="zh-CN"/>
              </w:rPr>
              <w:t>露天装卸作业的，应当采取洒水等防尘措施，采用密闭输送设备作业的，在装料、卸料处配备吸尘、喷淋等防尘设施，并保持防尘设施正常使用；</w:t>
            </w:r>
          </w:p>
          <w:p w14:paraId="0A661C3E">
            <w:pPr>
              <w:rPr>
                <w:rFonts w:hint="default"/>
                <w:lang w:val="en-US" w:eastAsia="zh-CN"/>
              </w:rPr>
            </w:pPr>
            <w:r>
              <w:rPr>
                <w:rFonts w:hint="eastAsia"/>
                <w:lang w:val="en-US" w:eastAsia="zh-CN"/>
              </w:rPr>
              <w:t>（5）</w:t>
            </w:r>
            <w:r>
              <w:rPr>
                <w:rFonts w:hint="default"/>
                <w:lang w:val="en-US" w:eastAsia="zh-CN"/>
              </w:rPr>
              <w:t>出口应硬化地面并设置车辆清洗保洁设施，车辆冲洗干净后方可驶出；</w:t>
            </w:r>
          </w:p>
          <w:p w14:paraId="5BE618E6">
            <w:pPr>
              <w:rPr>
                <w:rFonts w:hint="default"/>
                <w:lang w:val="en-US" w:eastAsia="zh-CN"/>
              </w:rPr>
            </w:pPr>
            <w:r>
              <w:rPr>
                <w:rFonts w:hint="eastAsia"/>
                <w:lang w:val="en-US" w:eastAsia="zh-CN"/>
              </w:rPr>
              <w:t>（6）</w:t>
            </w:r>
            <w:r>
              <w:rPr>
                <w:rFonts w:hint="default"/>
                <w:lang w:val="en-US" w:eastAsia="zh-CN"/>
              </w:rPr>
              <w:t>需要使用防尘网遮盖的，防尘网的密度应当符合要求，并采取有效防风加固措施。防尘网应当保持完整无损，破损的应当及时修复或者更换。</w:t>
            </w:r>
          </w:p>
          <w:p w14:paraId="75B88238">
            <w:pPr>
              <w:rPr>
                <w:rFonts w:hint="default"/>
                <w:lang w:val="en-US" w:eastAsia="zh-CN"/>
              </w:rPr>
            </w:pPr>
            <w:r>
              <w:rPr>
                <w:rFonts w:hint="default"/>
                <w:lang w:val="en-US" w:eastAsia="zh-CN"/>
              </w:rPr>
              <w:t>在采取上述措施后，施工期废气能够达标排放。</w:t>
            </w:r>
          </w:p>
          <w:p w14:paraId="0E6B941B">
            <w:pPr>
              <w:pStyle w:val="3"/>
              <w:bidi w:val="0"/>
              <w:rPr>
                <w:rFonts w:hint="eastAsia"/>
                <w:lang w:val="en-US" w:eastAsia="zh-CN"/>
              </w:rPr>
            </w:pPr>
            <w:r>
              <w:rPr>
                <w:rFonts w:hint="eastAsia"/>
                <w:lang w:val="en-US" w:eastAsia="zh-CN"/>
              </w:rPr>
              <w:t>2.施工期废水环境影响和施工废水污染防治措施</w:t>
            </w:r>
          </w:p>
          <w:p w14:paraId="4E7B7C5F">
            <w:pPr>
              <w:rPr>
                <w:rFonts w:hint="default"/>
                <w:lang w:val="en-US" w:eastAsia="zh-CN"/>
              </w:rPr>
            </w:pPr>
            <w:r>
              <w:rPr>
                <w:rFonts w:hint="default"/>
                <w:lang w:val="en-US" w:eastAsia="zh-CN"/>
              </w:rPr>
              <w:t>施工期的废水主要来自建筑施工废水和部分工人的生活污水。建筑废水主要来自施工过程中的混凝土养护等施工工序，废水量不大。建筑施工废水多为无机废水，除悬浮物含量较高外，一般不含有毒有害物质，修建临时沉淀池，处理后回用，不外排；生活污水</w:t>
            </w:r>
            <w:r>
              <w:rPr>
                <w:rFonts w:hint="eastAsia"/>
                <w:lang w:val="en-US" w:eastAsia="zh-CN"/>
              </w:rPr>
              <w:t>依托厂区现有办公场所内厕所收集，通过厂区现有化粪池预处理后，通过园区管网输送至园区污水处理厂处理</w:t>
            </w:r>
            <w:r>
              <w:rPr>
                <w:rFonts w:hint="default"/>
                <w:lang w:val="en-US" w:eastAsia="zh-CN"/>
              </w:rPr>
              <w:t>。</w:t>
            </w:r>
          </w:p>
          <w:p w14:paraId="594F1AC2">
            <w:pPr>
              <w:pStyle w:val="3"/>
              <w:bidi w:val="0"/>
              <w:rPr>
                <w:rFonts w:hint="eastAsia"/>
                <w:lang w:val="en-US" w:eastAsia="zh-CN"/>
              </w:rPr>
            </w:pPr>
            <w:r>
              <w:rPr>
                <w:rFonts w:hint="eastAsia"/>
                <w:lang w:val="en-US" w:eastAsia="zh-CN"/>
              </w:rPr>
              <w:t>3.施工噪声环境影响和污染防治措施</w:t>
            </w:r>
          </w:p>
          <w:p w14:paraId="784DAE86">
            <w:pPr>
              <w:rPr>
                <w:rFonts w:hint="default"/>
                <w:lang w:val="en-US" w:eastAsia="zh-CN"/>
              </w:rPr>
            </w:pPr>
            <w:r>
              <w:rPr>
                <w:rFonts w:hint="default"/>
                <w:lang w:val="en-US" w:eastAsia="zh-CN"/>
              </w:rPr>
              <w:t>项目建设过程中，噪声主要来自建设施工机械、施工作业和运输车辆的噪声。采取的噪声污染防治措施为：</w:t>
            </w:r>
          </w:p>
          <w:p w14:paraId="6CC241F4">
            <w:pPr>
              <w:rPr>
                <w:rFonts w:hint="default"/>
                <w:lang w:val="en-US" w:eastAsia="zh-CN"/>
              </w:rPr>
            </w:pPr>
            <w:r>
              <w:rPr>
                <w:rFonts w:hint="default"/>
                <w:lang w:val="en-US" w:eastAsia="zh-CN"/>
              </w:rPr>
              <w:t>（1）选用低噪声的施工设备和先进的施工工艺，保持设备处于良好的运转状态；闲置设备及时关闭，定时检修。</w:t>
            </w:r>
          </w:p>
          <w:p w14:paraId="3787A426">
            <w:pPr>
              <w:rPr>
                <w:rFonts w:hint="default"/>
                <w:lang w:val="en-US" w:eastAsia="zh-CN"/>
              </w:rPr>
            </w:pPr>
            <w:r>
              <w:rPr>
                <w:rFonts w:hint="default"/>
                <w:lang w:val="en-US" w:eastAsia="zh-CN"/>
              </w:rPr>
              <w:t>（2）夜间22:00~6:00不</w:t>
            </w:r>
            <w:r>
              <w:rPr>
                <w:rFonts w:hint="eastAsia"/>
                <w:lang w:val="en-US" w:eastAsia="zh-CN"/>
              </w:rPr>
              <w:t>施工</w:t>
            </w:r>
            <w:r>
              <w:rPr>
                <w:rFonts w:hint="default"/>
                <w:lang w:val="en-US" w:eastAsia="zh-CN"/>
              </w:rPr>
              <w:t>，不在同一时间集中使用大量的动力机械设备；如昼间6:00~22:00施工期间使用噪声值大的设备分散使用。</w:t>
            </w:r>
          </w:p>
          <w:p w14:paraId="2D29BAE0">
            <w:pPr>
              <w:rPr>
                <w:rFonts w:hint="default"/>
                <w:lang w:val="en-US" w:eastAsia="zh-CN"/>
              </w:rPr>
            </w:pPr>
            <w:r>
              <w:rPr>
                <w:rFonts w:hint="default"/>
                <w:lang w:val="en-US" w:eastAsia="zh-CN"/>
              </w:rPr>
              <w:t>（3）对于运输材料、物料的车辆，不在敏感时段运输，加强管理，车辆减速、禁鸣，场地内运输车辆不长时间行驶。</w:t>
            </w:r>
          </w:p>
          <w:p w14:paraId="675FE96F">
            <w:pPr>
              <w:rPr>
                <w:rFonts w:hint="default"/>
                <w:lang w:val="en-US" w:eastAsia="zh-CN"/>
              </w:rPr>
            </w:pPr>
            <w:r>
              <w:rPr>
                <w:rFonts w:hint="default"/>
                <w:lang w:val="en-US" w:eastAsia="zh-CN"/>
              </w:rPr>
              <w:t>（4）加强建设阶段的环境管理工作。</w:t>
            </w:r>
          </w:p>
          <w:p w14:paraId="118DA240">
            <w:pPr>
              <w:rPr>
                <w:rFonts w:hint="default"/>
                <w:lang w:val="en-US" w:eastAsia="zh-CN"/>
              </w:rPr>
            </w:pPr>
            <w:r>
              <w:rPr>
                <w:rFonts w:hint="default"/>
                <w:lang w:val="en-US" w:eastAsia="zh-CN"/>
              </w:rPr>
              <w:t>通过采取以上措施，本项目噪声可以达到</w:t>
            </w:r>
            <w:r>
              <w:rPr>
                <w:rFonts w:hint="eastAsia"/>
                <w:color w:val="auto"/>
                <w:lang w:val="en-US" w:eastAsia="zh-CN"/>
              </w:rPr>
              <w:t>《建筑施工噪声排放标准》（GB 12523-2025）</w:t>
            </w:r>
            <w:r>
              <w:rPr>
                <w:rFonts w:hint="default"/>
                <w:lang w:val="en-US" w:eastAsia="zh-CN"/>
              </w:rPr>
              <w:t>中相关标准限值，即昼间70dB（A），夜间55dB（A）；因此，施工期噪声对周围声环境的影响不大。</w:t>
            </w:r>
          </w:p>
          <w:p w14:paraId="33DB68C0">
            <w:pPr>
              <w:pStyle w:val="3"/>
              <w:bidi w:val="0"/>
            </w:pPr>
            <w:r>
              <w:rPr>
                <w:rFonts w:hint="eastAsia"/>
                <w:lang w:val="en-US" w:eastAsia="zh-CN"/>
              </w:rPr>
              <w:t>4.</w:t>
            </w:r>
            <w:r>
              <w:t>施工期固体废物环境影响和处置措施</w:t>
            </w:r>
          </w:p>
          <w:p w14:paraId="06F82EDD">
            <w:pPr>
              <w:rPr>
                <w:rFonts w:hint="default"/>
                <w:lang w:val="en-US" w:eastAsia="zh-CN"/>
              </w:rPr>
            </w:pPr>
            <w:r>
              <w:rPr>
                <w:rFonts w:hint="default"/>
                <w:lang w:val="en-US" w:eastAsia="zh-CN"/>
              </w:rPr>
              <w:t>项目建设过程中产生的固体废物主要为设备安装时产生的垃圾和工人施工产生的生活垃圾。</w:t>
            </w:r>
          </w:p>
          <w:p w14:paraId="79D99B22">
            <w:pPr>
              <w:rPr>
                <w:rFonts w:hint="default"/>
                <w:lang w:val="en-US" w:eastAsia="zh-CN"/>
              </w:rPr>
            </w:pPr>
            <w:r>
              <w:rPr>
                <w:rFonts w:hint="default"/>
                <w:lang w:val="en-US" w:eastAsia="zh-CN"/>
              </w:rPr>
              <w:t>采取的</w:t>
            </w:r>
            <w:r>
              <w:rPr>
                <w:rFonts w:hint="eastAsia"/>
                <w:lang w:val="en-US" w:eastAsia="zh-CN"/>
              </w:rPr>
              <w:t>固体废物</w:t>
            </w:r>
            <w:r>
              <w:rPr>
                <w:rFonts w:hint="default"/>
                <w:lang w:val="en-US" w:eastAsia="zh-CN"/>
              </w:rPr>
              <w:t>处置措施为：</w:t>
            </w:r>
          </w:p>
          <w:p w14:paraId="3384A63D">
            <w:pPr>
              <w:rPr>
                <w:rFonts w:hint="default"/>
                <w:lang w:val="en-US" w:eastAsia="zh-CN"/>
              </w:rPr>
            </w:pPr>
            <w:r>
              <w:rPr>
                <w:rFonts w:hint="default"/>
                <w:lang w:val="en-US" w:eastAsia="zh-CN"/>
              </w:rPr>
              <w:t>（1）建设过程中产生设备安装垃</w:t>
            </w:r>
            <w:r>
              <w:rPr>
                <w:rFonts w:hint="eastAsia"/>
                <w:lang w:val="en-US" w:eastAsia="zh-CN"/>
              </w:rPr>
              <w:t>圾在</w:t>
            </w:r>
            <w:r>
              <w:rPr>
                <w:rFonts w:hint="default"/>
                <w:lang w:val="en-US" w:eastAsia="zh-CN"/>
              </w:rPr>
              <w:t>指定地点堆存，优先进行回用，剩余部分及时清运，送至区域指定的垃圾场堆存处置。</w:t>
            </w:r>
          </w:p>
          <w:p w14:paraId="453DC317">
            <w:pPr>
              <w:rPr>
                <w:color w:val="auto"/>
              </w:rPr>
            </w:pPr>
            <w:r>
              <w:rPr>
                <w:rFonts w:hint="default"/>
                <w:lang w:val="en-US" w:eastAsia="zh-CN"/>
              </w:rPr>
              <w:t>（2）建设过程中产生的生活垃圾集中收集，送至区域指定垃圾集中堆存点，由区域环卫部门统一负责处置</w:t>
            </w:r>
            <w:r>
              <w:rPr>
                <w:rFonts w:hint="eastAsia"/>
                <w:lang w:val="en-US" w:eastAsia="zh-CN"/>
              </w:rPr>
              <w:t>。</w:t>
            </w:r>
          </w:p>
        </w:tc>
      </w:tr>
      <w:tr w14:paraId="1B283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dxa"/>
            <w:tcMar>
              <w:left w:w="28" w:type="dxa"/>
              <w:right w:w="28" w:type="dxa"/>
            </w:tcMar>
            <w:vAlign w:val="center"/>
          </w:tcPr>
          <w:p w14:paraId="1F0281D1">
            <w:pPr>
              <w:pStyle w:val="3"/>
              <w:bidi w:val="0"/>
              <w:jc w:val="center"/>
            </w:pPr>
            <w:r>
              <w:t>运营</w:t>
            </w:r>
          </w:p>
          <w:p w14:paraId="67C769F5">
            <w:pPr>
              <w:pStyle w:val="3"/>
              <w:bidi w:val="0"/>
              <w:jc w:val="center"/>
            </w:pPr>
            <w:r>
              <w:t>期环</w:t>
            </w:r>
          </w:p>
          <w:p w14:paraId="42B9B8F9">
            <w:pPr>
              <w:pStyle w:val="3"/>
              <w:bidi w:val="0"/>
              <w:jc w:val="center"/>
            </w:pPr>
            <w:r>
              <w:t>境影</w:t>
            </w:r>
          </w:p>
          <w:p w14:paraId="29A3E1FF">
            <w:pPr>
              <w:pStyle w:val="3"/>
              <w:bidi w:val="0"/>
              <w:jc w:val="center"/>
            </w:pPr>
            <w:r>
              <w:t>响和</w:t>
            </w:r>
          </w:p>
          <w:p w14:paraId="62878146">
            <w:pPr>
              <w:pStyle w:val="3"/>
              <w:bidi w:val="0"/>
              <w:jc w:val="center"/>
            </w:pPr>
            <w:r>
              <w:t>保护</w:t>
            </w:r>
          </w:p>
          <w:p w14:paraId="7D7A5AAF">
            <w:pPr>
              <w:pStyle w:val="3"/>
              <w:bidi w:val="0"/>
              <w:jc w:val="center"/>
            </w:pPr>
            <w:r>
              <w:t>措施</w:t>
            </w:r>
          </w:p>
        </w:tc>
        <w:tc>
          <w:tcPr>
            <w:tcW w:w="8053" w:type="dxa"/>
            <w:vAlign w:val="center"/>
          </w:tcPr>
          <w:p w14:paraId="79AB74EF">
            <w:pPr>
              <w:pStyle w:val="3"/>
              <w:bidi w:val="0"/>
              <w:rPr>
                <w:b/>
                <w:bCs/>
                <w:color w:val="auto"/>
              </w:rPr>
            </w:pPr>
            <w:bookmarkStart w:id="1" w:name="_Hlk141198765"/>
            <w:bookmarkStart w:id="2" w:name="_Hlk141197031"/>
            <w:bookmarkStart w:id="3" w:name="_Hlk205240045"/>
            <w:r>
              <w:rPr>
                <w:rFonts w:hint="eastAsia"/>
                <w:b/>
                <w:bCs/>
                <w:color w:val="auto"/>
                <w:lang w:val="en-US" w:eastAsia="zh-CN"/>
              </w:rPr>
              <w:t>1.</w:t>
            </w:r>
            <w:r>
              <w:rPr>
                <w:b/>
                <w:bCs/>
                <w:color w:val="auto"/>
              </w:rPr>
              <w:t>大气环境影响和保护措施</w:t>
            </w:r>
          </w:p>
          <w:p w14:paraId="61F9D345">
            <w:pPr>
              <w:pStyle w:val="4"/>
              <w:bidi w:val="0"/>
              <w:rPr>
                <w:rFonts w:hint="eastAsia"/>
                <w:lang w:val="en-US" w:eastAsia="zh-CN"/>
              </w:rPr>
            </w:pPr>
            <w:r>
              <w:rPr>
                <w:rFonts w:hint="eastAsia"/>
                <w:lang w:val="en-US" w:eastAsia="zh-CN"/>
              </w:rPr>
              <w:t>1.1大气污染物源强核算</w:t>
            </w:r>
          </w:p>
          <w:p w14:paraId="6967C9D2">
            <w:pPr>
              <w:rPr>
                <w:rFonts w:hint="eastAsia"/>
                <w:spacing w:val="-4"/>
                <w:lang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盐酸储罐废气来自31%盐酸</w:t>
            </w:r>
            <w:r>
              <w:rPr>
                <w:spacing w:val="2"/>
              </w:rPr>
              <w:t>装卸过程中产生无组织</w:t>
            </w:r>
            <w:r>
              <w:rPr>
                <w:spacing w:val="-4"/>
              </w:rPr>
              <w:t>排放</w:t>
            </w:r>
            <w:r>
              <w:rPr>
                <w:rFonts w:hint="eastAsia"/>
                <w:spacing w:val="-4"/>
                <w:lang w:eastAsia="zh-CN"/>
              </w:rPr>
              <w:t>。</w:t>
            </w:r>
          </w:p>
          <w:p w14:paraId="356F2BCE">
            <w:pPr>
              <w:pStyle w:val="5"/>
              <w:bidi w:val="0"/>
              <w:rPr>
                <w:rFonts w:hint="eastAsia"/>
                <w:lang w:val="en-US" w:eastAsia="zh-CN"/>
              </w:rPr>
            </w:pPr>
            <w:r>
              <w:rPr>
                <w:rFonts w:hint="eastAsia"/>
                <w:lang w:val="en-US" w:eastAsia="zh-CN"/>
              </w:rPr>
              <w:t>1.1.1本项目</w:t>
            </w:r>
            <w:r>
              <w:rPr>
                <w:rFonts w:hint="eastAsia"/>
                <w:spacing w:val="-4"/>
                <w:lang w:eastAsia="zh-CN"/>
              </w:rPr>
              <w:t>HCl</w:t>
            </w:r>
            <w:r>
              <w:rPr>
                <w:rFonts w:hint="eastAsia"/>
                <w:lang w:val="en-US" w:eastAsia="zh-CN"/>
              </w:rPr>
              <w:t>产生量</w:t>
            </w:r>
          </w:p>
          <w:p w14:paraId="20733F04">
            <w:pPr>
              <w:rPr>
                <w:rFonts w:hint="default"/>
                <w:lang w:val="en-US" w:eastAsia="zh-CN"/>
              </w:rPr>
            </w:pPr>
            <w:r>
              <w:rPr>
                <w:rFonts w:hint="eastAsia"/>
                <w:lang w:val="en-US" w:eastAsia="zh-CN"/>
              </w:rPr>
              <w:t>（1）</w:t>
            </w:r>
            <w:r>
              <w:rPr>
                <w:spacing w:val="-2"/>
              </w:rPr>
              <w:t>储罐小呼吸（</w:t>
            </w:r>
            <w:r>
              <w:rPr>
                <w:rFonts w:ascii="Times New Roman" w:hAnsi="Times New Roman" w:eastAsia="Times New Roman" w:cs="Times New Roman"/>
                <w:spacing w:val="-2"/>
              </w:rPr>
              <w:t>G1</w:t>
            </w:r>
            <w:r>
              <w:rPr>
                <w:spacing w:val="-2"/>
              </w:rPr>
              <w:t>）</w:t>
            </w:r>
          </w:p>
          <w:p w14:paraId="293ACE62">
            <w:pPr>
              <w:rPr>
                <w:rFonts w:hint="eastAsia"/>
                <w:spacing w:val="-4"/>
                <w:lang w:eastAsia="zh-CN"/>
              </w:rPr>
            </w:pPr>
            <w:r>
              <w:rPr>
                <w:rFonts w:hint="eastAsia"/>
                <w:spacing w:val="-4"/>
                <w:lang w:eastAsia="zh-CN"/>
              </w:rPr>
              <w:t>储罐在没有收发作业的情况下，随着外界气温、压力在一天内的升降周期变化，罐内气体空间温度、HCl蒸发速度、HCl浓度和蒸汽压力也随之变化。这种排出蒸汽和吸入空气的过程造成的损失，叫小呼吸损失。损耗的计算参考中国石油化工系统经验公式计算，具体如下：</w:t>
            </w:r>
          </w:p>
          <w:p w14:paraId="06365689">
            <w:pPr>
              <w:pStyle w:val="19"/>
              <w:bidi w:val="0"/>
              <w:rPr>
                <w:rFonts w:hint="eastAsia"/>
                <w:lang w:val="en-US" w:eastAsia="zh-CN"/>
              </w:rPr>
            </w:pPr>
            <w:r>
              <w:rPr>
                <w:rFonts w:hint="eastAsia"/>
                <w:lang w:val="en-US" w:eastAsia="zh-CN"/>
              </w:rPr>
              <w:t>LB=0.191×M(P/(100910-P))</w:t>
            </w:r>
            <w:r>
              <w:rPr>
                <w:rFonts w:hint="eastAsia"/>
                <w:vertAlign w:val="superscript"/>
                <w:lang w:val="en-US" w:eastAsia="zh-CN"/>
              </w:rPr>
              <w:t>0.68</w:t>
            </w:r>
            <w:r>
              <w:rPr>
                <w:rFonts w:hint="eastAsia"/>
                <w:lang w:val="en-US" w:eastAsia="zh-CN"/>
              </w:rPr>
              <w:t>×D</w:t>
            </w:r>
            <w:r>
              <w:rPr>
                <w:rFonts w:hint="eastAsia"/>
                <w:vertAlign w:val="superscript"/>
                <w:lang w:val="en-US" w:eastAsia="zh-CN"/>
              </w:rPr>
              <w:t>1.73</w:t>
            </w:r>
            <w:r>
              <w:rPr>
                <w:rFonts w:hint="eastAsia"/>
                <w:lang w:val="en-US" w:eastAsia="zh-CN"/>
              </w:rPr>
              <w:t>×H</w:t>
            </w:r>
            <w:r>
              <w:rPr>
                <w:rFonts w:hint="eastAsia"/>
                <w:vertAlign w:val="superscript"/>
                <w:lang w:val="en-US" w:eastAsia="zh-CN"/>
              </w:rPr>
              <w:t>0.51</w:t>
            </w:r>
            <w:r>
              <w:rPr>
                <w:rFonts w:hint="eastAsia"/>
                <w:lang w:val="en-US" w:eastAsia="zh-CN"/>
              </w:rPr>
              <w:t>×△T</w:t>
            </w:r>
            <w:r>
              <w:rPr>
                <w:rFonts w:hint="eastAsia"/>
                <w:vertAlign w:val="superscript"/>
                <w:lang w:val="en-US" w:eastAsia="zh-CN"/>
              </w:rPr>
              <w:t>0.45</w:t>
            </w:r>
            <w:r>
              <w:rPr>
                <w:rFonts w:hint="eastAsia"/>
                <w:lang w:val="en-US" w:eastAsia="zh-CN"/>
              </w:rPr>
              <w:t>×Fp×C×KC</w:t>
            </w:r>
          </w:p>
          <w:p w14:paraId="5FA145AB">
            <w:pPr>
              <w:bidi w:val="0"/>
              <w:rPr>
                <w:rFonts w:hint="eastAsia"/>
                <w:lang w:val="en-US" w:eastAsia="zh-CN"/>
              </w:rPr>
            </w:pPr>
            <w:r>
              <w:rPr>
                <w:rFonts w:hint="eastAsia"/>
                <w:lang w:val="en-US" w:eastAsia="zh-CN"/>
              </w:rPr>
              <w:t>式中：LB—固定顶罐的呼吸排放量（kg/a）；</w:t>
            </w:r>
          </w:p>
          <w:p w14:paraId="3817CA09">
            <w:pPr>
              <w:bidi w:val="0"/>
              <w:rPr>
                <w:rFonts w:hint="eastAsia"/>
                <w:lang w:val="en-US" w:eastAsia="zh-CN"/>
              </w:rPr>
            </w:pPr>
            <w:r>
              <w:rPr>
                <w:rFonts w:hint="eastAsia"/>
                <w:lang w:val="en-US" w:eastAsia="zh-CN"/>
              </w:rPr>
              <w:t>M—储罐内蒸气的分子量；</w:t>
            </w:r>
          </w:p>
          <w:p w14:paraId="61909554">
            <w:pPr>
              <w:bidi w:val="0"/>
              <w:rPr>
                <w:rFonts w:hint="eastAsia"/>
                <w:lang w:val="en-US" w:eastAsia="zh-CN"/>
              </w:rPr>
            </w:pPr>
            <w:r>
              <w:rPr>
                <w:rFonts w:hint="eastAsia"/>
                <w:lang w:val="en-US" w:eastAsia="zh-CN"/>
              </w:rPr>
              <w:t>P—在大量液体状态下，真实的蒸气压力（Pa）；</w:t>
            </w:r>
          </w:p>
          <w:p w14:paraId="3E813893">
            <w:pPr>
              <w:bidi w:val="0"/>
              <w:rPr>
                <w:rFonts w:hint="eastAsia"/>
                <w:lang w:val="en-US" w:eastAsia="zh-CN"/>
              </w:rPr>
            </w:pPr>
            <w:r>
              <w:rPr>
                <w:rFonts w:hint="eastAsia"/>
                <w:lang w:val="en-US" w:eastAsia="zh-CN"/>
              </w:rPr>
              <w:t>D—罐的直径（m）；</w:t>
            </w:r>
          </w:p>
          <w:p w14:paraId="281A0144">
            <w:pPr>
              <w:bidi w:val="0"/>
              <w:rPr>
                <w:rFonts w:hint="eastAsia"/>
                <w:lang w:val="en-US" w:eastAsia="zh-CN"/>
              </w:rPr>
            </w:pPr>
            <w:r>
              <w:rPr>
                <w:rFonts w:hint="eastAsia"/>
                <w:lang w:val="en-US" w:eastAsia="zh-CN"/>
              </w:rPr>
              <w:t>H—平均蒸气空间高度（m）；</w:t>
            </w:r>
          </w:p>
          <w:p w14:paraId="6842350D">
            <w:pPr>
              <w:bidi w:val="0"/>
              <w:rPr>
                <w:rFonts w:hint="eastAsia"/>
                <w:lang w:val="en-US" w:eastAsia="zh-CN"/>
              </w:rPr>
            </w:pPr>
            <w:r>
              <w:rPr>
                <w:rFonts w:hint="eastAsia"/>
                <w:lang w:val="en-US" w:eastAsia="zh-CN"/>
              </w:rPr>
              <w:t>△T—一天之内的平均温度差（℃）;</w:t>
            </w:r>
          </w:p>
          <w:p w14:paraId="7881D449">
            <w:pPr>
              <w:bidi w:val="0"/>
              <w:rPr>
                <w:rFonts w:hint="eastAsia"/>
                <w:lang w:val="en-US" w:eastAsia="zh-CN"/>
              </w:rPr>
            </w:pPr>
            <w:r>
              <w:rPr>
                <w:rFonts w:hint="eastAsia"/>
                <w:lang w:val="en-US" w:eastAsia="zh-CN"/>
              </w:rPr>
              <w:t>FP—涂层因子（无量纲），根据油漆状况取值在1-1.5之间；</w:t>
            </w:r>
          </w:p>
          <w:p w14:paraId="1BE50AF8">
            <w:pPr>
              <w:bidi w:val="0"/>
              <w:rPr>
                <w:rFonts w:hint="eastAsia"/>
                <w:lang w:val="en-US" w:eastAsia="zh-CN"/>
              </w:rPr>
            </w:pPr>
            <w:r>
              <w:rPr>
                <w:rFonts w:hint="eastAsia"/>
                <w:lang w:val="en-US" w:eastAsia="zh-CN"/>
              </w:rPr>
              <w:t>C—用于小直径罐的调节因子（无量纲）；直径在0-9m之间的罐体，C=1-0.0123(D-9)</w:t>
            </w:r>
            <w:r>
              <w:rPr>
                <w:rFonts w:hint="eastAsia"/>
                <w:vertAlign w:val="superscript"/>
                <w:lang w:val="en-US" w:eastAsia="zh-CN"/>
              </w:rPr>
              <w:t>2</w:t>
            </w:r>
            <w:r>
              <w:rPr>
                <w:rFonts w:hint="eastAsia"/>
                <w:lang w:val="en-US" w:eastAsia="zh-CN"/>
              </w:rPr>
              <w:t>；</w:t>
            </w:r>
          </w:p>
          <w:p w14:paraId="0D5DC2DB">
            <w:pPr>
              <w:bidi w:val="0"/>
              <w:rPr>
                <w:rFonts w:hint="eastAsia"/>
                <w:lang w:val="en-US" w:eastAsia="zh-CN"/>
              </w:rPr>
            </w:pPr>
            <w:r>
              <w:rPr>
                <w:rFonts w:hint="eastAsia"/>
                <w:lang w:val="en-US" w:eastAsia="zh-CN"/>
              </w:rPr>
              <w:t>KC—产品因子（石油原油kc取0.65，其他有机液体取1.0）。</w:t>
            </w:r>
          </w:p>
          <w:p w14:paraId="6C99FFEF">
            <w:pPr>
              <w:bidi w:val="0"/>
              <w:rPr>
                <w:rFonts w:hint="eastAsia"/>
                <w:lang w:val="en-US" w:eastAsia="zh-CN"/>
              </w:rPr>
            </w:pPr>
            <w:r>
              <w:rPr>
                <w:rFonts w:hint="eastAsia"/>
                <w:lang w:val="en-US" w:eastAsia="zh-CN"/>
              </w:rPr>
              <w:t>盐酸储罐小呼吸计算参数及计算结果见下表29。</w:t>
            </w:r>
          </w:p>
          <w:p w14:paraId="45110DC2">
            <w:pPr>
              <w:bidi w:val="0"/>
              <w:rPr>
                <w:rFonts w:hint="eastAsia"/>
                <w:lang w:val="en-US" w:eastAsia="zh-CN"/>
              </w:rPr>
            </w:pPr>
          </w:p>
          <w:p w14:paraId="00B71084">
            <w:pPr>
              <w:pStyle w:val="16"/>
              <w:bidi w:val="0"/>
              <w:rPr>
                <w:rFonts w:hint="eastAsia"/>
                <w:lang w:val="en-US" w:eastAsia="zh-CN"/>
              </w:rPr>
            </w:pPr>
            <w:r>
              <w:t xml:space="preserve">表 </w:t>
            </w:r>
            <w:r>
              <w:fldChar w:fldCharType="begin"/>
            </w:r>
            <w:r>
              <w:instrText xml:space="preserve"> SEQ 表 \* ARABIC </w:instrText>
            </w:r>
            <w:r>
              <w:fldChar w:fldCharType="separate"/>
            </w:r>
            <w:r>
              <w:t>29</w:t>
            </w:r>
            <w:r>
              <w:fldChar w:fldCharType="end"/>
            </w:r>
            <w:r>
              <w:rPr>
                <w:rFonts w:hint="eastAsia"/>
                <w:lang w:val="en-US" w:eastAsia="zh-CN"/>
              </w:rPr>
              <w:t xml:space="preserve">  盐酸储罐小呼吸挥发HCl计算结果一览表</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540"/>
              <w:gridCol w:w="948"/>
              <w:gridCol w:w="798"/>
              <w:gridCol w:w="501"/>
              <w:gridCol w:w="3103"/>
            </w:tblGrid>
            <w:tr w14:paraId="4D9525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771B9F0A">
                  <w:pPr>
                    <w:pStyle w:val="15"/>
                    <w:bidi w:val="0"/>
                    <w:jc w:val="center"/>
                    <w:rPr>
                      <w:rFonts w:hint="eastAsia"/>
                    </w:rPr>
                  </w:pPr>
                  <w:r>
                    <w:rPr>
                      <w:rFonts w:hint="eastAsia"/>
                      <w:lang w:val="en-US" w:eastAsia="zh-CN"/>
                    </w:rPr>
                    <w:t>参数名称</w:t>
                  </w:r>
                </w:p>
              </w:tc>
              <w:tc>
                <w:tcPr>
                  <w:tcW w:w="673" w:type="pct"/>
                  <w:tcBorders>
                    <w:tl2br w:val="nil"/>
                    <w:tr2bl w:val="nil"/>
                  </w:tcBorders>
                  <w:shd w:val="clear" w:color="auto" w:fill="auto"/>
                  <w:tcMar>
                    <w:top w:w="0" w:type="dxa"/>
                    <w:left w:w="0" w:type="dxa"/>
                    <w:bottom w:w="0" w:type="dxa"/>
                    <w:right w:w="0" w:type="dxa"/>
                  </w:tcMar>
                  <w:vAlign w:val="center"/>
                </w:tcPr>
                <w:p w14:paraId="73AD5A5D">
                  <w:pPr>
                    <w:pStyle w:val="15"/>
                    <w:bidi w:val="0"/>
                    <w:jc w:val="center"/>
                    <w:rPr>
                      <w:rFonts w:hint="eastAsia"/>
                    </w:rPr>
                  </w:pPr>
                  <w:r>
                    <w:rPr>
                      <w:rFonts w:hint="eastAsia"/>
                      <w:lang w:val="en-US" w:eastAsia="zh-CN"/>
                    </w:rPr>
                    <w:t>符号</w:t>
                  </w:r>
                </w:p>
              </w:tc>
              <w:tc>
                <w:tcPr>
                  <w:tcW w:w="409" w:type="pct"/>
                  <w:tcBorders>
                    <w:tl2br w:val="nil"/>
                    <w:tr2bl w:val="nil"/>
                  </w:tcBorders>
                  <w:shd w:val="clear" w:color="auto" w:fill="auto"/>
                  <w:tcMar>
                    <w:top w:w="0" w:type="dxa"/>
                    <w:left w:w="0" w:type="dxa"/>
                    <w:bottom w:w="0" w:type="dxa"/>
                    <w:right w:w="0" w:type="dxa"/>
                  </w:tcMar>
                  <w:vAlign w:val="center"/>
                </w:tcPr>
                <w:p w14:paraId="46CFABA4">
                  <w:pPr>
                    <w:pStyle w:val="15"/>
                    <w:bidi w:val="0"/>
                    <w:jc w:val="center"/>
                    <w:rPr>
                      <w:rFonts w:hint="eastAsia"/>
                    </w:rPr>
                  </w:pPr>
                  <w:r>
                    <w:rPr>
                      <w:rFonts w:hint="eastAsia"/>
                      <w:lang w:val="en-US" w:eastAsia="zh-CN"/>
                    </w:rPr>
                    <w:t>取值</w:t>
                  </w:r>
                </w:p>
              </w:tc>
              <w:tc>
                <w:tcPr>
                  <w:tcW w:w="298" w:type="pct"/>
                  <w:tcBorders>
                    <w:tl2br w:val="nil"/>
                    <w:tr2bl w:val="nil"/>
                  </w:tcBorders>
                  <w:shd w:val="clear" w:color="auto" w:fill="auto"/>
                  <w:tcMar>
                    <w:top w:w="0" w:type="dxa"/>
                    <w:left w:w="0" w:type="dxa"/>
                    <w:bottom w:w="0" w:type="dxa"/>
                    <w:right w:w="0" w:type="dxa"/>
                  </w:tcMar>
                  <w:vAlign w:val="center"/>
                </w:tcPr>
                <w:p w14:paraId="3437E11E">
                  <w:pPr>
                    <w:pStyle w:val="15"/>
                    <w:bidi w:val="0"/>
                    <w:jc w:val="center"/>
                    <w:rPr>
                      <w:rFonts w:hint="eastAsia"/>
                    </w:rPr>
                  </w:pPr>
                  <w:r>
                    <w:rPr>
                      <w:rFonts w:hint="eastAsia"/>
                      <w:lang w:val="en-US" w:eastAsia="zh-CN"/>
                    </w:rPr>
                    <w:t>单位</w:t>
                  </w:r>
                </w:p>
              </w:tc>
              <w:tc>
                <w:tcPr>
                  <w:tcW w:w="2003" w:type="pct"/>
                  <w:tcBorders>
                    <w:tl2br w:val="nil"/>
                    <w:tr2bl w:val="nil"/>
                  </w:tcBorders>
                  <w:shd w:val="clear" w:color="auto" w:fill="auto"/>
                  <w:tcMar>
                    <w:top w:w="0" w:type="dxa"/>
                    <w:left w:w="0" w:type="dxa"/>
                    <w:bottom w:w="0" w:type="dxa"/>
                    <w:right w:w="0" w:type="dxa"/>
                  </w:tcMar>
                  <w:vAlign w:val="center"/>
                </w:tcPr>
                <w:p w14:paraId="43C2A296">
                  <w:pPr>
                    <w:pStyle w:val="15"/>
                    <w:bidi w:val="0"/>
                    <w:jc w:val="center"/>
                    <w:rPr>
                      <w:rFonts w:hint="eastAsia"/>
                    </w:rPr>
                  </w:pPr>
                  <w:r>
                    <w:rPr>
                      <w:rFonts w:hint="eastAsia"/>
                      <w:lang w:val="en-US" w:eastAsia="zh-CN"/>
                    </w:rPr>
                    <w:t>取值依据</w:t>
                  </w:r>
                </w:p>
              </w:tc>
            </w:tr>
            <w:tr w14:paraId="56A38B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23CC492E">
                  <w:pPr>
                    <w:pStyle w:val="15"/>
                    <w:bidi w:val="0"/>
                    <w:jc w:val="center"/>
                  </w:pPr>
                  <w:r>
                    <w:rPr>
                      <w:rFonts w:hint="default"/>
                      <w:lang w:val="en-US" w:eastAsia="zh-CN"/>
                    </w:rPr>
                    <w:t>储罐内蒸气的分子量</w:t>
                  </w:r>
                </w:p>
              </w:tc>
              <w:tc>
                <w:tcPr>
                  <w:tcW w:w="673" w:type="pct"/>
                  <w:tcBorders>
                    <w:tl2br w:val="nil"/>
                    <w:tr2bl w:val="nil"/>
                  </w:tcBorders>
                  <w:shd w:val="clear" w:color="auto" w:fill="auto"/>
                  <w:tcMar>
                    <w:top w:w="0" w:type="dxa"/>
                    <w:left w:w="0" w:type="dxa"/>
                    <w:bottom w:w="0" w:type="dxa"/>
                    <w:right w:w="0" w:type="dxa"/>
                  </w:tcMar>
                  <w:vAlign w:val="center"/>
                </w:tcPr>
                <w:p w14:paraId="4AA60E57">
                  <w:pPr>
                    <w:pStyle w:val="15"/>
                    <w:bidi w:val="0"/>
                    <w:jc w:val="center"/>
                    <w:rPr>
                      <w:rFonts w:hint="eastAsia"/>
                    </w:rPr>
                  </w:pPr>
                  <w:r>
                    <w:rPr>
                      <w:rFonts w:hint="eastAsia"/>
                      <w:lang w:val="en-US" w:eastAsia="zh-CN"/>
                    </w:rPr>
                    <w:t>M</w:t>
                  </w:r>
                </w:p>
              </w:tc>
              <w:tc>
                <w:tcPr>
                  <w:tcW w:w="409" w:type="pct"/>
                  <w:tcBorders>
                    <w:tl2br w:val="nil"/>
                    <w:tr2bl w:val="nil"/>
                  </w:tcBorders>
                  <w:shd w:val="clear" w:color="auto" w:fill="auto"/>
                  <w:tcMar>
                    <w:top w:w="0" w:type="dxa"/>
                    <w:left w:w="0" w:type="dxa"/>
                    <w:bottom w:w="0" w:type="dxa"/>
                    <w:right w:w="0" w:type="dxa"/>
                  </w:tcMar>
                  <w:vAlign w:val="center"/>
                </w:tcPr>
                <w:p w14:paraId="7CF799E1">
                  <w:pPr>
                    <w:pStyle w:val="15"/>
                    <w:bidi w:val="0"/>
                    <w:jc w:val="center"/>
                    <w:rPr>
                      <w:rFonts w:hint="eastAsia"/>
                    </w:rPr>
                  </w:pPr>
                  <w:r>
                    <w:rPr>
                      <w:rFonts w:hint="eastAsia"/>
                      <w:lang w:val="en-US" w:eastAsia="zh-CN"/>
                    </w:rPr>
                    <w:t>36.5</w:t>
                  </w:r>
                </w:p>
              </w:tc>
              <w:tc>
                <w:tcPr>
                  <w:tcW w:w="298" w:type="pct"/>
                  <w:tcBorders>
                    <w:tl2br w:val="nil"/>
                    <w:tr2bl w:val="nil"/>
                  </w:tcBorders>
                  <w:shd w:val="clear" w:color="auto" w:fill="auto"/>
                  <w:tcMar>
                    <w:top w:w="0" w:type="dxa"/>
                    <w:left w:w="0" w:type="dxa"/>
                    <w:bottom w:w="0" w:type="dxa"/>
                    <w:right w:w="0" w:type="dxa"/>
                  </w:tcMar>
                  <w:vAlign w:val="center"/>
                </w:tcPr>
                <w:p w14:paraId="3E724C3C">
                  <w:pPr>
                    <w:pStyle w:val="15"/>
                    <w:bidi w:val="0"/>
                    <w:jc w:val="center"/>
                    <w:rPr>
                      <w:rFonts w:hint="eastAsia"/>
                    </w:rPr>
                  </w:pPr>
                  <w:r>
                    <w:rPr>
                      <w:rFonts w:hint="eastAsia"/>
                      <w:lang w:val="en-US" w:eastAsia="zh-CN"/>
                    </w:rPr>
                    <w:t>g/mol</w:t>
                  </w:r>
                </w:p>
              </w:tc>
              <w:tc>
                <w:tcPr>
                  <w:tcW w:w="2003" w:type="pct"/>
                  <w:tcBorders>
                    <w:tl2br w:val="nil"/>
                    <w:tr2bl w:val="nil"/>
                  </w:tcBorders>
                  <w:shd w:val="clear" w:color="auto" w:fill="auto"/>
                  <w:tcMar>
                    <w:top w:w="0" w:type="dxa"/>
                    <w:left w:w="0" w:type="dxa"/>
                    <w:bottom w:w="0" w:type="dxa"/>
                    <w:right w:w="0" w:type="dxa"/>
                  </w:tcMar>
                  <w:vAlign w:val="center"/>
                </w:tcPr>
                <w:p w14:paraId="396C63FF">
                  <w:pPr>
                    <w:pStyle w:val="15"/>
                    <w:bidi w:val="0"/>
                    <w:jc w:val="center"/>
                    <w:rPr>
                      <w:rFonts w:hint="eastAsia"/>
                    </w:rPr>
                  </w:pPr>
                  <w:r>
                    <w:rPr>
                      <w:rFonts w:hint="eastAsia"/>
                      <w:lang w:val="en-US" w:eastAsia="zh-CN"/>
                    </w:rPr>
                    <w:t>氯化氢分子量取值36.5</w:t>
                  </w:r>
                </w:p>
              </w:tc>
            </w:tr>
            <w:tr w14:paraId="6A3BCA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3FD26E62">
                  <w:pPr>
                    <w:pStyle w:val="15"/>
                    <w:bidi w:val="0"/>
                    <w:jc w:val="center"/>
                    <w:rPr>
                      <w:rFonts w:hint="eastAsia"/>
                    </w:rPr>
                  </w:pPr>
                  <w:r>
                    <w:rPr>
                      <w:rFonts w:hint="eastAsia"/>
                      <w:lang w:val="en-US" w:eastAsia="zh-CN"/>
                    </w:rPr>
                    <w:t>在大量液体状态下，真实的蒸气压力</w:t>
                  </w:r>
                </w:p>
              </w:tc>
              <w:tc>
                <w:tcPr>
                  <w:tcW w:w="673" w:type="pct"/>
                  <w:tcBorders>
                    <w:tl2br w:val="nil"/>
                    <w:tr2bl w:val="nil"/>
                  </w:tcBorders>
                  <w:shd w:val="clear" w:color="auto" w:fill="auto"/>
                  <w:tcMar>
                    <w:top w:w="0" w:type="dxa"/>
                    <w:left w:w="0" w:type="dxa"/>
                    <w:bottom w:w="0" w:type="dxa"/>
                    <w:right w:w="0" w:type="dxa"/>
                  </w:tcMar>
                  <w:vAlign w:val="center"/>
                </w:tcPr>
                <w:p w14:paraId="1C57B49F">
                  <w:pPr>
                    <w:pStyle w:val="15"/>
                    <w:bidi w:val="0"/>
                    <w:jc w:val="center"/>
                    <w:rPr>
                      <w:rFonts w:hint="eastAsia"/>
                    </w:rPr>
                  </w:pPr>
                  <w:r>
                    <w:rPr>
                      <w:rFonts w:hint="eastAsia"/>
                      <w:lang w:val="en-US" w:eastAsia="zh-CN"/>
                    </w:rPr>
                    <w:t>P</w:t>
                  </w:r>
                </w:p>
              </w:tc>
              <w:tc>
                <w:tcPr>
                  <w:tcW w:w="409" w:type="pct"/>
                  <w:tcBorders>
                    <w:tl2br w:val="nil"/>
                    <w:tr2bl w:val="nil"/>
                  </w:tcBorders>
                  <w:shd w:val="clear" w:color="auto" w:fill="auto"/>
                  <w:tcMar>
                    <w:top w:w="0" w:type="dxa"/>
                    <w:left w:w="0" w:type="dxa"/>
                    <w:bottom w:w="0" w:type="dxa"/>
                    <w:right w:w="0" w:type="dxa"/>
                  </w:tcMar>
                  <w:vAlign w:val="center"/>
                </w:tcPr>
                <w:p w14:paraId="4593C1FC">
                  <w:pPr>
                    <w:pStyle w:val="15"/>
                    <w:bidi w:val="0"/>
                    <w:jc w:val="center"/>
                    <w:rPr>
                      <w:rFonts w:hint="eastAsia"/>
                    </w:rPr>
                  </w:pPr>
                  <w:r>
                    <w:rPr>
                      <w:rFonts w:hint="eastAsia"/>
                      <w:lang w:val="en-US" w:eastAsia="zh-CN"/>
                    </w:rPr>
                    <w:t>3132</w:t>
                  </w:r>
                </w:p>
              </w:tc>
              <w:tc>
                <w:tcPr>
                  <w:tcW w:w="298" w:type="pct"/>
                  <w:tcBorders>
                    <w:tl2br w:val="nil"/>
                    <w:tr2bl w:val="nil"/>
                  </w:tcBorders>
                  <w:shd w:val="clear" w:color="auto" w:fill="auto"/>
                  <w:tcMar>
                    <w:top w:w="0" w:type="dxa"/>
                    <w:left w:w="0" w:type="dxa"/>
                    <w:bottom w:w="0" w:type="dxa"/>
                    <w:right w:w="0" w:type="dxa"/>
                  </w:tcMar>
                  <w:vAlign w:val="center"/>
                </w:tcPr>
                <w:p w14:paraId="3C4F4C57">
                  <w:pPr>
                    <w:pStyle w:val="15"/>
                    <w:bidi w:val="0"/>
                    <w:jc w:val="center"/>
                    <w:rPr>
                      <w:rFonts w:hint="eastAsia"/>
                    </w:rPr>
                  </w:pPr>
                  <w:r>
                    <w:rPr>
                      <w:rFonts w:hint="eastAsia"/>
                      <w:lang w:val="en-US" w:eastAsia="zh-CN"/>
                    </w:rPr>
                    <w:t>Pa</w:t>
                  </w:r>
                </w:p>
              </w:tc>
              <w:tc>
                <w:tcPr>
                  <w:tcW w:w="2003" w:type="pct"/>
                  <w:tcBorders>
                    <w:tl2br w:val="nil"/>
                    <w:tr2bl w:val="nil"/>
                  </w:tcBorders>
                  <w:shd w:val="clear" w:color="auto" w:fill="auto"/>
                  <w:tcMar>
                    <w:top w:w="0" w:type="dxa"/>
                    <w:left w:w="0" w:type="dxa"/>
                    <w:bottom w:w="0" w:type="dxa"/>
                    <w:right w:w="0" w:type="dxa"/>
                  </w:tcMar>
                  <w:vAlign w:val="center"/>
                </w:tcPr>
                <w:p w14:paraId="56655633">
                  <w:pPr>
                    <w:pStyle w:val="15"/>
                    <w:bidi w:val="0"/>
                    <w:jc w:val="center"/>
                    <w:rPr>
                      <w:rFonts w:hint="eastAsia"/>
                    </w:rPr>
                  </w:pPr>
                  <w:r>
                    <w:rPr>
                      <w:rFonts w:hint="eastAsia"/>
                      <w:lang w:val="en-US" w:eastAsia="zh-CN"/>
                    </w:rPr>
                    <w:t>31%盐酸储罐内真实的蒸气压力取值3132</w:t>
                  </w:r>
                </w:p>
              </w:tc>
            </w:tr>
            <w:tr w14:paraId="566D1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7948E894">
                  <w:pPr>
                    <w:pStyle w:val="15"/>
                    <w:bidi w:val="0"/>
                    <w:jc w:val="center"/>
                    <w:rPr>
                      <w:rFonts w:hint="eastAsia"/>
                    </w:rPr>
                  </w:pPr>
                  <w:r>
                    <w:rPr>
                      <w:rFonts w:hint="eastAsia"/>
                      <w:lang w:val="en-US" w:eastAsia="zh-CN"/>
                    </w:rPr>
                    <w:t>储罐直径</w:t>
                  </w:r>
                </w:p>
              </w:tc>
              <w:tc>
                <w:tcPr>
                  <w:tcW w:w="673" w:type="pct"/>
                  <w:tcBorders>
                    <w:tl2br w:val="nil"/>
                    <w:tr2bl w:val="nil"/>
                  </w:tcBorders>
                  <w:shd w:val="clear" w:color="auto" w:fill="auto"/>
                  <w:tcMar>
                    <w:top w:w="0" w:type="dxa"/>
                    <w:left w:w="0" w:type="dxa"/>
                    <w:bottom w:w="0" w:type="dxa"/>
                    <w:right w:w="0" w:type="dxa"/>
                  </w:tcMar>
                  <w:vAlign w:val="center"/>
                </w:tcPr>
                <w:p w14:paraId="5FF16796">
                  <w:pPr>
                    <w:pStyle w:val="15"/>
                    <w:bidi w:val="0"/>
                    <w:jc w:val="center"/>
                    <w:rPr>
                      <w:rFonts w:hint="eastAsia"/>
                    </w:rPr>
                  </w:pPr>
                  <w:r>
                    <w:rPr>
                      <w:rFonts w:hint="eastAsia"/>
                      <w:lang w:val="en-US" w:eastAsia="zh-CN"/>
                    </w:rPr>
                    <w:t>D</w:t>
                  </w:r>
                </w:p>
              </w:tc>
              <w:tc>
                <w:tcPr>
                  <w:tcW w:w="409" w:type="pct"/>
                  <w:tcBorders>
                    <w:tl2br w:val="nil"/>
                    <w:tr2bl w:val="nil"/>
                  </w:tcBorders>
                  <w:shd w:val="clear" w:color="auto" w:fill="auto"/>
                  <w:tcMar>
                    <w:top w:w="0" w:type="dxa"/>
                    <w:left w:w="0" w:type="dxa"/>
                    <w:bottom w:w="0" w:type="dxa"/>
                    <w:right w:w="0" w:type="dxa"/>
                  </w:tcMar>
                  <w:vAlign w:val="center"/>
                </w:tcPr>
                <w:p w14:paraId="03926CCB">
                  <w:pPr>
                    <w:pStyle w:val="15"/>
                    <w:bidi w:val="0"/>
                    <w:jc w:val="center"/>
                    <w:rPr>
                      <w:rFonts w:hint="eastAsia"/>
                    </w:rPr>
                  </w:pPr>
                  <w:r>
                    <w:rPr>
                      <w:rFonts w:hint="eastAsia"/>
                      <w:lang w:val="en-US" w:eastAsia="zh-CN"/>
                    </w:rPr>
                    <w:t>6.4</w:t>
                  </w:r>
                </w:p>
              </w:tc>
              <w:tc>
                <w:tcPr>
                  <w:tcW w:w="298" w:type="pct"/>
                  <w:tcBorders>
                    <w:tl2br w:val="nil"/>
                    <w:tr2bl w:val="nil"/>
                  </w:tcBorders>
                  <w:shd w:val="clear" w:color="auto" w:fill="auto"/>
                  <w:tcMar>
                    <w:top w:w="0" w:type="dxa"/>
                    <w:left w:w="0" w:type="dxa"/>
                    <w:bottom w:w="0" w:type="dxa"/>
                    <w:right w:w="0" w:type="dxa"/>
                  </w:tcMar>
                  <w:vAlign w:val="center"/>
                </w:tcPr>
                <w:p w14:paraId="557AA9E6">
                  <w:pPr>
                    <w:pStyle w:val="15"/>
                    <w:bidi w:val="0"/>
                    <w:jc w:val="center"/>
                    <w:rPr>
                      <w:rFonts w:hint="eastAsia"/>
                    </w:rPr>
                  </w:pPr>
                  <w:r>
                    <w:rPr>
                      <w:rFonts w:hint="eastAsia"/>
                      <w:lang w:val="en-US" w:eastAsia="zh-CN"/>
                    </w:rPr>
                    <w:t>m</w:t>
                  </w:r>
                </w:p>
              </w:tc>
              <w:tc>
                <w:tcPr>
                  <w:tcW w:w="2003" w:type="pct"/>
                  <w:tcBorders>
                    <w:tl2br w:val="nil"/>
                    <w:tr2bl w:val="nil"/>
                  </w:tcBorders>
                  <w:shd w:val="clear" w:color="auto" w:fill="auto"/>
                  <w:tcMar>
                    <w:top w:w="0" w:type="dxa"/>
                    <w:left w:w="0" w:type="dxa"/>
                    <w:bottom w:w="0" w:type="dxa"/>
                    <w:right w:w="0" w:type="dxa"/>
                  </w:tcMar>
                  <w:vAlign w:val="center"/>
                </w:tcPr>
                <w:p w14:paraId="16045FC4">
                  <w:pPr>
                    <w:pStyle w:val="15"/>
                    <w:bidi w:val="0"/>
                    <w:jc w:val="center"/>
                    <w:rPr>
                      <w:rFonts w:hint="eastAsia"/>
                    </w:rPr>
                  </w:pPr>
                  <w:r>
                    <w:rPr>
                      <w:rFonts w:hint="eastAsia"/>
                      <w:lang w:val="en-US" w:eastAsia="zh-CN"/>
                    </w:rPr>
                    <w:t>盐酸储罐规格Φ6400×6400，直径为6.4m</w:t>
                  </w:r>
                </w:p>
              </w:tc>
            </w:tr>
            <w:tr w14:paraId="4DF51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0470E99D">
                  <w:pPr>
                    <w:pStyle w:val="15"/>
                    <w:bidi w:val="0"/>
                    <w:jc w:val="center"/>
                    <w:rPr>
                      <w:rFonts w:hint="eastAsia"/>
                    </w:rPr>
                  </w:pPr>
                  <w:r>
                    <w:rPr>
                      <w:rFonts w:hint="eastAsia"/>
                      <w:lang w:val="en-US" w:eastAsia="zh-CN"/>
                    </w:rPr>
                    <w:t>平均蒸气空间高度</w:t>
                  </w:r>
                </w:p>
              </w:tc>
              <w:tc>
                <w:tcPr>
                  <w:tcW w:w="673" w:type="pct"/>
                  <w:tcBorders>
                    <w:tl2br w:val="nil"/>
                    <w:tr2bl w:val="nil"/>
                  </w:tcBorders>
                  <w:shd w:val="clear" w:color="auto" w:fill="auto"/>
                  <w:tcMar>
                    <w:top w:w="0" w:type="dxa"/>
                    <w:left w:w="0" w:type="dxa"/>
                    <w:bottom w:w="0" w:type="dxa"/>
                    <w:right w:w="0" w:type="dxa"/>
                  </w:tcMar>
                  <w:vAlign w:val="center"/>
                </w:tcPr>
                <w:p w14:paraId="3B8A9360">
                  <w:pPr>
                    <w:pStyle w:val="15"/>
                    <w:bidi w:val="0"/>
                    <w:jc w:val="center"/>
                    <w:rPr>
                      <w:rFonts w:hint="eastAsia"/>
                    </w:rPr>
                  </w:pPr>
                  <w:r>
                    <w:rPr>
                      <w:rFonts w:hint="eastAsia"/>
                      <w:lang w:val="en-US" w:eastAsia="zh-CN"/>
                    </w:rPr>
                    <w:t>H</w:t>
                  </w:r>
                </w:p>
              </w:tc>
              <w:tc>
                <w:tcPr>
                  <w:tcW w:w="409" w:type="pct"/>
                  <w:tcBorders>
                    <w:tl2br w:val="nil"/>
                    <w:tr2bl w:val="nil"/>
                  </w:tcBorders>
                  <w:shd w:val="clear" w:color="auto" w:fill="auto"/>
                  <w:tcMar>
                    <w:top w:w="0" w:type="dxa"/>
                    <w:left w:w="0" w:type="dxa"/>
                    <w:bottom w:w="0" w:type="dxa"/>
                    <w:right w:w="0" w:type="dxa"/>
                  </w:tcMar>
                  <w:vAlign w:val="center"/>
                </w:tcPr>
                <w:p w14:paraId="3EF1F69A">
                  <w:pPr>
                    <w:pStyle w:val="15"/>
                    <w:bidi w:val="0"/>
                    <w:jc w:val="center"/>
                    <w:rPr>
                      <w:rFonts w:hint="eastAsia"/>
                    </w:rPr>
                  </w:pPr>
                  <w:r>
                    <w:rPr>
                      <w:rFonts w:hint="eastAsia"/>
                      <w:lang w:val="en-US" w:eastAsia="zh-CN"/>
                    </w:rPr>
                    <w:t>0.1</w:t>
                  </w:r>
                </w:p>
              </w:tc>
              <w:tc>
                <w:tcPr>
                  <w:tcW w:w="298" w:type="pct"/>
                  <w:tcBorders>
                    <w:tl2br w:val="nil"/>
                    <w:tr2bl w:val="nil"/>
                  </w:tcBorders>
                  <w:shd w:val="clear" w:color="auto" w:fill="auto"/>
                  <w:tcMar>
                    <w:top w:w="0" w:type="dxa"/>
                    <w:left w:w="0" w:type="dxa"/>
                    <w:bottom w:w="0" w:type="dxa"/>
                    <w:right w:w="0" w:type="dxa"/>
                  </w:tcMar>
                  <w:vAlign w:val="center"/>
                </w:tcPr>
                <w:p w14:paraId="2569B41A">
                  <w:pPr>
                    <w:pStyle w:val="15"/>
                    <w:bidi w:val="0"/>
                    <w:jc w:val="center"/>
                    <w:rPr>
                      <w:rFonts w:hint="eastAsia"/>
                    </w:rPr>
                  </w:pPr>
                  <w:r>
                    <w:rPr>
                      <w:rFonts w:hint="eastAsia"/>
                      <w:lang w:val="en-US" w:eastAsia="zh-CN"/>
                    </w:rPr>
                    <w:t>m</w:t>
                  </w:r>
                </w:p>
              </w:tc>
              <w:tc>
                <w:tcPr>
                  <w:tcW w:w="2003" w:type="pct"/>
                  <w:tcBorders>
                    <w:tl2br w:val="nil"/>
                    <w:tr2bl w:val="nil"/>
                  </w:tcBorders>
                  <w:shd w:val="clear" w:color="auto" w:fill="auto"/>
                  <w:tcMar>
                    <w:top w:w="0" w:type="dxa"/>
                    <w:left w:w="0" w:type="dxa"/>
                    <w:bottom w:w="0" w:type="dxa"/>
                    <w:right w:w="0" w:type="dxa"/>
                  </w:tcMar>
                  <w:vAlign w:val="center"/>
                </w:tcPr>
                <w:p w14:paraId="037FF8D1">
                  <w:pPr>
                    <w:pStyle w:val="15"/>
                    <w:bidi w:val="0"/>
                    <w:jc w:val="center"/>
                    <w:rPr>
                      <w:rFonts w:hint="eastAsia"/>
                    </w:rPr>
                  </w:pPr>
                  <w:r>
                    <w:rPr>
                      <w:rFonts w:hint="eastAsia"/>
                      <w:lang w:val="en-US" w:eastAsia="zh-CN"/>
                    </w:rPr>
                    <w:t>项目储罐规格Φ6400×6400，蒸气空间高度取值0.1m</w:t>
                  </w:r>
                </w:p>
              </w:tc>
            </w:tr>
            <w:tr w14:paraId="28CD4E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1885CFE7">
                  <w:pPr>
                    <w:pStyle w:val="15"/>
                    <w:bidi w:val="0"/>
                    <w:jc w:val="center"/>
                    <w:rPr>
                      <w:rFonts w:hint="default"/>
                    </w:rPr>
                  </w:pPr>
                  <w:r>
                    <w:rPr>
                      <w:rFonts w:hint="default"/>
                      <w:lang w:val="en-US" w:eastAsia="zh-CN"/>
                    </w:rPr>
                    <w:t>一天之内的平均温度差</w:t>
                  </w:r>
                </w:p>
              </w:tc>
              <w:tc>
                <w:tcPr>
                  <w:tcW w:w="673" w:type="pct"/>
                  <w:tcBorders>
                    <w:tl2br w:val="nil"/>
                    <w:tr2bl w:val="nil"/>
                  </w:tcBorders>
                  <w:shd w:val="clear" w:color="auto" w:fill="auto"/>
                  <w:tcMar>
                    <w:top w:w="0" w:type="dxa"/>
                    <w:left w:w="0" w:type="dxa"/>
                    <w:bottom w:w="0" w:type="dxa"/>
                    <w:right w:w="0" w:type="dxa"/>
                  </w:tcMar>
                  <w:vAlign w:val="center"/>
                </w:tcPr>
                <w:p w14:paraId="11C069CA">
                  <w:pPr>
                    <w:pStyle w:val="15"/>
                    <w:bidi w:val="0"/>
                    <w:jc w:val="center"/>
                    <w:rPr>
                      <w:rFonts w:hint="eastAsia"/>
                    </w:rPr>
                  </w:pPr>
                  <w:r>
                    <w:rPr>
                      <w:rFonts w:hint="eastAsia"/>
                      <w:lang w:val="en-US" w:eastAsia="zh-CN"/>
                    </w:rPr>
                    <w:t>ΔT</w:t>
                  </w:r>
                </w:p>
              </w:tc>
              <w:tc>
                <w:tcPr>
                  <w:tcW w:w="409" w:type="pct"/>
                  <w:tcBorders>
                    <w:tl2br w:val="nil"/>
                    <w:tr2bl w:val="nil"/>
                  </w:tcBorders>
                  <w:shd w:val="clear" w:color="auto" w:fill="auto"/>
                  <w:tcMar>
                    <w:top w:w="0" w:type="dxa"/>
                    <w:left w:w="0" w:type="dxa"/>
                    <w:bottom w:w="0" w:type="dxa"/>
                    <w:right w:w="0" w:type="dxa"/>
                  </w:tcMar>
                  <w:vAlign w:val="center"/>
                </w:tcPr>
                <w:p w14:paraId="4F932EB1">
                  <w:pPr>
                    <w:pStyle w:val="15"/>
                    <w:bidi w:val="0"/>
                    <w:jc w:val="center"/>
                    <w:rPr>
                      <w:rFonts w:hint="eastAsia"/>
                    </w:rPr>
                  </w:pPr>
                  <w:r>
                    <w:rPr>
                      <w:rFonts w:hint="eastAsia"/>
                      <w:lang w:val="en-US" w:eastAsia="zh-CN"/>
                    </w:rPr>
                    <w:t>12</w:t>
                  </w:r>
                </w:p>
              </w:tc>
              <w:tc>
                <w:tcPr>
                  <w:tcW w:w="298" w:type="pct"/>
                  <w:tcBorders>
                    <w:tl2br w:val="nil"/>
                    <w:tr2bl w:val="nil"/>
                  </w:tcBorders>
                  <w:shd w:val="clear" w:color="auto" w:fill="auto"/>
                  <w:tcMar>
                    <w:top w:w="0" w:type="dxa"/>
                    <w:left w:w="0" w:type="dxa"/>
                    <w:bottom w:w="0" w:type="dxa"/>
                    <w:right w:w="0" w:type="dxa"/>
                  </w:tcMar>
                  <w:vAlign w:val="center"/>
                </w:tcPr>
                <w:p w14:paraId="0D1665F5">
                  <w:pPr>
                    <w:pStyle w:val="15"/>
                    <w:bidi w:val="0"/>
                    <w:jc w:val="center"/>
                    <w:rPr>
                      <w:rFonts w:hint="eastAsia"/>
                    </w:rPr>
                  </w:pPr>
                  <w:r>
                    <w:rPr>
                      <w:rFonts w:hint="eastAsia"/>
                      <w:lang w:val="en-US" w:eastAsia="zh-CN"/>
                    </w:rPr>
                    <w:t>℃</w:t>
                  </w:r>
                </w:p>
              </w:tc>
              <w:tc>
                <w:tcPr>
                  <w:tcW w:w="2003" w:type="pct"/>
                  <w:tcBorders>
                    <w:tl2br w:val="nil"/>
                    <w:tr2bl w:val="nil"/>
                  </w:tcBorders>
                  <w:shd w:val="clear" w:color="auto" w:fill="auto"/>
                  <w:tcMar>
                    <w:top w:w="0" w:type="dxa"/>
                    <w:left w:w="0" w:type="dxa"/>
                    <w:bottom w:w="0" w:type="dxa"/>
                    <w:right w:w="0" w:type="dxa"/>
                  </w:tcMar>
                  <w:vAlign w:val="center"/>
                </w:tcPr>
                <w:p w14:paraId="39A4514C">
                  <w:pPr>
                    <w:pStyle w:val="15"/>
                    <w:bidi w:val="0"/>
                    <w:jc w:val="center"/>
                    <w:rPr>
                      <w:rFonts w:hint="eastAsia"/>
                    </w:rPr>
                  </w:pPr>
                  <w:r>
                    <w:rPr>
                      <w:rFonts w:hint="eastAsia"/>
                      <w:lang w:val="en-US" w:eastAsia="zh-CN"/>
                    </w:rPr>
                    <w:t>本项目位于胡杨河市，一天内平均温度差取值12℃</w:t>
                  </w:r>
                </w:p>
              </w:tc>
            </w:tr>
            <w:tr w14:paraId="4D1180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42BE78DB">
                  <w:pPr>
                    <w:pStyle w:val="15"/>
                    <w:bidi w:val="0"/>
                    <w:jc w:val="center"/>
                    <w:rPr>
                      <w:rFonts w:hint="eastAsia"/>
                    </w:rPr>
                  </w:pPr>
                  <w:r>
                    <w:rPr>
                      <w:rFonts w:hint="eastAsia"/>
                      <w:lang w:val="en-US" w:eastAsia="zh-CN"/>
                    </w:rPr>
                    <w:t>储罐形状因子</w:t>
                  </w:r>
                </w:p>
              </w:tc>
              <w:tc>
                <w:tcPr>
                  <w:tcW w:w="673" w:type="pct"/>
                  <w:tcBorders>
                    <w:tl2br w:val="nil"/>
                    <w:tr2bl w:val="nil"/>
                  </w:tcBorders>
                  <w:shd w:val="clear" w:color="auto" w:fill="auto"/>
                  <w:tcMar>
                    <w:top w:w="0" w:type="dxa"/>
                    <w:left w:w="0" w:type="dxa"/>
                    <w:bottom w:w="0" w:type="dxa"/>
                    <w:right w:w="0" w:type="dxa"/>
                  </w:tcMar>
                  <w:vAlign w:val="center"/>
                </w:tcPr>
                <w:p w14:paraId="54C0628D">
                  <w:pPr>
                    <w:pStyle w:val="15"/>
                    <w:bidi w:val="0"/>
                    <w:jc w:val="center"/>
                    <w:rPr>
                      <w:rFonts w:hint="eastAsia"/>
                    </w:rPr>
                  </w:pPr>
                  <w:r>
                    <w:rPr>
                      <w:rFonts w:hint="eastAsia"/>
                      <w:lang w:val="en-US" w:eastAsia="zh-CN"/>
                    </w:rPr>
                    <w:t>Fp</w:t>
                  </w:r>
                </w:p>
              </w:tc>
              <w:tc>
                <w:tcPr>
                  <w:tcW w:w="409" w:type="pct"/>
                  <w:tcBorders>
                    <w:tl2br w:val="nil"/>
                    <w:tr2bl w:val="nil"/>
                  </w:tcBorders>
                  <w:shd w:val="clear" w:color="auto" w:fill="auto"/>
                  <w:tcMar>
                    <w:top w:w="0" w:type="dxa"/>
                    <w:left w:w="0" w:type="dxa"/>
                    <w:bottom w:w="0" w:type="dxa"/>
                    <w:right w:w="0" w:type="dxa"/>
                  </w:tcMar>
                  <w:vAlign w:val="center"/>
                </w:tcPr>
                <w:p w14:paraId="7D1EFF70">
                  <w:pPr>
                    <w:pStyle w:val="15"/>
                    <w:bidi w:val="0"/>
                    <w:jc w:val="center"/>
                    <w:rPr>
                      <w:rFonts w:hint="eastAsia"/>
                    </w:rPr>
                  </w:pPr>
                  <w:r>
                    <w:rPr>
                      <w:rFonts w:hint="eastAsia"/>
                      <w:lang w:val="en-US" w:eastAsia="zh-CN"/>
                    </w:rPr>
                    <w:t>1</w:t>
                  </w:r>
                </w:p>
              </w:tc>
              <w:tc>
                <w:tcPr>
                  <w:tcW w:w="298" w:type="pct"/>
                  <w:tcBorders>
                    <w:tl2br w:val="nil"/>
                    <w:tr2bl w:val="nil"/>
                  </w:tcBorders>
                  <w:shd w:val="clear" w:color="auto" w:fill="auto"/>
                  <w:tcMar>
                    <w:top w:w="0" w:type="dxa"/>
                    <w:left w:w="0" w:type="dxa"/>
                    <w:bottom w:w="0" w:type="dxa"/>
                    <w:right w:w="0" w:type="dxa"/>
                  </w:tcMar>
                  <w:vAlign w:val="center"/>
                </w:tcPr>
                <w:p w14:paraId="7953E25C">
                  <w:pPr>
                    <w:pStyle w:val="15"/>
                    <w:bidi w:val="0"/>
                    <w:jc w:val="center"/>
                    <w:rPr>
                      <w:rFonts w:hint="eastAsia"/>
                    </w:rPr>
                  </w:pPr>
                  <w:r>
                    <w:rPr>
                      <w:rFonts w:hint="eastAsia"/>
                      <w:lang w:val="en-US" w:eastAsia="zh-CN"/>
                    </w:rPr>
                    <w:t>无单位</w:t>
                  </w:r>
                </w:p>
              </w:tc>
              <w:tc>
                <w:tcPr>
                  <w:tcW w:w="2003" w:type="pct"/>
                  <w:tcBorders>
                    <w:tl2br w:val="nil"/>
                    <w:tr2bl w:val="nil"/>
                  </w:tcBorders>
                  <w:shd w:val="clear" w:color="auto" w:fill="auto"/>
                  <w:tcMar>
                    <w:top w:w="0" w:type="dxa"/>
                    <w:left w:w="0" w:type="dxa"/>
                    <w:bottom w:w="0" w:type="dxa"/>
                    <w:right w:w="0" w:type="dxa"/>
                  </w:tcMar>
                  <w:vAlign w:val="center"/>
                </w:tcPr>
                <w:p w14:paraId="4530AE7E">
                  <w:pPr>
                    <w:pStyle w:val="15"/>
                    <w:bidi w:val="0"/>
                    <w:jc w:val="center"/>
                    <w:rPr>
                      <w:rFonts w:hint="eastAsia"/>
                    </w:rPr>
                  </w:pPr>
                  <w:r>
                    <w:rPr>
                      <w:rFonts w:hint="eastAsia"/>
                      <w:lang w:val="en-US" w:eastAsia="zh-CN"/>
                    </w:rPr>
                    <w:t>立式固定顶储罐，形状因子取值1.0</w:t>
                  </w:r>
                </w:p>
              </w:tc>
            </w:tr>
            <w:tr w14:paraId="5AE81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75B4768A">
                  <w:pPr>
                    <w:pStyle w:val="15"/>
                    <w:bidi w:val="0"/>
                    <w:jc w:val="center"/>
                    <w:rPr>
                      <w:rFonts w:hint="eastAsia"/>
                    </w:rPr>
                  </w:pPr>
                  <w:r>
                    <w:rPr>
                      <w:rFonts w:hint="eastAsia"/>
                      <w:lang w:val="en-US" w:eastAsia="zh-CN"/>
                    </w:rPr>
                    <w:t>浓度因子</w:t>
                  </w:r>
                </w:p>
              </w:tc>
              <w:tc>
                <w:tcPr>
                  <w:tcW w:w="673" w:type="pct"/>
                  <w:tcBorders>
                    <w:tl2br w:val="nil"/>
                    <w:tr2bl w:val="nil"/>
                  </w:tcBorders>
                  <w:shd w:val="clear" w:color="auto" w:fill="auto"/>
                  <w:tcMar>
                    <w:top w:w="0" w:type="dxa"/>
                    <w:left w:w="0" w:type="dxa"/>
                    <w:bottom w:w="0" w:type="dxa"/>
                    <w:right w:w="0" w:type="dxa"/>
                  </w:tcMar>
                  <w:vAlign w:val="center"/>
                </w:tcPr>
                <w:p w14:paraId="613FAD06">
                  <w:pPr>
                    <w:pStyle w:val="15"/>
                    <w:bidi w:val="0"/>
                    <w:jc w:val="center"/>
                    <w:rPr>
                      <w:rFonts w:hint="eastAsia"/>
                    </w:rPr>
                  </w:pPr>
                  <w:r>
                    <w:rPr>
                      <w:rFonts w:hint="eastAsia"/>
                      <w:lang w:val="en-US" w:eastAsia="zh-CN"/>
                    </w:rPr>
                    <w:t>C</w:t>
                  </w:r>
                </w:p>
              </w:tc>
              <w:tc>
                <w:tcPr>
                  <w:tcW w:w="409" w:type="pct"/>
                  <w:tcBorders>
                    <w:tl2br w:val="nil"/>
                    <w:tr2bl w:val="nil"/>
                  </w:tcBorders>
                  <w:shd w:val="clear" w:color="auto" w:fill="auto"/>
                  <w:tcMar>
                    <w:top w:w="0" w:type="dxa"/>
                    <w:left w:w="0" w:type="dxa"/>
                    <w:bottom w:w="0" w:type="dxa"/>
                    <w:right w:w="0" w:type="dxa"/>
                  </w:tcMar>
                  <w:vAlign w:val="center"/>
                </w:tcPr>
                <w:p w14:paraId="07D7009E">
                  <w:pPr>
                    <w:pStyle w:val="15"/>
                    <w:bidi w:val="0"/>
                    <w:jc w:val="center"/>
                    <w:rPr>
                      <w:rFonts w:hint="eastAsia"/>
                    </w:rPr>
                  </w:pPr>
                  <w:r>
                    <w:rPr>
                      <w:rFonts w:hint="eastAsia"/>
                      <w:lang w:val="en-US" w:eastAsia="zh-CN"/>
                    </w:rPr>
                    <w:t>0.916852</w:t>
                  </w:r>
                </w:p>
              </w:tc>
              <w:tc>
                <w:tcPr>
                  <w:tcW w:w="298" w:type="pct"/>
                  <w:tcBorders>
                    <w:tl2br w:val="nil"/>
                    <w:tr2bl w:val="nil"/>
                  </w:tcBorders>
                  <w:shd w:val="clear" w:color="auto" w:fill="auto"/>
                  <w:tcMar>
                    <w:top w:w="0" w:type="dxa"/>
                    <w:left w:w="0" w:type="dxa"/>
                    <w:bottom w:w="0" w:type="dxa"/>
                    <w:right w:w="0" w:type="dxa"/>
                  </w:tcMar>
                  <w:vAlign w:val="center"/>
                </w:tcPr>
                <w:p w14:paraId="2D075C4A">
                  <w:pPr>
                    <w:pStyle w:val="15"/>
                    <w:bidi w:val="0"/>
                    <w:jc w:val="center"/>
                    <w:rPr>
                      <w:rFonts w:hint="eastAsia"/>
                    </w:rPr>
                  </w:pPr>
                  <w:r>
                    <w:rPr>
                      <w:rFonts w:hint="eastAsia"/>
                      <w:lang w:val="en-US" w:eastAsia="zh-CN"/>
                    </w:rPr>
                    <w:t>无单位</w:t>
                  </w:r>
                </w:p>
              </w:tc>
              <w:tc>
                <w:tcPr>
                  <w:tcW w:w="2003" w:type="pct"/>
                  <w:tcBorders>
                    <w:tl2br w:val="nil"/>
                    <w:tr2bl w:val="nil"/>
                  </w:tcBorders>
                  <w:shd w:val="clear" w:color="auto" w:fill="auto"/>
                  <w:tcMar>
                    <w:top w:w="0" w:type="dxa"/>
                    <w:left w:w="0" w:type="dxa"/>
                    <w:bottom w:w="0" w:type="dxa"/>
                    <w:right w:w="0" w:type="dxa"/>
                  </w:tcMar>
                  <w:vAlign w:val="center"/>
                </w:tcPr>
                <w:p w14:paraId="2204D274">
                  <w:pPr>
                    <w:pStyle w:val="15"/>
                    <w:bidi w:val="0"/>
                    <w:jc w:val="center"/>
                    <w:rPr>
                      <w:rFonts w:hint="eastAsia"/>
                    </w:rPr>
                  </w:pPr>
                  <w:r>
                    <w:rPr>
                      <w:rFonts w:ascii="Times New Roman" w:hAnsi="Times New Roman" w:eastAsia="Times New Roman" w:cs="Times New Roman"/>
                      <w:spacing w:val="-2"/>
                    </w:rPr>
                    <w:t>C=</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1-0.0123(D-9)</w:t>
                  </w:r>
                  <w:r>
                    <w:rPr>
                      <w:rFonts w:ascii="Times New Roman" w:hAnsi="Times New Roman" w:eastAsia="Times New Roman" w:cs="Times New Roman"/>
                      <w:spacing w:val="-2"/>
                      <w:position w:val="7"/>
                      <w:sz w:val="15"/>
                      <w:szCs w:val="15"/>
                    </w:rPr>
                    <w:t>2</w:t>
                  </w:r>
                </w:p>
              </w:tc>
            </w:tr>
            <w:tr w14:paraId="3344A5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3FBDF6EC">
                  <w:pPr>
                    <w:pStyle w:val="15"/>
                    <w:bidi w:val="0"/>
                    <w:jc w:val="center"/>
                    <w:rPr>
                      <w:rFonts w:hint="eastAsia"/>
                    </w:rPr>
                  </w:pPr>
                  <w:r>
                    <w:rPr>
                      <w:rFonts w:hint="eastAsia"/>
                      <w:lang w:val="en-US" w:eastAsia="zh-CN"/>
                    </w:rPr>
                    <w:t>大气压力修正系数</w:t>
                  </w:r>
                </w:p>
              </w:tc>
              <w:tc>
                <w:tcPr>
                  <w:tcW w:w="673" w:type="pct"/>
                  <w:tcBorders>
                    <w:tl2br w:val="nil"/>
                    <w:tr2bl w:val="nil"/>
                  </w:tcBorders>
                  <w:shd w:val="clear" w:color="auto" w:fill="auto"/>
                  <w:tcMar>
                    <w:top w:w="0" w:type="dxa"/>
                    <w:left w:w="0" w:type="dxa"/>
                    <w:bottom w:w="0" w:type="dxa"/>
                    <w:right w:w="0" w:type="dxa"/>
                  </w:tcMar>
                  <w:vAlign w:val="center"/>
                </w:tcPr>
                <w:p w14:paraId="4E61BECE">
                  <w:pPr>
                    <w:pStyle w:val="15"/>
                    <w:bidi w:val="0"/>
                    <w:jc w:val="center"/>
                    <w:rPr>
                      <w:rFonts w:hint="eastAsia"/>
                    </w:rPr>
                  </w:pPr>
                  <w:r>
                    <w:rPr>
                      <w:rFonts w:hint="eastAsia"/>
                      <w:lang w:val="en-US" w:eastAsia="zh-CN"/>
                    </w:rPr>
                    <w:t>KC</w:t>
                  </w:r>
                </w:p>
              </w:tc>
              <w:tc>
                <w:tcPr>
                  <w:tcW w:w="409" w:type="pct"/>
                  <w:tcBorders>
                    <w:tl2br w:val="nil"/>
                    <w:tr2bl w:val="nil"/>
                  </w:tcBorders>
                  <w:shd w:val="clear" w:color="auto" w:fill="auto"/>
                  <w:tcMar>
                    <w:top w:w="0" w:type="dxa"/>
                    <w:left w:w="0" w:type="dxa"/>
                    <w:bottom w:w="0" w:type="dxa"/>
                    <w:right w:w="0" w:type="dxa"/>
                  </w:tcMar>
                  <w:vAlign w:val="center"/>
                </w:tcPr>
                <w:p w14:paraId="15AC081E">
                  <w:pPr>
                    <w:pStyle w:val="15"/>
                    <w:bidi w:val="0"/>
                    <w:jc w:val="center"/>
                    <w:rPr>
                      <w:rFonts w:hint="eastAsia"/>
                    </w:rPr>
                  </w:pPr>
                  <w:r>
                    <w:rPr>
                      <w:rFonts w:hint="eastAsia"/>
                      <w:lang w:val="en-US" w:eastAsia="zh-CN"/>
                    </w:rPr>
                    <w:t>1</w:t>
                  </w:r>
                </w:p>
              </w:tc>
              <w:tc>
                <w:tcPr>
                  <w:tcW w:w="298" w:type="pct"/>
                  <w:tcBorders>
                    <w:tl2br w:val="nil"/>
                    <w:tr2bl w:val="nil"/>
                  </w:tcBorders>
                  <w:shd w:val="clear" w:color="auto" w:fill="auto"/>
                  <w:tcMar>
                    <w:top w:w="0" w:type="dxa"/>
                    <w:left w:w="0" w:type="dxa"/>
                    <w:bottom w:w="0" w:type="dxa"/>
                    <w:right w:w="0" w:type="dxa"/>
                  </w:tcMar>
                  <w:vAlign w:val="center"/>
                </w:tcPr>
                <w:p w14:paraId="24CA609C">
                  <w:pPr>
                    <w:pStyle w:val="15"/>
                    <w:bidi w:val="0"/>
                    <w:jc w:val="center"/>
                    <w:rPr>
                      <w:rFonts w:hint="eastAsia"/>
                    </w:rPr>
                  </w:pPr>
                  <w:r>
                    <w:rPr>
                      <w:rFonts w:hint="eastAsia"/>
                      <w:lang w:val="en-US" w:eastAsia="zh-CN"/>
                    </w:rPr>
                    <w:t>无单位</w:t>
                  </w:r>
                </w:p>
              </w:tc>
              <w:tc>
                <w:tcPr>
                  <w:tcW w:w="2003" w:type="pct"/>
                  <w:tcBorders>
                    <w:tl2br w:val="nil"/>
                    <w:tr2bl w:val="nil"/>
                  </w:tcBorders>
                  <w:shd w:val="clear" w:color="auto" w:fill="auto"/>
                  <w:tcMar>
                    <w:top w:w="0" w:type="dxa"/>
                    <w:left w:w="0" w:type="dxa"/>
                    <w:bottom w:w="0" w:type="dxa"/>
                    <w:right w:w="0" w:type="dxa"/>
                  </w:tcMar>
                  <w:vAlign w:val="center"/>
                </w:tcPr>
                <w:p w14:paraId="66572BD9">
                  <w:pPr>
                    <w:pStyle w:val="15"/>
                    <w:bidi w:val="0"/>
                    <w:jc w:val="center"/>
                    <w:rPr>
                      <w:rFonts w:hint="eastAsia"/>
                    </w:rPr>
                  </w:pPr>
                  <w:r>
                    <w:rPr>
                      <w:rFonts w:hint="eastAsia"/>
                      <w:lang w:val="en-US" w:eastAsia="zh-CN"/>
                    </w:rPr>
                    <w:t>项目所在地为新疆第七师胡杨河市经济技术开发区，大气压力接近标准大气压（100910Pa），修正系数取1.0</w:t>
                  </w:r>
                </w:p>
              </w:tc>
            </w:tr>
            <w:tr w14:paraId="302EE3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noWrap/>
                  <w:tcMar>
                    <w:top w:w="0" w:type="dxa"/>
                    <w:left w:w="0" w:type="dxa"/>
                    <w:bottom w:w="0" w:type="dxa"/>
                    <w:right w:w="0" w:type="dxa"/>
                  </w:tcMar>
                  <w:vAlign w:val="center"/>
                </w:tcPr>
                <w:p w14:paraId="6BC425F1">
                  <w:pPr>
                    <w:pStyle w:val="15"/>
                    <w:bidi w:val="0"/>
                    <w:jc w:val="center"/>
                    <w:rPr>
                      <w:rFonts w:hint="eastAsia"/>
                    </w:rPr>
                  </w:pPr>
                  <w:r>
                    <w:rPr>
                      <w:rFonts w:hint="eastAsia"/>
                      <w:lang w:val="en-US" w:eastAsia="zh-CN"/>
                    </w:rPr>
                    <w:t>单座固定顶罐的呼吸排放量</w:t>
                  </w:r>
                </w:p>
              </w:tc>
              <w:tc>
                <w:tcPr>
                  <w:tcW w:w="673" w:type="pct"/>
                  <w:tcBorders>
                    <w:tl2br w:val="nil"/>
                    <w:tr2bl w:val="nil"/>
                  </w:tcBorders>
                  <w:shd w:val="clear" w:color="auto" w:fill="auto"/>
                  <w:tcMar>
                    <w:top w:w="0" w:type="dxa"/>
                    <w:left w:w="0" w:type="dxa"/>
                    <w:bottom w:w="0" w:type="dxa"/>
                    <w:right w:w="0" w:type="dxa"/>
                  </w:tcMar>
                  <w:vAlign w:val="center"/>
                </w:tcPr>
                <w:p w14:paraId="65ED865F">
                  <w:pPr>
                    <w:pStyle w:val="15"/>
                    <w:bidi w:val="0"/>
                    <w:jc w:val="center"/>
                    <w:rPr>
                      <w:rFonts w:hint="eastAsia"/>
                    </w:rPr>
                  </w:pPr>
                  <w:r>
                    <w:rPr>
                      <w:rFonts w:hint="eastAsia"/>
                      <w:lang w:val="en-US" w:eastAsia="zh-CN"/>
                    </w:rPr>
                    <w:t>LB</w:t>
                  </w:r>
                </w:p>
              </w:tc>
              <w:tc>
                <w:tcPr>
                  <w:tcW w:w="409" w:type="pct"/>
                  <w:tcBorders>
                    <w:tl2br w:val="nil"/>
                    <w:tr2bl w:val="nil"/>
                  </w:tcBorders>
                  <w:shd w:val="clear" w:color="auto" w:fill="auto"/>
                  <w:tcMar>
                    <w:top w:w="0" w:type="dxa"/>
                    <w:left w:w="0" w:type="dxa"/>
                    <w:bottom w:w="0" w:type="dxa"/>
                    <w:right w:w="0" w:type="dxa"/>
                  </w:tcMar>
                  <w:vAlign w:val="center"/>
                </w:tcPr>
                <w:p w14:paraId="029030E7">
                  <w:pPr>
                    <w:pStyle w:val="15"/>
                    <w:bidi w:val="0"/>
                    <w:jc w:val="center"/>
                    <w:rPr>
                      <w:rFonts w:hint="eastAsia"/>
                    </w:rPr>
                  </w:pPr>
                  <w:r>
                    <w:rPr>
                      <w:rFonts w:hint="eastAsia"/>
                      <w:lang w:val="en-US" w:eastAsia="zh-CN"/>
                    </w:rPr>
                    <w:t>14.45</w:t>
                  </w:r>
                </w:p>
              </w:tc>
              <w:tc>
                <w:tcPr>
                  <w:tcW w:w="298" w:type="pct"/>
                  <w:tcBorders>
                    <w:tl2br w:val="nil"/>
                    <w:tr2bl w:val="nil"/>
                  </w:tcBorders>
                  <w:shd w:val="clear" w:color="auto" w:fill="auto"/>
                  <w:noWrap/>
                  <w:tcMar>
                    <w:top w:w="0" w:type="dxa"/>
                    <w:left w:w="0" w:type="dxa"/>
                    <w:bottom w:w="0" w:type="dxa"/>
                    <w:right w:w="0" w:type="dxa"/>
                  </w:tcMar>
                  <w:vAlign w:val="center"/>
                </w:tcPr>
                <w:p w14:paraId="1D9D1C39">
                  <w:pPr>
                    <w:pStyle w:val="15"/>
                    <w:bidi w:val="0"/>
                    <w:jc w:val="center"/>
                    <w:rPr>
                      <w:rFonts w:hint="default"/>
                    </w:rPr>
                  </w:pPr>
                  <w:r>
                    <w:rPr>
                      <w:rFonts w:hint="default"/>
                      <w:lang w:val="en-US" w:eastAsia="zh-CN"/>
                    </w:rPr>
                    <w:t>kg/a</w:t>
                  </w:r>
                </w:p>
              </w:tc>
              <w:tc>
                <w:tcPr>
                  <w:tcW w:w="2003" w:type="pct"/>
                  <w:tcBorders>
                    <w:tl2br w:val="nil"/>
                    <w:tr2bl w:val="nil"/>
                  </w:tcBorders>
                  <w:shd w:val="clear" w:color="auto" w:fill="auto"/>
                  <w:tcMar>
                    <w:top w:w="0" w:type="dxa"/>
                    <w:left w:w="0" w:type="dxa"/>
                    <w:bottom w:w="0" w:type="dxa"/>
                    <w:right w:w="0" w:type="dxa"/>
                  </w:tcMar>
                  <w:vAlign w:val="center"/>
                </w:tcPr>
                <w:p w14:paraId="10A08A35">
                  <w:pPr>
                    <w:pStyle w:val="15"/>
                    <w:bidi w:val="0"/>
                    <w:jc w:val="center"/>
                    <w:rPr>
                      <w:rFonts w:hint="eastAsia"/>
                    </w:rPr>
                  </w:pPr>
                </w:p>
              </w:tc>
            </w:tr>
            <w:tr w14:paraId="01E90E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15" w:type="pct"/>
                  <w:tcBorders>
                    <w:tl2br w:val="nil"/>
                    <w:tr2bl w:val="nil"/>
                  </w:tcBorders>
                  <w:shd w:val="clear" w:color="auto" w:fill="auto"/>
                  <w:tcMar>
                    <w:top w:w="0" w:type="dxa"/>
                    <w:left w:w="0" w:type="dxa"/>
                    <w:bottom w:w="0" w:type="dxa"/>
                    <w:right w:w="0" w:type="dxa"/>
                  </w:tcMar>
                  <w:vAlign w:val="center"/>
                </w:tcPr>
                <w:p w14:paraId="793840A5">
                  <w:pPr>
                    <w:pStyle w:val="15"/>
                    <w:bidi w:val="0"/>
                    <w:jc w:val="center"/>
                    <w:rPr>
                      <w:rFonts w:hint="eastAsia"/>
                    </w:rPr>
                  </w:pPr>
                  <w:r>
                    <w:rPr>
                      <w:rFonts w:hint="eastAsia"/>
                      <w:lang w:val="en-US" w:eastAsia="zh-CN"/>
                    </w:rPr>
                    <w:t>4座200m</w:t>
                  </w:r>
                  <w:r>
                    <w:rPr>
                      <w:rFonts w:hint="eastAsia"/>
                      <w:vertAlign w:val="superscript"/>
                      <w:lang w:val="en-US" w:eastAsia="zh-CN"/>
                    </w:rPr>
                    <w:t>3</w:t>
                  </w:r>
                  <w:r>
                    <w:rPr>
                      <w:rFonts w:hint="eastAsia"/>
                      <w:lang w:val="en-US" w:eastAsia="zh-CN"/>
                    </w:rPr>
                    <w:t>立式固定顶玻璃钢31%盐酸储罐呼吸排放量</w:t>
                  </w:r>
                </w:p>
              </w:tc>
              <w:tc>
                <w:tcPr>
                  <w:tcW w:w="673" w:type="pct"/>
                  <w:tcBorders>
                    <w:tl2br w:val="nil"/>
                    <w:tr2bl w:val="nil"/>
                  </w:tcBorders>
                  <w:shd w:val="clear" w:color="auto" w:fill="auto"/>
                  <w:tcMar>
                    <w:top w:w="0" w:type="dxa"/>
                    <w:left w:w="0" w:type="dxa"/>
                    <w:bottom w:w="0" w:type="dxa"/>
                    <w:right w:w="0" w:type="dxa"/>
                  </w:tcMar>
                  <w:vAlign w:val="center"/>
                </w:tcPr>
                <w:p w14:paraId="67224CA3">
                  <w:pPr>
                    <w:pStyle w:val="15"/>
                    <w:bidi w:val="0"/>
                    <w:jc w:val="center"/>
                    <w:rPr>
                      <w:rFonts w:hint="eastAsia"/>
                    </w:rPr>
                  </w:pPr>
                </w:p>
              </w:tc>
              <w:tc>
                <w:tcPr>
                  <w:tcW w:w="409" w:type="pct"/>
                  <w:tcBorders>
                    <w:tl2br w:val="nil"/>
                    <w:tr2bl w:val="nil"/>
                  </w:tcBorders>
                  <w:shd w:val="clear" w:color="auto" w:fill="auto"/>
                  <w:tcMar>
                    <w:top w:w="0" w:type="dxa"/>
                    <w:left w:w="0" w:type="dxa"/>
                    <w:bottom w:w="0" w:type="dxa"/>
                    <w:right w:w="0" w:type="dxa"/>
                  </w:tcMar>
                  <w:vAlign w:val="center"/>
                </w:tcPr>
                <w:p w14:paraId="72AA966F">
                  <w:pPr>
                    <w:pStyle w:val="15"/>
                    <w:bidi w:val="0"/>
                    <w:jc w:val="center"/>
                    <w:rPr>
                      <w:rFonts w:hint="default"/>
                      <w:lang w:val="en-US"/>
                    </w:rPr>
                  </w:pPr>
                  <w:r>
                    <w:rPr>
                      <w:rFonts w:hint="eastAsia"/>
                      <w:lang w:val="en-US" w:eastAsia="zh-CN"/>
                    </w:rPr>
                    <w:t>57.80</w:t>
                  </w:r>
                </w:p>
              </w:tc>
              <w:tc>
                <w:tcPr>
                  <w:tcW w:w="298" w:type="pct"/>
                  <w:tcBorders>
                    <w:tl2br w:val="nil"/>
                    <w:tr2bl w:val="nil"/>
                  </w:tcBorders>
                  <w:shd w:val="clear" w:color="auto" w:fill="auto"/>
                  <w:noWrap/>
                  <w:tcMar>
                    <w:top w:w="0" w:type="dxa"/>
                    <w:left w:w="0" w:type="dxa"/>
                    <w:bottom w:w="0" w:type="dxa"/>
                    <w:right w:w="0" w:type="dxa"/>
                  </w:tcMar>
                  <w:vAlign w:val="center"/>
                </w:tcPr>
                <w:p w14:paraId="1A52599F">
                  <w:pPr>
                    <w:pStyle w:val="15"/>
                    <w:bidi w:val="0"/>
                    <w:jc w:val="center"/>
                    <w:rPr>
                      <w:rFonts w:hint="default"/>
                    </w:rPr>
                  </w:pPr>
                  <w:r>
                    <w:rPr>
                      <w:rFonts w:hint="default"/>
                      <w:lang w:val="en-US" w:eastAsia="zh-CN"/>
                    </w:rPr>
                    <w:t>kg/a</w:t>
                  </w:r>
                </w:p>
              </w:tc>
              <w:tc>
                <w:tcPr>
                  <w:tcW w:w="2003" w:type="pct"/>
                  <w:tcBorders>
                    <w:tl2br w:val="nil"/>
                    <w:tr2bl w:val="nil"/>
                  </w:tcBorders>
                  <w:shd w:val="clear" w:color="auto" w:fill="auto"/>
                  <w:tcMar>
                    <w:top w:w="0" w:type="dxa"/>
                    <w:left w:w="0" w:type="dxa"/>
                    <w:bottom w:w="0" w:type="dxa"/>
                    <w:right w:w="0" w:type="dxa"/>
                  </w:tcMar>
                  <w:vAlign w:val="center"/>
                </w:tcPr>
                <w:p w14:paraId="0FC321D8">
                  <w:pPr>
                    <w:pStyle w:val="15"/>
                    <w:bidi w:val="0"/>
                    <w:jc w:val="center"/>
                    <w:rPr>
                      <w:rFonts w:hint="eastAsia"/>
                    </w:rPr>
                  </w:pPr>
                </w:p>
              </w:tc>
            </w:tr>
            <w:tr w14:paraId="50482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00" w:type="pct"/>
                  <w:gridSpan w:val="5"/>
                  <w:tcBorders>
                    <w:tl2br w:val="nil"/>
                    <w:tr2bl w:val="nil"/>
                  </w:tcBorders>
                  <w:shd w:val="clear" w:color="auto" w:fill="auto"/>
                  <w:tcMar>
                    <w:top w:w="0" w:type="dxa"/>
                    <w:left w:w="0" w:type="dxa"/>
                    <w:bottom w:w="0" w:type="dxa"/>
                    <w:right w:w="0" w:type="dxa"/>
                  </w:tcMar>
                  <w:vAlign w:val="center"/>
                </w:tcPr>
                <w:p w14:paraId="43F23620">
                  <w:pPr>
                    <w:pStyle w:val="15"/>
                    <w:bidi w:val="0"/>
                    <w:jc w:val="both"/>
                    <w:rPr>
                      <w:rFonts w:hint="eastAsia"/>
                    </w:rPr>
                  </w:pPr>
                  <w:r>
                    <w:rPr>
                      <w:rFonts w:hint="eastAsia"/>
                      <w:lang w:val="en-US" w:eastAsia="zh-CN"/>
                    </w:rPr>
                    <w:t>注：数值保留小数点后2位有效数字。</w:t>
                  </w:r>
                </w:p>
              </w:tc>
            </w:tr>
          </w:tbl>
          <w:p w14:paraId="1DE09631">
            <w:pPr>
              <w:bidi w:val="0"/>
              <w:rPr>
                <w:rFonts w:hint="eastAsia"/>
                <w:lang w:val="en-US" w:eastAsia="zh-CN"/>
              </w:rPr>
            </w:pPr>
            <w:r>
              <w:rPr>
                <w:rFonts w:hint="eastAsia"/>
                <w:lang w:val="en-US" w:eastAsia="zh-CN"/>
              </w:rPr>
              <w:t>根据公式计算，本项目4座200m</w:t>
            </w:r>
            <w:r>
              <w:rPr>
                <w:rFonts w:hint="eastAsia"/>
                <w:vertAlign w:val="superscript"/>
                <w:lang w:val="en-US" w:eastAsia="zh-CN"/>
              </w:rPr>
              <w:t>3</w:t>
            </w:r>
            <w:r>
              <w:rPr>
                <w:rFonts w:hint="eastAsia"/>
                <w:lang w:val="en-US" w:eastAsia="zh-CN"/>
              </w:rPr>
              <w:t>立式固定顶玻璃钢31%盐酸储罐小呼吸排放量为57.80kg/a。</w:t>
            </w:r>
          </w:p>
          <w:p w14:paraId="61A5FB72">
            <w:pPr>
              <w:bidi w:val="0"/>
              <w:rPr>
                <w:rFonts w:hint="default"/>
                <w:lang w:val="en-US" w:eastAsia="zh-CN"/>
              </w:rPr>
            </w:pPr>
            <w:r>
              <w:rPr>
                <w:rFonts w:hint="eastAsia"/>
                <w:lang w:val="en-US" w:eastAsia="zh-CN"/>
              </w:rPr>
              <w:t>（2）储罐大呼吸</w:t>
            </w:r>
          </w:p>
          <w:bookmarkEnd w:id="1"/>
          <w:bookmarkEnd w:id="2"/>
          <w:p w14:paraId="010FF7AF">
            <w:pPr>
              <w:rPr>
                <w:rFonts w:hint="eastAsia"/>
                <w:color w:val="auto"/>
                <w:lang w:val="en-US" w:eastAsia="zh-CN"/>
              </w:rPr>
            </w:pPr>
            <w:bookmarkStart w:id="4" w:name="_Hlk161150428"/>
            <w:r>
              <w:rPr>
                <w:rFonts w:hint="eastAsia"/>
                <w:color w:val="auto"/>
                <w:lang w:val="en-US" w:eastAsia="zh-CN"/>
              </w:rPr>
              <w:t>主要是由于人为的装料与卸料而产生的损失，为间歇性排放污染源。因装料的结果，罐内压力超过释放压力时，蒸气从罐内压出；而卸料损失发生在液面排出，空气被抽入罐体内，因空气变成有机蒸气饱和的气体而膨胀，因而超过蒸气空间容纳的能力。可由下式估算固定顶罐的工作排放。</w:t>
            </w:r>
          </w:p>
          <w:p w14:paraId="3FD70211">
            <w:pPr>
              <w:pStyle w:val="19"/>
              <w:bidi w:val="0"/>
            </w:pPr>
            <w:r>
              <w:t>L=4.188×10</w:t>
            </w:r>
            <w:r>
              <w:rPr>
                <w:vertAlign w:val="superscript"/>
              </w:rPr>
              <w:t>-7</w:t>
            </w:r>
            <w:r>
              <w:t>×M×P×K</w:t>
            </w:r>
            <w:r>
              <w:rPr>
                <w:vertAlign w:val="subscript"/>
              </w:rPr>
              <w:t>N</w:t>
            </w:r>
            <w:r>
              <w:t>×Kc</w:t>
            </w:r>
          </w:p>
          <w:p w14:paraId="6F74216F">
            <w:pPr>
              <w:bidi w:val="0"/>
              <w:rPr>
                <w:rFonts w:hint="eastAsia"/>
                <w:lang w:val="en-US" w:eastAsia="zh-CN"/>
              </w:rPr>
            </w:pPr>
            <w:r>
              <w:rPr>
                <w:rFonts w:hint="eastAsia"/>
                <w:lang w:val="en-US" w:eastAsia="zh-CN"/>
              </w:rPr>
              <w:t>式中：L—固定顶罐的工作损失（kg/m</w:t>
            </w:r>
            <w:r>
              <w:rPr>
                <w:rFonts w:hint="eastAsia"/>
                <w:vertAlign w:val="superscript"/>
                <w:lang w:val="en-US" w:eastAsia="zh-CN"/>
              </w:rPr>
              <w:t>3</w:t>
            </w:r>
            <w:r>
              <w:rPr>
                <w:rFonts w:hint="eastAsia"/>
                <w:lang w:val="en-US" w:eastAsia="zh-CN"/>
              </w:rPr>
              <w:t>投入量）</w:t>
            </w:r>
          </w:p>
          <w:p w14:paraId="7E5789BB">
            <w:pPr>
              <w:bidi w:val="0"/>
              <w:rPr>
                <w:rFonts w:hint="eastAsia"/>
                <w:lang w:val="en-US" w:eastAsia="zh-CN"/>
              </w:rPr>
            </w:pPr>
            <w:r>
              <w:rPr>
                <w:rFonts w:hint="eastAsia"/>
                <w:lang w:val="en-US" w:eastAsia="zh-CN"/>
              </w:rPr>
              <w:t>K</w:t>
            </w:r>
            <w:r>
              <w:rPr>
                <w:rFonts w:hint="eastAsia"/>
                <w:vertAlign w:val="subscript"/>
                <w:lang w:val="en-US" w:eastAsia="zh-CN"/>
              </w:rPr>
              <w:t>N</w:t>
            </w:r>
            <w:r>
              <w:rPr>
                <w:rFonts w:hint="eastAsia"/>
                <w:lang w:val="en-US" w:eastAsia="zh-CN"/>
              </w:rPr>
              <w:t>—周转因子（无量纲），取值按年周转次数（K）确定，取1。</w:t>
            </w:r>
          </w:p>
          <w:p w14:paraId="6896E054">
            <w:pPr>
              <w:bidi w:val="0"/>
              <w:rPr>
                <w:rFonts w:hint="eastAsia"/>
                <w:lang w:val="en-US" w:eastAsia="zh-CN"/>
              </w:rPr>
            </w:pPr>
            <w:r>
              <w:rPr>
                <w:rFonts w:hint="eastAsia"/>
                <w:lang w:val="en-US" w:eastAsia="zh-CN"/>
              </w:rPr>
              <w:t>K&lt;=36，K</w:t>
            </w:r>
            <w:r>
              <w:rPr>
                <w:rFonts w:hint="eastAsia"/>
                <w:vertAlign w:val="subscript"/>
                <w:lang w:val="en-US" w:eastAsia="zh-CN"/>
              </w:rPr>
              <w:t>N</w:t>
            </w:r>
            <w:r>
              <w:rPr>
                <w:rFonts w:hint="eastAsia"/>
                <w:lang w:val="en-US" w:eastAsia="zh-CN"/>
              </w:rPr>
              <w:t>=1；</w:t>
            </w:r>
          </w:p>
          <w:p w14:paraId="51E27E92">
            <w:pPr>
              <w:bidi w:val="0"/>
              <w:rPr>
                <w:rFonts w:hint="eastAsia"/>
                <w:lang w:val="en-US" w:eastAsia="zh-CN"/>
              </w:rPr>
            </w:pPr>
            <w:r>
              <w:rPr>
                <w:rFonts w:hint="eastAsia"/>
                <w:lang w:val="en-US" w:eastAsia="zh-CN"/>
              </w:rPr>
              <w:t>36&lt;K&lt;=220，K=11.467×K</w:t>
            </w:r>
            <w:r>
              <w:rPr>
                <w:rFonts w:hint="eastAsia"/>
                <w:vertAlign w:val="superscript"/>
                <w:lang w:val="en-US" w:eastAsia="zh-CN"/>
              </w:rPr>
              <w:t>-0.7026</w:t>
            </w:r>
          </w:p>
          <w:p w14:paraId="2333CA34">
            <w:pPr>
              <w:bidi w:val="0"/>
              <w:rPr>
                <w:rFonts w:hint="eastAsia"/>
                <w:lang w:val="en-US" w:eastAsia="zh-CN"/>
              </w:rPr>
            </w:pPr>
            <w:r>
              <w:rPr>
                <w:rFonts w:hint="eastAsia"/>
                <w:lang w:val="en-US" w:eastAsia="zh-CN"/>
              </w:rPr>
              <w:t>K&gt;220，KN=0.26</w:t>
            </w:r>
          </w:p>
          <w:p w14:paraId="6578E947">
            <w:pPr>
              <w:bidi w:val="0"/>
              <w:rPr>
                <w:rFonts w:hint="eastAsia"/>
                <w:lang w:val="en-US" w:eastAsia="zh-CN"/>
              </w:rPr>
            </w:pPr>
            <w:r>
              <w:rPr>
                <w:rFonts w:hint="eastAsia"/>
                <w:lang w:val="en-US" w:eastAsia="zh-CN"/>
              </w:rPr>
              <w:t>盐酸储罐大呼吸计算参数及计算结果见下表30。</w:t>
            </w:r>
          </w:p>
          <w:p w14:paraId="1366122D">
            <w:pPr>
              <w:pStyle w:val="16"/>
              <w:bidi w:val="0"/>
              <w:rPr>
                <w:rFonts w:hint="eastAsia"/>
                <w:lang w:val="en-US" w:eastAsia="zh-CN"/>
              </w:rPr>
            </w:pPr>
            <w:r>
              <w:t xml:space="preserve">表 </w:t>
            </w:r>
            <w:r>
              <w:fldChar w:fldCharType="begin"/>
            </w:r>
            <w:r>
              <w:instrText xml:space="preserve"> SEQ 表 \* ARABIC </w:instrText>
            </w:r>
            <w:r>
              <w:fldChar w:fldCharType="separate"/>
            </w:r>
            <w:r>
              <w:t>30</w:t>
            </w:r>
            <w:r>
              <w:fldChar w:fldCharType="end"/>
            </w:r>
            <w:r>
              <w:rPr>
                <w:rFonts w:hint="eastAsia"/>
                <w:lang w:val="en-US" w:eastAsia="zh-CN"/>
              </w:rPr>
              <w:t xml:space="preserve">  盐酸储罐大呼吸挥发HCl计算结果一览表</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094"/>
              <w:gridCol w:w="587"/>
              <w:gridCol w:w="1054"/>
              <w:gridCol w:w="1248"/>
              <w:gridCol w:w="2907"/>
            </w:tblGrid>
            <w:tr w14:paraId="5B56D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33629989">
                  <w:pPr>
                    <w:pStyle w:val="15"/>
                    <w:bidi w:val="0"/>
                    <w:rPr>
                      <w:rFonts w:hint="eastAsia"/>
                    </w:rPr>
                  </w:pPr>
                  <w:r>
                    <w:rPr>
                      <w:rFonts w:hint="eastAsia"/>
                      <w:lang w:val="en-US" w:eastAsia="zh-CN"/>
                    </w:rPr>
                    <w:t>参数名称</w:t>
                  </w:r>
                </w:p>
              </w:tc>
              <w:tc>
                <w:tcPr>
                  <w:tcW w:w="372" w:type="pct"/>
                  <w:tcBorders>
                    <w:tl2br w:val="nil"/>
                    <w:tr2bl w:val="nil"/>
                  </w:tcBorders>
                  <w:shd w:val="clear" w:color="auto" w:fill="auto"/>
                  <w:tcMar>
                    <w:top w:w="0" w:type="dxa"/>
                    <w:left w:w="0" w:type="dxa"/>
                    <w:bottom w:w="0" w:type="dxa"/>
                    <w:right w:w="0" w:type="dxa"/>
                  </w:tcMar>
                  <w:vAlign w:val="center"/>
                </w:tcPr>
                <w:p w14:paraId="1EB51FFC">
                  <w:pPr>
                    <w:pStyle w:val="15"/>
                    <w:bidi w:val="0"/>
                    <w:rPr>
                      <w:rFonts w:hint="eastAsia"/>
                    </w:rPr>
                  </w:pPr>
                  <w:r>
                    <w:rPr>
                      <w:rFonts w:hint="eastAsia"/>
                      <w:lang w:val="en-US" w:eastAsia="zh-CN"/>
                    </w:rPr>
                    <w:t>符号</w:t>
                  </w:r>
                </w:p>
              </w:tc>
              <w:tc>
                <w:tcPr>
                  <w:tcW w:w="668" w:type="pct"/>
                  <w:tcBorders>
                    <w:tl2br w:val="nil"/>
                    <w:tr2bl w:val="nil"/>
                  </w:tcBorders>
                  <w:shd w:val="clear" w:color="auto" w:fill="auto"/>
                  <w:tcMar>
                    <w:top w:w="0" w:type="dxa"/>
                    <w:left w:w="0" w:type="dxa"/>
                    <w:bottom w:w="0" w:type="dxa"/>
                    <w:right w:w="0" w:type="dxa"/>
                  </w:tcMar>
                  <w:vAlign w:val="center"/>
                </w:tcPr>
                <w:p w14:paraId="60706B5E">
                  <w:pPr>
                    <w:pStyle w:val="15"/>
                    <w:bidi w:val="0"/>
                    <w:rPr>
                      <w:rFonts w:hint="eastAsia"/>
                    </w:rPr>
                  </w:pPr>
                  <w:r>
                    <w:rPr>
                      <w:rFonts w:hint="eastAsia"/>
                      <w:lang w:val="en-US" w:eastAsia="zh-CN"/>
                    </w:rPr>
                    <w:t>取值</w:t>
                  </w:r>
                </w:p>
              </w:tc>
              <w:tc>
                <w:tcPr>
                  <w:tcW w:w="791" w:type="pct"/>
                  <w:tcBorders>
                    <w:tl2br w:val="nil"/>
                    <w:tr2bl w:val="nil"/>
                  </w:tcBorders>
                  <w:shd w:val="clear" w:color="auto" w:fill="auto"/>
                  <w:tcMar>
                    <w:top w:w="0" w:type="dxa"/>
                    <w:left w:w="0" w:type="dxa"/>
                    <w:bottom w:w="0" w:type="dxa"/>
                    <w:right w:w="0" w:type="dxa"/>
                  </w:tcMar>
                  <w:vAlign w:val="center"/>
                </w:tcPr>
                <w:p w14:paraId="58B480CC">
                  <w:pPr>
                    <w:pStyle w:val="15"/>
                    <w:bidi w:val="0"/>
                    <w:rPr>
                      <w:rFonts w:hint="eastAsia"/>
                    </w:rPr>
                  </w:pPr>
                  <w:r>
                    <w:rPr>
                      <w:rFonts w:hint="eastAsia"/>
                      <w:lang w:val="en-US" w:eastAsia="zh-CN"/>
                    </w:rPr>
                    <w:t>单位</w:t>
                  </w:r>
                </w:p>
              </w:tc>
              <w:tc>
                <w:tcPr>
                  <w:tcW w:w="1841" w:type="pct"/>
                  <w:tcBorders>
                    <w:tl2br w:val="nil"/>
                    <w:tr2bl w:val="nil"/>
                  </w:tcBorders>
                  <w:shd w:val="clear" w:color="auto" w:fill="auto"/>
                  <w:tcMar>
                    <w:top w:w="0" w:type="dxa"/>
                    <w:left w:w="0" w:type="dxa"/>
                    <w:bottom w:w="0" w:type="dxa"/>
                    <w:right w:w="0" w:type="dxa"/>
                  </w:tcMar>
                  <w:vAlign w:val="center"/>
                </w:tcPr>
                <w:p w14:paraId="7AC3584D">
                  <w:pPr>
                    <w:pStyle w:val="15"/>
                    <w:bidi w:val="0"/>
                    <w:rPr>
                      <w:rFonts w:hint="eastAsia"/>
                    </w:rPr>
                  </w:pPr>
                  <w:r>
                    <w:rPr>
                      <w:rFonts w:hint="eastAsia"/>
                      <w:lang w:val="en-US" w:eastAsia="zh-CN"/>
                    </w:rPr>
                    <w:t>取值依据</w:t>
                  </w:r>
                </w:p>
              </w:tc>
            </w:tr>
            <w:tr w14:paraId="4EA99D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0EC7B11B">
                  <w:pPr>
                    <w:pStyle w:val="15"/>
                    <w:bidi w:val="0"/>
                  </w:pPr>
                  <w:r>
                    <w:rPr>
                      <w:rFonts w:hint="default"/>
                      <w:lang w:val="en-US" w:eastAsia="zh-CN"/>
                    </w:rPr>
                    <w:t>储罐内蒸气的分子量</w:t>
                  </w:r>
                </w:p>
              </w:tc>
              <w:tc>
                <w:tcPr>
                  <w:tcW w:w="372" w:type="pct"/>
                  <w:tcBorders>
                    <w:tl2br w:val="nil"/>
                    <w:tr2bl w:val="nil"/>
                  </w:tcBorders>
                  <w:shd w:val="clear" w:color="auto" w:fill="auto"/>
                  <w:tcMar>
                    <w:top w:w="0" w:type="dxa"/>
                    <w:left w:w="0" w:type="dxa"/>
                    <w:bottom w:w="0" w:type="dxa"/>
                    <w:right w:w="0" w:type="dxa"/>
                  </w:tcMar>
                  <w:vAlign w:val="center"/>
                </w:tcPr>
                <w:p w14:paraId="1D189A40">
                  <w:pPr>
                    <w:pStyle w:val="15"/>
                    <w:bidi w:val="0"/>
                    <w:rPr>
                      <w:rFonts w:hint="eastAsia"/>
                    </w:rPr>
                  </w:pPr>
                  <w:r>
                    <w:rPr>
                      <w:rFonts w:hint="eastAsia"/>
                      <w:lang w:val="en-US" w:eastAsia="zh-CN"/>
                    </w:rPr>
                    <w:t>M</w:t>
                  </w:r>
                </w:p>
              </w:tc>
              <w:tc>
                <w:tcPr>
                  <w:tcW w:w="1050" w:type="dxa"/>
                  <w:tcBorders>
                    <w:tl2br w:val="nil"/>
                    <w:tr2bl w:val="nil"/>
                  </w:tcBorders>
                  <w:shd w:val="clear" w:color="auto" w:fill="auto"/>
                  <w:tcMar>
                    <w:top w:w="0" w:type="dxa"/>
                    <w:left w:w="0" w:type="dxa"/>
                    <w:bottom w:w="0" w:type="dxa"/>
                    <w:right w:w="0" w:type="dxa"/>
                  </w:tcMar>
                  <w:vAlign w:val="center"/>
                </w:tcPr>
                <w:p w14:paraId="09272A0F">
                  <w:pPr>
                    <w:pStyle w:val="15"/>
                    <w:bidi w:val="0"/>
                    <w:rPr>
                      <w:rFonts w:hint="eastAsia"/>
                    </w:rPr>
                  </w:pPr>
                  <w:r>
                    <w:rPr>
                      <w:rFonts w:hint="eastAsia"/>
                      <w:lang w:val="en-US" w:eastAsia="zh-CN"/>
                    </w:rPr>
                    <w:t>36.5</w:t>
                  </w:r>
                </w:p>
              </w:tc>
              <w:tc>
                <w:tcPr>
                  <w:tcW w:w="791" w:type="pct"/>
                  <w:tcBorders>
                    <w:tl2br w:val="nil"/>
                    <w:tr2bl w:val="nil"/>
                  </w:tcBorders>
                  <w:shd w:val="clear" w:color="auto" w:fill="auto"/>
                  <w:tcMar>
                    <w:top w:w="0" w:type="dxa"/>
                    <w:left w:w="0" w:type="dxa"/>
                    <w:bottom w:w="0" w:type="dxa"/>
                    <w:right w:w="0" w:type="dxa"/>
                  </w:tcMar>
                  <w:vAlign w:val="center"/>
                </w:tcPr>
                <w:p w14:paraId="7CDD5839">
                  <w:pPr>
                    <w:pStyle w:val="15"/>
                    <w:bidi w:val="0"/>
                    <w:rPr>
                      <w:rFonts w:hint="eastAsia"/>
                    </w:rPr>
                  </w:pPr>
                  <w:r>
                    <w:rPr>
                      <w:rFonts w:hint="eastAsia"/>
                      <w:lang w:val="en-US" w:eastAsia="zh-CN"/>
                    </w:rPr>
                    <w:t>g/mol</w:t>
                  </w:r>
                </w:p>
              </w:tc>
              <w:tc>
                <w:tcPr>
                  <w:tcW w:w="1841" w:type="pct"/>
                  <w:tcBorders>
                    <w:tl2br w:val="nil"/>
                    <w:tr2bl w:val="nil"/>
                  </w:tcBorders>
                  <w:shd w:val="clear" w:color="auto" w:fill="auto"/>
                  <w:tcMar>
                    <w:top w:w="0" w:type="dxa"/>
                    <w:left w:w="0" w:type="dxa"/>
                    <w:bottom w:w="0" w:type="dxa"/>
                    <w:right w:w="0" w:type="dxa"/>
                  </w:tcMar>
                  <w:vAlign w:val="center"/>
                </w:tcPr>
                <w:p w14:paraId="0AFFD4EE">
                  <w:pPr>
                    <w:pStyle w:val="15"/>
                    <w:bidi w:val="0"/>
                    <w:rPr>
                      <w:rFonts w:hint="eastAsia"/>
                    </w:rPr>
                  </w:pPr>
                  <w:r>
                    <w:rPr>
                      <w:rFonts w:hint="eastAsia"/>
                      <w:lang w:val="en-US" w:eastAsia="zh-CN"/>
                    </w:rPr>
                    <w:t>氯化氢分子量取值36.5</w:t>
                  </w:r>
                </w:p>
              </w:tc>
            </w:tr>
            <w:tr w14:paraId="710EA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013CC933">
                  <w:pPr>
                    <w:pStyle w:val="15"/>
                    <w:bidi w:val="0"/>
                    <w:rPr>
                      <w:rFonts w:hint="eastAsia"/>
                    </w:rPr>
                  </w:pPr>
                  <w:r>
                    <w:rPr>
                      <w:rFonts w:hint="eastAsia"/>
                      <w:lang w:val="en-US" w:eastAsia="zh-CN"/>
                    </w:rPr>
                    <w:t>在大量液体状态下，真实的蒸气压力</w:t>
                  </w:r>
                </w:p>
              </w:tc>
              <w:tc>
                <w:tcPr>
                  <w:tcW w:w="372" w:type="pct"/>
                  <w:tcBorders>
                    <w:tl2br w:val="nil"/>
                    <w:tr2bl w:val="nil"/>
                  </w:tcBorders>
                  <w:shd w:val="clear" w:color="auto" w:fill="auto"/>
                  <w:tcMar>
                    <w:top w:w="0" w:type="dxa"/>
                    <w:left w:w="0" w:type="dxa"/>
                    <w:bottom w:w="0" w:type="dxa"/>
                    <w:right w:w="0" w:type="dxa"/>
                  </w:tcMar>
                  <w:vAlign w:val="center"/>
                </w:tcPr>
                <w:p w14:paraId="33D1D414">
                  <w:pPr>
                    <w:pStyle w:val="15"/>
                    <w:bidi w:val="0"/>
                    <w:rPr>
                      <w:rFonts w:hint="eastAsia"/>
                    </w:rPr>
                  </w:pPr>
                  <w:r>
                    <w:rPr>
                      <w:rFonts w:hint="eastAsia"/>
                      <w:lang w:val="en-US" w:eastAsia="zh-CN"/>
                    </w:rPr>
                    <w:t>P</w:t>
                  </w:r>
                </w:p>
              </w:tc>
              <w:tc>
                <w:tcPr>
                  <w:tcW w:w="1050" w:type="dxa"/>
                  <w:tcBorders>
                    <w:tl2br w:val="nil"/>
                    <w:tr2bl w:val="nil"/>
                  </w:tcBorders>
                  <w:shd w:val="clear" w:color="auto" w:fill="auto"/>
                  <w:tcMar>
                    <w:top w:w="0" w:type="dxa"/>
                    <w:left w:w="0" w:type="dxa"/>
                    <w:bottom w:w="0" w:type="dxa"/>
                    <w:right w:w="0" w:type="dxa"/>
                  </w:tcMar>
                  <w:vAlign w:val="center"/>
                </w:tcPr>
                <w:p w14:paraId="54600C48">
                  <w:pPr>
                    <w:pStyle w:val="15"/>
                    <w:bidi w:val="0"/>
                    <w:rPr>
                      <w:rFonts w:hint="eastAsia"/>
                    </w:rPr>
                  </w:pPr>
                  <w:r>
                    <w:rPr>
                      <w:rFonts w:hint="eastAsia"/>
                      <w:lang w:val="en-US" w:eastAsia="zh-CN"/>
                    </w:rPr>
                    <w:t>3132</w:t>
                  </w:r>
                </w:p>
              </w:tc>
              <w:tc>
                <w:tcPr>
                  <w:tcW w:w="791" w:type="pct"/>
                  <w:tcBorders>
                    <w:tl2br w:val="nil"/>
                    <w:tr2bl w:val="nil"/>
                  </w:tcBorders>
                  <w:shd w:val="clear" w:color="auto" w:fill="auto"/>
                  <w:tcMar>
                    <w:top w:w="0" w:type="dxa"/>
                    <w:left w:w="0" w:type="dxa"/>
                    <w:bottom w:w="0" w:type="dxa"/>
                    <w:right w:w="0" w:type="dxa"/>
                  </w:tcMar>
                  <w:vAlign w:val="center"/>
                </w:tcPr>
                <w:p w14:paraId="01F37714">
                  <w:pPr>
                    <w:pStyle w:val="15"/>
                    <w:bidi w:val="0"/>
                    <w:rPr>
                      <w:rFonts w:hint="eastAsia"/>
                    </w:rPr>
                  </w:pPr>
                  <w:r>
                    <w:rPr>
                      <w:rFonts w:hint="eastAsia"/>
                      <w:lang w:val="en-US" w:eastAsia="zh-CN"/>
                    </w:rPr>
                    <w:t>Pa</w:t>
                  </w:r>
                </w:p>
              </w:tc>
              <w:tc>
                <w:tcPr>
                  <w:tcW w:w="1841" w:type="pct"/>
                  <w:tcBorders>
                    <w:tl2br w:val="nil"/>
                    <w:tr2bl w:val="nil"/>
                  </w:tcBorders>
                  <w:shd w:val="clear" w:color="auto" w:fill="auto"/>
                  <w:tcMar>
                    <w:top w:w="0" w:type="dxa"/>
                    <w:left w:w="0" w:type="dxa"/>
                    <w:bottom w:w="0" w:type="dxa"/>
                    <w:right w:w="0" w:type="dxa"/>
                  </w:tcMar>
                  <w:vAlign w:val="center"/>
                </w:tcPr>
                <w:p w14:paraId="34E5B6B6">
                  <w:pPr>
                    <w:pStyle w:val="15"/>
                    <w:bidi w:val="0"/>
                    <w:rPr>
                      <w:rFonts w:hint="eastAsia"/>
                    </w:rPr>
                  </w:pPr>
                  <w:r>
                    <w:rPr>
                      <w:rFonts w:hint="eastAsia"/>
                      <w:lang w:val="en-US" w:eastAsia="zh-CN"/>
                    </w:rPr>
                    <w:t>31%盐酸储罐内真实的蒸气压力取值3132</w:t>
                  </w:r>
                </w:p>
              </w:tc>
            </w:tr>
            <w:tr w14:paraId="78C8C4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54E3BEB3">
                  <w:pPr>
                    <w:pStyle w:val="15"/>
                    <w:bidi w:val="0"/>
                    <w:rPr>
                      <w:rFonts w:hint="eastAsia"/>
                    </w:rPr>
                  </w:pPr>
                  <w:r>
                    <w:rPr>
                      <w:rFonts w:hint="eastAsia"/>
                      <w:lang w:val="en-US" w:eastAsia="zh-CN"/>
                    </w:rPr>
                    <w:t>大气压力修正系数</w:t>
                  </w:r>
                </w:p>
              </w:tc>
              <w:tc>
                <w:tcPr>
                  <w:tcW w:w="372" w:type="pct"/>
                  <w:tcBorders>
                    <w:tl2br w:val="nil"/>
                    <w:tr2bl w:val="nil"/>
                  </w:tcBorders>
                  <w:shd w:val="clear" w:color="auto" w:fill="auto"/>
                  <w:tcMar>
                    <w:top w:w="0" w:type="dxa"/>
                    <w:left w:w="0" w:type="dxa"/>
                    <w:bottom w:w="0" w:type="dxa"/>
                    <w:right w:w="0" w:type="dxa"/>
                  </w:tcMar>
                  <w:vAlign w:val="center"/>
                </w:tcPr>
                <w:p w14:paraId="7D836F14">
                  <w:pPr>
                    <w:pStyle w:val="15"/>
                    <w:bidi w:val="0"/>
                    <w:rPr>
                      <w:rFonts w:hint="eastAsia"/>
                    </w:rPr>
                  </w:pPr>
                  <w:r>
                    <w:rPr>
                      <w:rFonts w:hint="eastAsia"/>
                      <w:lang w:val="en-US" w:eastAsia="zh-CN"/>
                    </w:rPr>
                    <w:t>KC</w:t>
                  </w:r>
                </w:p>
              </w:tc>
              <w:tc>
                <w:tcPr>
                  <w:tcW w:w="1050" w:type="dxa"/>
                  <w:tcBorders>
                    <w:tl2br w:val="nil"/>
                    <w:tr2bl w:val="nil"/>
                  </w:tcBorders>
                  <w:shd w:val="clear" w:color="auto" w:fill="auto"/>
                  <w:tcMar>
                    <w:top w:w="0" w:type="dxa"/>
                    <w:left w:w="0" w:type="dxa"/>
                    <w:bottom w:w="0" w:type="dxa"/>
                    <w:right w:w="0" w:type="dxa"/>
                  </w:tcMar>
                  <w:vAlign w:val="center"/>
                </w:tcPr>
                <w:p w14:paraId="2E8AD63A">
                  <w:pPr>
                    <w:pStyle w:val="15"/>
                    <w:bidi w:val="0"/>
                    <w:rPr>
                      <w:rFonts w:hint="eastAsia"/>
                    </w:rPr>
                  </w:pPr>
                  <w:r>
                    <w:rPr>
                      <w:rFonts w:hint="eastAsia"/>
                      <w:lang w:val="en-US" w:eastAsia="zh-CN"/>
                    </w:rPr>
                    <w:t>1</w:t>
                  </w:r>
                </w:p>
              </w:tc>
              <w:tc>
                <w:tcPr>
                  <w:tcW w:w="791" w:type="pct"/>
                  <w:tcBorders>
                    <w:tl2br w:val="nil"/>
                    <w:tr2bl w:val="nil"/>
                  </w:tcBorders>
                  <w:shd w:val="clear" w:color="auto" w:fill="auto"/>
                  <w:tcMar>
                    <w:top w:w="0" w:type="dxa"/>
                    <w:left w:w="0" w:type="dxa"/>
                    <w:bottom w:w="0" w:type="dxa"/>
                    <w:right w:w="0" w:type="dxa"/>
                  </w:tcMar>
                  <w:vAlign w:val="center"/>
                </w:tcPr>
                <w:p w14:paraId="0144EC6C">
                  <w:pPr>
                    <w:pStyle w:val="15"/>
                    <w:bidi w:val="0"/>
                    <w:rPr>
                      <w:rFonts w:hint="eastAsia"/>
                    </w:rPr>
                  </w:pPr>
                  <w:r>
                    <w:rPr>
                      <w:rFonts w:hint="eastAsia"/>
                      <w:lang w:val="en-US" w:eastAsia="zh-CN"/>
                    </w:rPr>
                    <w:t>无单位</w:t>
                  </w:r>
                </w:p>
              </w:tc>
              <w:tc>
                <w:tcPr>
                  <w:tcW w:w="1841" w:type="pct"/>
                  <w:tcBorders>
                    <w:tl2br w:val="nil"/>
                    <w:tr2bl w:val="nil"/>
                  </w:tcBorders>
                  <w:shd w:val="clear" w:color="auto" w:fill="auto"/>
                  <w:tcMar>
                    <w:top w:w="0" w:type="dxa"/>
                    <w:left w:w="0" w:type="dxa"/>
                    <w:bottom w:w="0" w:type="dxa"/>
                    <w:right w:w="0" w:type="dxa"/>
                  </w:tcMar>
                  <w:vAlign w:val="center"/>
                </w:tcPr>
                <w:p w14:paraId="14175157">
                  <w:pPr>
                    <w:pStyle w:val="15"/>
                    <w:bidi w:val="0"/>
                    <w:rPr>
                      <w:rFonts w:hint="eastAsia"/>
                    </w:rPr>
                  </w:pPr>
                  <w:r>
                    <w:rPr>
                      <w:rFonts w:hint="eastAsia"/>
                      <w:lang w:val="en-US" w:eastAsia="zh-CN"/>
                    </w:rPr>
                    <w:t>项目所在地为新疆第七师胡杨河市经济技术开发区，大气压力接近标准大气压（100910Pa），修正系数取1.0</w:t>
                  </w:r>
                </w:p>
              </w:tc>
            </w:tr>
            <w:tr w14:paraId="541079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056DE763">
                  <w:pPr>
                    <w:pStyle w:val="15"/>
                    <w:bidi w:val="0"/>
                    <w:rPr>
                      <w:rFonts w:hint="eastAsia"/>
                    </w:rPr>
                  </w:pPr>
                  <w:r>
                    <w:rPr>
                      <w:rFonts w:hint="eastAsia"/>
                      <w:lang w:val="en-US" w:eastAsia="zh-CN"/>
                    </w:rPr>
                    <w:t>周转系数</w:t>
                  </w:r>
                </w:p>
              </w:tc>
              <w:tc>
                <w:tcPr>
                  <w:tcW w:w="372" w:type="pct"/>
                  <w:tcBorders>
                    <w:tl2br w:val="nil"/>
                    <w:tr2bl w:val="nil"/>
                  </w:tcBorders>
                  <w:shd w:val="clear" w:color="auto" w:fill="auto"/>
                  <w:tcMar>
                    <w:top w:w="0" w:type="dxa"/>
                    <w:left w:w="0" w:type="dxa"/>
                    <w:bottom w:w="0" w:type="dxa"/>
                    <w:right w:w="0" w:type="dxa"/>
                  </w:tcMar>
                  <w:vAlign w:val="center"/>
                </w:tcPr>
                <w:p w14:paraId="666F19BC">
                  <w:pPr>
                    <w:pStyle w:val="15"/>
                    <w:bidi w:val="0"/>
                    <w:rPr>
                      <w:rFonts w:hint="eastAsia"/>
                    </w:rPr>
                  </w:pPr>
                  <w:r>
                    <w:rPr>
                      <w:rFonts w:hint="eastAsia"/>
                      <w:lang w:val="en-US" w:eastAsia="zh-CN"/>
                    </w:rPr>
                    <w:t>K</w:t>
                  </w:r>
                </w:p>
              </w:tc>
              <w:tc>
                <w:tcPr>
                  <w:tcW w:w="1050" w:type="dxa"/>
                  <w:tcBorders>
                    <w:tl2br w:val="nil"/>
                    <w:tr2bl w:val="nil"/>
                  </w:tcBorders>
                  <w:shd w:val="clear" w:color="auto" w:fill="auto"/>
                  <w:tcMar>
                    <w:top w:w="0" w:type="dxa"/>
                    <w:left w:w="0" w:type="dxa"/>
                    <w:bottom w:w="0" w:type="dxa"/>
                    <w:right w:w="0" w:type="dxa"/>
                  </w:tcMar>
                  <w:vAlign w:val="center"/>
                </w:tcPr>
                <w:p w14:paraId="382DE8A6">
                  <w:pPr>
                    <w:pStyle w:val="15"/>
                    <w:bidi w:val="0"/>
                    <w:rPr>
                      <w:rFonts w:hint="eastAsia"/>
                    </w:rPr>
                  </w:pPr>
                  <w:r>
                    <w:rPr>
                      <w:rFonts w:hint="eastAsia"/>
                      <w:lang w:val="en-US" w:eastAsia="zh-CN"/>
                    </w:rPr>
                    <w:t>7.35</w:t>
                  </w:r>
                </w:p>
              </w:tc>
              <w:tc>
                <w:tcPr>
                  <w:tcW w:w="791" w:type="pct"/>
                  <w:tcBorders>
                    <w:tl2br w:val="nil"/>
                    <w:tr2bl w:val="nil"/>
                  </w:tcBorders>
                  <w:shd w:val="clear" w:color="auto" w:fill="auto"/>
                  <w:tcMar>
                    <w:top w:w="0" w:type="dxa"/>
                    <w:left w:w="0" w:type="dxa"/>
                    <w:bottom w:w="0" w:type="dxa"/>
                    <w:right w:w="0" w:type="dxa"/>
                  </w:tcMar>
                  <w:vAlign w:val="center"/>
                </w:tcPr>
                <w:p w14:paraId="0B086278">
                  <w:pPr>
                    <w:pStyle w:val="15"/>
                    <w:bidi w:val="0"/>
                    <w:rPr>
                      <w:rFonts w:hint="eastAsia"/>
                    </w:rPr>
                  </w:pPr>
                  <w:r>
                    <w:rPr>
                      <w:rFonts w:hint="eastAsia"/>
                      <w:lang w:val="en-US" w:eastAsia="zh-CN"/>
                    </w:rPr>
                    <w:t>无单位</w:t>
                  </w:r>
                </w:p>
              </w:tc>
              <w:tc>
                <w:tcPr>
                  <w:tcW w:w="1841" w:type="pct"/>
                  <w:tcBorders>
                    <w:tl2br w:val="nil"/>
                    <w:tr2bl w:val="nil"/>
                  </w:tcBorders>
                  <w:shd w:val="clear" w:color="auto" w:fill="auto"/>
                  <w:tcMar>
                    <w:top w:w="0" w:type="dxa"/>
                    <w:left w:w="0" w:type="dxa"/>
                    <w:bottom w:w="0" w:type="dxa"/>
                    <w:right w:w="0" w:type="dxa"/>
                  </w:tcMar>
                  <w:vAlign w:val="center"/>
                </w:tcPr>
                <w:p w14:paraId="5490D55C">
                  <w:pPr>
                    <w:pStyle w:val="15"/>
                    <w:bidi w:val="0"/>
                    <w:rPr>
                      <w:rFonts w:hint="eastAsia"/>
                    </w:rPr>
                  </w:pPr>
                </w:p>
              </w:tc>
            </w:tr>
            <w:tr w14:paraId="271FE5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66BE0D50">
                  <w:pPr>
                    <w:pStyle w:val="15"/>
                    <w:bidi w:val="0"/>
                    <w:rPr>
                      <w:rFonts w:hint="eastAsia"/>
                    </w:rPr>
                  </w:pPr>
                  <w:r>
                    <w:rPr>
                      <w:rFonts w:hint="eastAsia"/>
                      <w:lang w:val="en-US" w:eastAsia="zh-CN"/>
                    </w:rPr>
                    <w:t>周转因子</w:t>
                  </w:r>
                </w:p>
              </w:tc>
              <w:tc>
                <w:tcPr>
                  <w:tcW w:w="372" w:type="pct"/>
                  <w:tcBorders>
                    <w:tl2br w:val="nil"/>
                    <w:tr2bl w:val="nil"/>
                  </w:tcBorders>
                  <w:shd w:val="clear" w:color="auto" w:fill="auto"/>
                  <w:tcMar>
                    <w:top w:w="0" w:type="dxa"/>
                    <w:left w:w="0" w:type="dxa"/>
                    <w:bottom w:w="0" w:type="dxa"/>
                    <w:right w:w="0" w:type="dxa"/>
                  </w:tcMar>
                  <w:vAlign w:val="center"/>
                </w:tcPr>
                <w:p w14:paraId="6E394BD3">
                  <w:pPr>
                    <w:pStyle w:val="15"/>
                    <w:bidi w:val="0"/>
                    <w:rPr>
                      <w:rFonts w:hint="eastAsia"/>
                    </w:rPr>
                  </w:pPr>
                  <w:r>
                    <w:rPr>
                      <w:rFonts w:hint="eastAsia"/>
                      <w:lang w:val="en-US" w:eastAsia="zh-CN"/>
                    </w:rPr>
                    <w:t>KN</w:t>
                  </w:r>
                </w:p>
              </w:tc>
              <w:tc>
                <w:tcPr>
                  <w:tcW w:w="1050" w:type="dxa"/>
                  <w:tcBorders>
                    <w:tl2br w:val="nil"/>
                    <w:tr2bl w:val="nil"/>
                  </w:tcBorders>
                  <w:shd w:val="clear" w:color="auto" w:fill="auto"/>
                  <w:tcMar>
                    <w:top w:w="0" w:type="dxa"/>
                    <w:left w:w="0" w:type="dxa"/>
                    <w:bottom w:w="0" w:type="dxa"/>
                    <w:right w:w="0" w:type="dxa"/>
                  </w:tcMar>
                  <w:vAlign w:val="center"/>
                </w:tcPr>
                <w:p w14:paraId="7AE4284C">
                  <w:pPr>
                    <w:pStyle w:val="15"/>
                    <w:bidi w:val="0"/>
                    <w:rPr>
                      <w:rFonts w:hint="eastAsia"/>
                    </w:rPr>
                  </w:pPr>
                  <w:r>
                    <w:rPr>
                      <w:rFonts w:hint="eastAsia"/>
                      <w:lang w:val="en-US" w:eastAsia="zh-CN"/>
                    </w:rPr>
                    <w:t>1</w:t>
                  </w:r>
                </w:p>
              </w:tc>
              <w:tc>
                <w:tcPr>
                  <w:tcW w:w="791" w:type="pct"/>
                  <w:tcBorders>
                    <w:tl2br w:val="nil"/>
                    <w:tr2bl w:val="nil"/>
                  </w:tcBorders>
                  <w:shd w:val="clear" w:color="auto" w:fill="auto"/>
                  <w:tcMar>
                    <w:top w:w="0" w:type="dxa"/>
                    <w:left w:w="0" w:type="dxa"/>
                    <w:bottom w:w="0" w:type="dxa"/>
                    <w:right w:w="0" w:type="dxa"/>
                  </w:tcMar>
                  <w:vAlign w:val="center"/>
                </w:tcPr>
                <w:p w14:paraId="56097A0A">
                  <w:pPr>
                    <w:pStyle w:val="15"/>
                    <w:bidi w:val="0"/>
                    <w:rPr>
                      <w:rFonts w:hint="eastAsia"/>
                    </w:rPr>
                  </w:pPr>
                  <w:r>
                    <w:rPr>
                      <w:rFonts w:hint="eastAsia"/>
                      <w:lang w:val="en-US" w:eastAsia="zh-CN"/>
                    </w:rPr>
                    <w:t>无单位</w:t>
                  </w:r>
                </w:p>
              </w:tc>
              <w:tc>
                <w:tcPr>
                  <w:tcW w:w="1841" w:type="pct"/>
                  <w:tcBorders>
                    <w:tl2br w:val="nil"/>
                    <w:tr2bl w:val="nil"/>
                  </w:tcBorders>
                  <w:shd w:val="clear" w:color="auto" w:fill="auto"/>
                  <w:tcMar>
                    <w:top w:w="0" w:type="dxa"/>
                    <w:left w:w="0" w:type="dxa"/>
                    <w:bottom w:w="0" w:type="dxa"/>
                    <w:right w:w="0" w:type="dxa"/>
                  </w:tcMar>
                  <w:vAlign w:val="center"/>
                </w:tcPr>
                <w:p w14:paraId="214C310E">
                  <w:pPr>
                    <w:pStyle w:val="15"/>
                    <w:bidi w:val="0"/>
                    <w:rPr>
                      <w:rFonts w:hint="eastAsia"/>
                    </w:rPr>
                  </w:pPr>
                  <w:r>
                    <w:rPr>
                      <w:rFonts w:hint="eastAsia"/>
                      <w:lang w:val="en-US" w:eastAsia="zh-CN"/>
                    </w:rPr>
                    <w:t>K&lt;=36，KN=1</w:t>
                  </w:r>
                </w:p>
              </w:tc>
            </w:tr>
            <w:tr w14:paraId="5C6569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5937F9A8">
                  <w:pPr>
                    <w:pStyle w:val="15"/>
                    <w:bidi w:val="0"/>
                    <w:rPr>
                      <w:rFonts w:hint="eastAsia"/>
                    </w:rPr>
                  </w:pPr>
                  <w:r>
                    <w:rPr>
                      <w:rFonts w:hint="eastAsia"/>
                      <w:lang w:val="en-US" w:eastAsia="zh-CN"/>
                    </w:rPr>
                    <w:t>固定顶罐的工作损失</w:t>
                  </w:r>
                </w:p>
              </w:tc>
              <w:tc>
                <w:tcPr>
                  <w:tcW w:w="372" w:type="pct"/>
                  <w:tcBorders>
                    <w:tl2br w:val="nil"/>
                    <w:tr2bl w:val="nil"/>
                  </w:tcBorders>
                  <w:shd w:val="clear" w:color="auto" w:fill="auto"/>
                  <w:tcMar>
                    <w:top w:w="0" w:type="dxa"/>
                    <w:left w:w="0" w:type="dxa"/>
                    <w:bottom w:w="0" w:type="dxa"/>
                    <w:right w:w="0" w:type="dxa"/>
                  </w:tcMar>
                  <w:vAlign w:val="center"/>
                </w:tcPr>
                <w:p w14:paraId="36D51E15">
                  <w:pPr>
                    <w:pStyle w:val="15"/>
                    <w:bidi w:val="0"/>
                    <w:rPr>
                      <w:rFonts w:hint="eastAsia"/>
                    </w:rPr>
                  </w:pPr>
                  <w:r>
                    <w:rPr>
                      <w:rFonts w:hint="eastAsia"/>
                      <w:lang w:val="en-US" w:eastAsia="zh-CN"/>
                    </w:rPr>
                    <w:t>L</w:t>
                  </w:r>
                </w:p>
              </w:tc>
              <w:tc>
                <w:tcPr>
                  <w:tcW w:w="1050" w:type="dxa"/>
                  <w:tcBorders>
                    <w:tl2br w:val="nil"/>
                    <w:tr2bl w:val="nil"/>
                  </w:tcBorders>
                  <w:shd w:val="clear" w:color="auto" w:fill="auto"/>
                  <w:tcMar>
                    <w:top w:w="0" w:type="dxa"/>
                    <w:left w:w="0" w:type="dxa"/>
                    <w:bottom w:w="0" w:type="dxa"/>
                    <w:right w:w="0" w:type="dxa"/>
                  </w:tcMar>
                  <w:vAlign w:val="center"/>
                </w:tcPr>
                <w:p w14:paraId="6FAEF5F0">
                  <w:pPr>
                    <w:pStyle w:val="15"/>
                    <w:bidi w:val="0"/>
                    <w:rPr>
                      <w:rFonts w:hint="eastAsia"/>
                    </w:rPr>
                  </w:pPr>
                  <w:r>
                    <w:rPr>
                      <w:rFonts w:hint="eastAsia"/>
                      <w:lang w:val="en-US" w:eastAsia="zh-CN"/>
                    </w:rPr>
                    <w:t>0.048</w:t>
                  </w:r>
                </w:p>
              </w:tc>
              <w:tc>
                <w:tcPr>
                  <w:tcW w:w="791" w:type="pct"/>
                  <w:tcBorders>
                    <w:tl2br w:val="nil"/>
                    <w:tr2bl w:val="nil"/>
                  </w:tcBorders>
                  <w:shd w:val="clear" w:color="auto" w:fill="auto"/>
                  <w:tcMar>
                    <w:top w:w="0" w:type="dxa"/>
                    <w:left w:w="0" w:type="dxa"/>
                    <w:bottom w:w="0" w:type="dxa"/>
                    <w:right w:w="0" w:type="dxa"/>
                  </w:tcMar>
                  <w:vAlign w:val="center"/>
                </w:tcPr>
                <w:p w14:paraId="4FF7AABE">
                  <w:pPr>
                    <w:pStyle w:val="15"/>
                    <w:bidi w:val="0"/>
                    <w:rPr>
                      <w:rFonts w:hint="eastAsia"/>
                    </w:rPr>
                  </w:pPr>
                  <w:r>
                    <w:rPr>
                      <w:rFonts w:hint="eastAsia"/>
                      <w:lang w:val="en-US" w:eastAsia="zh-CN"/>
                    </w:rPr>
                    <w:t>kg/m</w:t>
                  </w:r>
                  <w:r>
                    <w:rPr>
                      <w:rFonts w:hint="eastAsia"/>
                      <w:vertAlign w:val="superscript"/>
                      <w:lang w:val="en-US" w:eastAsia="zh-CN"/>
                    </w:rPr>
                    <w:t>3</w:t>
                  </w:r>
                  <w:r>
                    <w:rPr>
                      <w:rFonts w:hint="eastAsia"/>
                      <w:lang w:val="en-US" w:eastAsia="zh-CN"/>
                    </w:rPr>
                    <w:t>投入量</w:t>
                  </w:r>
                </w:p>
              </w:tc>
              <w:tc>
                <w:tcPr>
                  <w:tcW w:w="1841" w:type="pct"/>
                  <w:tcBorders>
                    <w:tl2br w:val="nil"/>
                    <w:tr2bl w:val="nil"/>
                  </w:tcBorders>
                  <w:shd w:val="clear" w:color="auto" w:fill="auto"/>
                  <w:tcMar>
                    <w:top w:w="0" w:type="dxa"/>
                    <w:left w:w="0" w:type="dxa"/>
                    <w:bottom w:w="0" w:type="dxa"/>
                    <w:right w:w="0" w:type="dxa"/>
                  </w:tcMar>
                  <w:vAlign w:val="center"/>
                </w:tcPr>
                <w:p w14:paraId="4AFA7B17">
                  <w:pPr>
                    <w:pStyle w:val="15"/>
                    <w:bidi w:val="0"/>
                    <w:rPr>
                      <w:rFonts w:hint="eastAsia"/>
                    </w:rPr>
                  </w:pPr>
                </w:p>
              </w:tc>
            </w:tr>
            <w:tr w14:paraId="2BD3AF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0C398898">
                  <w:pPr>
                    <w:pStyle w:val="15"/>
                    <w:bidi w:val="0"/>
                    <w:rPr>
                      <w:rFonts w:hint="eastAsia"/>
                    </w:rPr>
                  </w:pPr>
                  <w:r>
                    <w:rPr>
                      <w:rFonts w:hint="eastAsia"/>
                      <w:lang w:val="en-US" w:eastAsia="zh-CN"/>
                    </w:rPr>
                    <w:t>本次扩建4座200m</w:t>
                  </w:r>
                  <w:r>
                    <w:rPr>
                      <w:rFonts w:hint="eastAsia"/>
                      <w:vertAlign w:val="superscript"/>
                      <w:lang w:val="en-US" w:eastAsia="zh-CN"/>
                    </w:rPr>
                    <w:t>3</w:t>
                  </w:r>
                  <w:r>
                    <w:rPr>
                      <w:rFonts w:hint="eastAsia"/>
                      <w:lang w:val="en-US" w:eastAsia="zh-CN"/>
                    </w:rPr>
                    <w:t>盐酸储罐周转量</w:t>
                  </w:r>
                </w:p>
              </w:tc>
              <w:tc>
                <w:tcPr>
                  <w:tcW w:w="372" w:type="pct"/>
                  <w:tcBorders>
                    <w:tl2br w:val="nil"/>
                    <w:tr2bl w:val="nil"/>
                  </w:tcBorders>
                  <w:shd w:val="clear" w:color="auto" w:fill="auto"/>
                  <w:tcMar>
                    <w:top w:w="0" w:type="dxa"/>
                    <w:left w:w="0" w:type="dxa"/>
                    <w:bottom w:w="0" w:type="dxa"/>
                    <w:right w:w="0" w:type="dxa"/>
                  </w:tcMar>
                  <w:vAlign w:val="center"/>
                </w:tcPr>
                <w:p w14:paraId="057E964D">
                  <w:pPr>
                    <w:pStyle w:val="15"/>
                    <w:bidi w:val="0"/>
                    <w:rPr>
                      <w:rFonts w:hint="eastAsia"/>
                    </w:rPr>
                  </w:pPr>
                </w:p>
              </w:tc>
              <w:tc>
                <w:tcPr>
                  <w:tcW w:w="1050" w:type="dxa"/>
                  <w:tcBorders>
                    <w:tl2br w:val="nil"/>
                    <w:tr2bl w:val="nil"/>
                  </w:tcBorders>
                  <w:shd w:val="clear" w:color="auto" w:fill="auto"/>
                  <w:tcMar>
                    <w:top w:w="0" w:type="dxa"/>
                    <w:left w:w="0" w:type="dxa"/>
                    <w:bottom w:w="0" w:type="dxa"/>
                    <w:right w:w="0" w:type="dxa"/>
                  </w:tcMar>
                  <w:vAlign w:val="center"/>
                </w:tcPr>
                <w:p w14:paraId="46641E1E">
                  <w:pPr>
                    <w:pStyle w:val="15"/>
                    <w:bidi w:val="0"/>
                    <w:rPr>
                      <w:rFonts w:hint="eastAsia"/>
                    </w:rPr>
                  </w:pPr>
                  <w:r>
                    <w:rPr>
                      <w:rFonts w:hint="eastAsia"/>
                      <w:lang w:val="en-US" w:eastAsia="zh-CN"/>
                    </w:rPr>
                    <w:t>5878.21</w:t>
                  </w:r>
                </w:p>
              </w:tc>
              <w:tc>
                <w:tcPr>
                  <w:tcW w:w="791" w:type="pct"/>
                  <w:tcBorders>
                    <w:tl2br w:val="nil"/>
                    <w:tr2bl w:val="nil"/>
                  </w:tcBorders>
                  <w:shd w:val="clear" w:color="auto" w:fill="auto"/>
                  <w:tcMar>
                    <w:top w:w="0" w:type="dxa"/>
                    <w:left w:w="0" w:type="dxa"/>
                    <w:bottom w:w="0" w:type="dxa"/>
                    <w:right w:w="0" w:type="dxa"/>
                  </w:tcMar>
                  <w:vAlign w:val="center"/>
                </w:tcPr>
                <w:p w14:paraId="2A5B28CC">
                  <w:pPr>
                    <w:pStyle w:val="15"/>
                    <w:bidi w:val="0"/>
                    <w:rPr>
                      <w:rFonts w:hint="eastAsia"/>
                    </w:rPr>
                  </w:pPr>
                  <w:r>
                    <w:rPr>
                      <w:rFonts w:hint="eastAsia"/>
                      <w:lang w:val="en-US" w:eastAsia="zh-CN"/>
                    </w:rPr>
                    <w:t>m</w:t>
                  </w:r>
                  <w:r>
                    <w:rPr>
                      <w:rFonts w:hint="eastAsia"/>
                      <w:vertAlign w:val="superscript"/>
                      <w:lang w:val="en-US" w:eastAsia="zh-CN"/>
                    </w:rPr>
                    <w:t>3</w:t>
                  </w:r>
                </w:p>
              </w:tc>
              <w:tc>
                <w:tcPr>
                  <w:tcW w:w="1841" w:type="pct"/>
                  <w:tcBorders>
                    <w:tl2br w:val="nil"/>
                    <w:tr2bl w:val="nil"/>
                  </w:tcBorders>
                  <w:shd w:val="clear" w:color="auto" w:fill="auto"/>
                  <w:tcMar>
                    <w:top w:w="0" w:type="dxa"/>
                    <w:left w:w="0" w:type="dxa"/>
                    <w:bottom w:w="0" w:type="dxa"/>
                    <w:right w:w="0" w:type="dxa"/>
                  </w:tcMar>
                  <w:vAlign w:val="center"/>
                </w:tcPr>
                <w:p w14:paraId="1DAF59B3">
                  <w:pPr>
                    <w:pStyle w:val="15"/>
                    <w:bidi w:val="0"/>
                    <w:rPr>
                      <w:rFonts w:hint="eastAsia"/>
                    </w:rPr>
                  </w:pPr>
                  <w:r>
                    <w:rPr>
                      <w:rFonts w:hint="eastAsia"/>
                      <w:lang w:val="en-US" w:eastAsia="zh-CN"/>
                    </w:rPr>
                    <w:t>全厂31%盐酸使用量10184t/a，31%盐酸密度以1.155t/m</w:t>
                  </w:r>
                  <w:r>
                    <w:rPr>
                      <w:rFonts w:hint="eastAsia"/>
                      <w:vertAlign w:val="superscript"/>
                      <w:lang w:val="en-US" w:eastAsia="zh-CN"/>
                    </w:rPr>
                    <w:t>3</w:t>
                  </w:r>
                  <w:r>
                    <w:rPr>
                      <w:rFonts w:hint="eastAsia"/>
                      <w:lang w:val="en-US" w:eastAsia="zh-CN"/>
                    </w:rPr>
                    <w:t>计，则盐酸使用容积为8817.32m</w:t>
                  </w:r>
                  <w:r>
                    <w:rPr>
                      <w:rFonts w:hint="eastAsia"/>
                      <w:vertAlign w:val="superscript"/>
                      <w:lang w:val="en-US" w:eastAsia="zh-CN"/>
                    </w:rPr>
                    <w:t>3</w:t>
                  </w:r>
                  <w:r>
                    <w:rPr>
                      <w:rFonts w:hint="eastAsia"/>
                      <w:lang w:val="en-US" w:eastAsia="zh-CN"/>
                    </w:rPr>
                    <w:t>，按照全厂扩建后6座盐酸储罐均投入使用考虑，则本次扩建4座200m</w:t>
                  </w:r>
                  <w:r>
                    <w:rPr>
                      <w:rFonts w:hint="eastAsia"/>
                      <w:vertAlign w:val="superscript"/>
                      <w:lang w:val="en-US" w:eastAsia="zh-CN"/>
                    </w:rPr>
                    <w:t>3</w:t>
                  </w:r>
                  <w:r>
                    <w:rPr>
                      <w:rFonts w:hint="eastAsia"/>
                      <w:lang w:val="en-US" w:eastAsia="zh-CN"/>
                    </w:rPr>
                    <w:t>盐酸储罐的周转量为8817.32÷6×4≈5878.21m</w:t>
                  </w:r>
                  <w:r>
                    <w:rPr>
                      <w:rFonts w:hint="eastAsia"/>
                      <w:vertAlign w:val="superscript"/>
                      <w:lang w:val="en-US" w:eastAsia="zh-CN"/>
                    </w:rPr>
                    <w:t>3</w:t>
                  </w:r>
                </w:p>
              </w:tc>
            </w:tr>
            <w:tr w14:paraId="6D1CE5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27" w:type="pct"/>
                  <w:tcBorders>
                    <w:tl2br w:val="nil"/>
                    <w:tr2bl w:val="nil"/>
                  </w:tcBorders>
                  <w:shd w:val="clear" w:color="auto" w:fill="auto"/>
                  <w:tcMar>
                    <w:top w:w="0" w:type="dxa"/>
                    <w:left w:w="0" w:type="dxa"/>
                    <w:bottom w:w="0" w:type="dxa"/>
                    <w:right w:w="0" w:type="dxa"/>
                  </w:tcMar>
                  <w:vAlign w:val="center"/>
                </w:tcPr>
                <w:p w14:paraId="16865FF1">
                  <w:pPr>
                    <w:pStyle w:val="15"/>
                    <w:bidi w:val="0"/>
                    <w:rPr>
                      <w:rFonts w:hint="eastAsia"/>
                    </w:rPr>
                  </w:pPr>
                  <w:r>
                    <w:rPr>
                      <w:rFonts w:hint="eastAsia"/>
                      <w:lang w:val="en-US" w:eastAsia="zh-CN"/>
                    </w:rPr>
                    <w:t>本次扩建4座200m</w:t>
                  </w:r>
                  <w:r>
                    <w:rPr>
                      <w:rFonts w:hint="eastAsia"/>
                      <w:vertAlign w:val="superscript"/>
                      <w:lang w:val="en-US" w:eastAsia="zh-CN"/>
                    </w:rPr>
                    <w:t>3</w:t>
                  </w:r>
                  <w:r>
                    <w:rPr>
                      <w:rFonts w:hint="eastAsia"/>
                      <w:lang w:val="en-US" w:eastAsia="zh-CN"/>
                    </w:rPr>
                    <w:t>盐酸储罐大呼吸挥发盐酸的量</w:t>
                  </w:r>
                </w:p>
              </w:tc>
              <w:tc>
                <w:tcPr>
                  <w:tcW w:w="372" w:type="pct"/>
                  <w:tcBorders>
                    <w:tl2br w:val="nil"/>
                    <w:tr2bl w:val="nil"/>
                  </w:tcBorders>
                  <w:shd w:val="clear" w:color="auto" w:fill="auto"/>
                  <w:tcMar>
                    <w:top w:w="0" w:type="dxa"/>
                    <w:left w:w="0" w:type="dxa"/>
                    <w:bottom w:w="0" w:type="dxa"/>
                    <w:right w:w="0" w:type="dxa"/>
                  </w:tcMar>
                  <w:vAlign w:val="center"/>
                </w:tcPr>
                <w:p w14:paraId="14D46249">
                  <w:pPr>
                    <w:pStyle w:val="15"/>
                    <w:bidi w:val="0"/>
                    <w:rPr>
                      <w:rFonts w:hint="eastAsia"/>
                    </w:rPr>
                  </w:pPr>
                </w:p>
              </w:tc>
              <w:tc>
                <w:tcPr>
                  <w:tcW w:w="1050" w:type="dxa"/>
                  <w:tcBorders>
                    <w:tl2br w:val="nil"/>
                    <w:tr2bl w:val="nil"/>
                  </w:tcBorders>
                  <w:shd w:val="clear" w:color="auto" w:fill="auto"/>
                  <w:tcMar>
                    <w:top w:w="0" w:type="dxa"/>
                    <w:left w:w="0" w:type="dxa"/>
                    <w:bottom w:w="0" w:type="dxa"/>
                    <w:right w:w="0" w:type="dxa"/>
                  </w:tcMar>
                  <w:vAlign w:val="center"/>
                </w:tcPr>
                <w:p w14:paraId="711D006A">
                  <w:pPr>
                    <w:pStyle w:val="15"/>
                    <w:bidi w:val="0"/>
                    <w:rPr>
                      <w:rFonts w:hint="default"/>
                      <w:lang w:val="en-US"/>
                    </w:rPr>
                  </w:pPr>
                  <w:r>
                    <w:rPr>
                      <w:rFonts w:hint="eastAsia"/>
                      <w:lang w:val="en-US" w:eastAsia="zh-CN"/>
                    </w:rPr>
                    <w:t>282.15</w:t>
                  </w:r>
                </w:p>
              </w:tc>
              <w:tc>
                <w:tcPr>
                  <w:tcW w:w="791" w:type="pct"/>
                  <w:tcBorders>
                    <w:tl2br w:val="nil"/>
                    <w:tr2bl w:val="nil"/>
                  </w:tcBorders>
                  <w:shd w:val="clear" w:color="auto" w:fill="auto"/>
                  <w:tcMar>
                    <w:top w:w="0" w:type="dxa"/>
                    <w:left w:w="0" w:type="dxa"/>
                    <w:bottom w:w="0" w:type="dxa"/>
                    <w:right w:w="0" w:type="dxa"/>
                  </w:tcMar>
                  <w:vAlign w:val="center"/>
                </w:tcPr>
                <w:p w14:paraId="3C7F808A">
                  <w:pPr>
                    <w:pStyle w:val="15"/>
                    <w:bidi w:val="0"/>
                    <w:rPr>
                      <w:rFonts w:hint="eastAsia"/>
                    </w:rPr>
                  </w:pPr>
                  <w:r>
                    <w:rPr>
                      <w:rFonts w:hint="eastAsia"/>
                      <w:lang w:val="en-US" w:eastAsia="zh-CN"/>
                    </w:rPr>
                    <w:t>kg/a</w:t>
                  </w:r>
                </w:p>
              </w:tc>
              <w:tc>
                <w:tcPr>
                  <w:tcW w:w="1841" w:type="pct"/>
                  <w:tcBorders>
                    <w:tl2br w:val="nil"/>
                    <w:tr2bl w:val="nil"/>
                  </w:tcBorders>
                  <w:shd w:val="clear" w:color="auto" w:fill="auto"/>
                  <w:tcMar>
                    <w:top w:w="0" w:type="dxa"/>
                    <w:left w:w="0" w:type="dxa"/>
                    <w:bottom w:w="0" w:type="dxa"/>
                    <w:right w:w="0" w:type="dxa"/>
                  </w:tcMar>
                  <w:vAlign w:val="center"/>
                </w:tcPr>
                <w:p w14:paraId="2AFDF0C3">
                  <w:pPr>
                    <w:pStyle w:val="15"/>
                    <w:bidi w:val="0"/>
                    <w:rPr>
                      <w:rFonts w:hint="eastAsia"/>
                    </w:rPr>
                  </w:pPr>
                </w:p>
              </w:tc>
            </w:tr>
            <w:tr w14:paraId="6856CA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00" w:type="pct"/>
                  <w:gridSpan w:val="5"/>
                  <w:tcBorders>
                    <w:tl2br w:val="nil"/>
                    <w:tr2bl w:val="nil"/>
                  </w:tcBorders>
                  <w:shd w:val="clear" w:color="auto" w:fill="auto"/>
                  <w:tcMar>
                    <w:top w:w="0" w:type="dxa"/>
                    <w:left w:w="0" w:type="dxa"/>
                    <w:bottom w:w="0" w:type="dxa"/>
                    <w:right w:w="0" w:type="dxa"/>
                  </w:tcMar>
                  <w:vAlign w:val="center"/>
                </w:tcPr>
                <w:p w14:paraId="58D365B1">
                  <w:pPr>
                    <w:pStyle w:val="15"/>
                    <w:bidi w:val="0"/>
                    <w:jc w:val="both"/>
                    <w:rPr>
                      <w:rFonts w:hint="default" w:eastAsia="宋体"/>
                      <w:lang w:val="en-US" w:eastAsia="zh-CN"/>
                    </w:rPr>
                  </w:pPr>
                  <w:r>
                    <w:rPr>
                      <w:rFonts w:hint="eastAsia"/>
                      <w:lang w:val="en-US" w:eastAsia="zh-CN"/>
                    </w:rPr>
                    <w:t>注：数值保留小数点后2位有效数字。</w:t>
                  </w:r>
                </w:p>
              </w:tc>
            </w:tr>
          </w:tbl>
          <w:p w14:paraId="20A833A6">
            <w:pPr>
              <w:bidi w:val="0"/>
              <w:rPr>
                <w:rFonts w:hint="eastAsia"/>
                <w:lang w:val="en-US" w:eastAsia="zh-CN"/>
              </w:rPr>
            </w:pPr>
            <w:r>
              <w:rPr>
                <w:rFonts w:hint="eastAsia"/>
                <w:lang w:val="en-US" w:eastAsia="zh-CN"/>
              </w:rPr>
              <w:t>（3）本次扩建项目HCl产生量</w:t>
            </w:r>
          </w:p>
          <w:p w14:paraId="29E5CB24">
            <w:pPr>
              <w:bidi w:val="0"/>
              <w:rPr>
                <w:rFonts w:hint="eastAsia"/>
                <w:lang w:val="en-US" w:eastAsia="zh-CN"/>
              </w:rPr>
            </w:pPr>
            <w:r>
              <w:rPr>
                <w:rFonts w:hint="eastAsia"/>
                <w:lang w:val="en-US" w:eastAsia="zh-CN"/>
              </w:rPr>
              <w:t>根据核算，本项目扩建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盐酸储罐在全厂生产运营中，储罐小呼吸</w:t>
            </w:r>
            <w:r>
              <w:rPr>
                <w:rFonts w:hint="eastAsia"/>
                <w:lang w:val="en-US" w:eastAsia="zh-CN"/>
              </w:rPr>
              <w:t>HCl产生量为57.80kg/a；</w:t>
            </w:r>
            <w:r>
              <w:rPr>
                <w:rFonts w:hint="eastAsia"/>
                <w:color w:val="auto"/>
                <w:lang w:val="en-US" w:eastAsia="zh-CN"/>
              </w:rPr>
              <w:t>储罐大呼吸</w:t>
            </w:r>
            <w:r>
              <w:rPr>
                <w:rFonts w:hint="eastAsia"/>
                <w:lang w:val="en-US" w:eastAsia="zh-CN"/>
              </w:rPr>
              <w:t>HCl产生量为282.15kg/a，合计本项目HCl产生量339.95kg/a。</w:t>
            </w:r>
          </w:p>
          <w:p w14:paraId="1C01A541">
            <w:pPr>
              <w:pStyle w:val="16"/>
              <w:bidi w:val="0"/>
              <w:rPr>
                <w:rFonts w:hint="eastAsia"/>
                <w:lang w:val="en-US" w:eastAsia="zh-CN"/>
              </w:rPr>
            </w:pPr>
            <w:r>
              <w:t xml:space="preserve">表 </w:t>
            </w:r>
            <w:r>
              <w:fldChar w:fldCharType="begin"/>
            </w:r>
            <w:r>
              <w:instrText xml:space="preserve"> SEQ 表 \* ARABIC </w:instrText>
            </w:r>
            <w:r>
              <w:fldChar w:fldCharType="separate"/>
            </w:r>
            <w:r>
              <w:t>31</w:t>
            </w:r>
            <w:r>
              <w:fldChar w:fldCharType="end"/>
            </w:r>
            <w:r>
              <w:rPr>
                <w:rFonts w:hint="eastAsia"/>
                <w:lang w:val="en-US" w:eastAsia="zh-CN"/>
              </w:rPr>
              <w:t xml:space="preserve">  本项目盐酸储罐挥发HCl计算结果一览表</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14"/>
              <w:gridCol w:w="1269"/>
              <w:gridCol w:w="1182"/>
              <w:gridCol w:w="1241"/>
              <w:gridCol w:w="3884"/>
            </w:tblGrid>
            <w:tr w14:paraId="5AD9E4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99" w:type="pct"/>
                  <w:tcBorders>
                    <w:tl2br w:val="nil"/>
                    <w:tr2bl w:val="nil"/>
                  </w:tcBorders>
                  <w:shd w:val="clear" w:color="auto" w:fill="auto"/>
                  <w:tcMar>
                    <w:top w:w="0" w:type="dxa"/>
                    <w:left w:w="0" w:type="dxa"/>
                    <w:bottom w:w="0" w:type="dxa"/>
                    <w:right w:w="0" w:type="dxa"/>
                  </w:tcMar>
                  <w:vAlign w:val="center"/>
                </w:tcPr>
                <w:p w14:paraId="2B6CB543">
                  <w:pPr>
                    <w:pStyle w:val="15"/>
                    <w:bidi w:val="0"/>
                    <w:rPr>
                      <w:rFonts w:hint="eastAsia"/>
                    </w:rPr>
                  </w:pPr>
                  <w:r>
                    <w:rPr>
                      <w:rFonts w:hint="eastAsia"/>
                      <w:lang w:val="en-US" w:eastAsia="zh-CN"/>
                    </w:rPr>
                    <w:t>序号</w:t>
                  </w:r>
                </w:p>
              </w:tc>
              <w:tc>
                <w:tcPr>
                  <w:tcW w:w="804" w:type="pct"/>
                  <w:tcBorders>
                    <w:tl2br w:val="nil"/>
                    <w:tr2bl w:val="nil"/>
                  </w:tcBorders>
                  <w:shd w:val="clear" w:color="auto" w:fill="auto"/>
                  <w:tcMar>
                    <w:top w:w="0" w:type="dxa"/>
                    <w:left w:w="0" w:type="dxa"/>
                    <w:bottom w:w="0" w:type="dxa"/>
                    <w:right w:w="0" w:type="dxa"/>
                  </w:tcMar>
                  <w:vAlign w:val="center"/>
                </w:tcPr>
                <w:p w14:paraId="48FB9DC0">
                  <w:pPr>
                    <w:pStyle w:val="15"/>
                    <w:bidi w:val="0"/>
                    <w:rPr>
                      <w:rFonts w:hint="eastAsia"/>
                    </w:rPr>
                  </w:pPr>
                  <w:r>
                    <w:rPr>
                      <w:rFonts w:hint="eastAsia"/>
                      <w:lang w:val="en-US" w:eastAsia="zh-CN"/>
                    </w:rPr>
                    <w:t>装置名称</w:t>
                  </w:r>
                </w:p>
              </w:tc>
              <w:tc>
                <w:tcPr>
                  <w:tcW w:w="749" w:type="pct"/>
                  <w:tcBorders>
                    <w:tl2br w:val="nil"/>
                    <w:tr2bl w:val="nil"/>
                  </w:tcBorders>
                  <w:shd w:val="clear" w:color="auto" w:fill="auto"/>
                  <w:tcMar>
                    <w:top w:w="0" w:type="dxa"/>
                    <w:left w:w="0" w:type="dxa"/>
                    <w:bottom w:w="0" w:type="dxa"/>
                    <w:right w:w="0" w:type="dxa"/>
                  </w:tcMar>
                  <w:vAlign w:val="center"/>
                </w:tcPr>
                <w:p w14:paraId="7FC823DF">
                  <w:pPr>
                    <w:pStyle w:val="15"/>
                    <w:bidi w:val="0"/>
                    <w:rPr>
                      <w:rFonts w:hint="eastAsia"/>
                    </w:rPr>
                  </w:pPr>
                  <w:r>
                    <w:rPr>
                      <w:rFonts w:hint="eastAsia"/>
                      <w:lang w:val="en-US" w:eastAsia="zh-CN"/>
                    </w:rPr>
                    <w:t>产污环节</w:t>
                  </w:r>
                </w:p>
              </w:tc>
              <w:tc>
                <w:tcPr>
                  <w:tcW w:w="786" w:type="pct"/>
                  <w:tcBorders>
                    <w:tl2br w:val="nil"/>
                    <w:tr2bl w:val="nil"/>
                  </w:tcBorders>
                  <w:shd w:val="clear" w:color="auto" w:fill="auto"/>
                  <w:tcMar>
                    <w:top w:w="0" w:type="dxa"/>
                    <w:left w:w="0" w:type="dxa"/>
                    <w:bottom w:w="0" w:type="dxa"/>
                    <w:right w:w="0" w:type="dxa"/>
                  </w:tcMar>
                  <w:vAlign w:val="center"/>
                </w:tcPr>
                <w:p w14:paraId="2E4887F4">
                  <w:pPr>
                    <w:pStyle w:val="15"/>
                    <w:bidi w:val="0"/>
                    <w:rPr>
                      <w:rFonts w:hint="eastAsia"/>
                    </w:rPr>
                  </w:pPr>
                  <w:r>
                    <w:rPr>
                      <w:rFonts w:hint="eastAsia"/>
                      <w:lang w:val="en-US" w:eastAsia="zh-CN"/>
                    </w:rPr>
                    <w:t>排放量（</w:t>
                  </w:r>
                  <w:r>
                    <w:rPr>
                      <w:lang w:val="en-US" w:eastAsia="zh-CN"/>
                    </w:rPr>
                    <w:t>kg/a）</w:t>
                  </w:r>
                </w:p>
              </w:tc>
              <w:tc>
                <w:tcPr>
                  <w:tcW w:w="2460" w:type="pct"/>
                  <w:tcBorders>
                    <w:tl2br w:val="nil"/>
                    <w:tr2bl w:val="nil"/>
                  </w:tcBorders>
                  <w:shd w:val="clear" w:color="auto" w:fill="auto"/>
                  <w:tcMar>
                    <w:top w:w="0" w:type="dxa"/>
                    <w:left w:w="0" w:type="dxa"/>
                    <w:bottom w:w="0" w:type="dxa"/>
                    <w:right w:w="0" w:type="dxa"/>
                  </w:tcMar>
                  <w:vAlign w:val="center"/>
                </w:tcPr>
                <w:p w14:paraId="08B11BFD">
                  <w:pPr>
                    <w:pStyle w:val="15"/>
                    <w:bidi w:val="0"/>
                    <w:rPr>
                      <w:rFonts w:hint="eastAsia"/>
                    </w:rPr>
                  </w:pPr>
                  <w:r>
                    <w:rPr>
                      <w:rFonts w:hint="eastAsia"/>
                      <w:lang w:val="en-US" w:eastAsia="zh-CN"/>
                    </w:rPr>
                    <w:t>收集设施</w:t>
                  </w:r>
                </w:p>
              </w:tc>
            </w:tr>
            <w:tr w14:paraId="1E2FA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99" w:type="pct"/>
                  <w:vMerge w:val="restart"/>
                  <w:tcBorders>
                    <w:tl2br w:val="nil"/>
                    <w:tr2bl w:val="nil"/>
                  </w:tcBorders>
                  <w:shd w:val="clear" w:color="auto" w:fill="auto"/>
                  <w:tcMar>
                    <w:top w:w="0" w:type="dxa"/>
                    <w:left w:w="0" w:type="dxa"/>
                    <w:bottom w:w="0" w:type="dxa"/>
                    <w:right w:w="0" w:type="dxa"/>
                  </w:tcMar>
                  <w:vAlign w:val="center"/>
                </w:tcPr>
                <w:p w14:paraId="63809754">
                  <w:pPr>
                    <w:pStyle w:val="15"/>
                    <w:bidi w:val="0"/>
                    <w:rPr>
                      <w:rFonts w:hint="default"/>
                    </w:rPr>
                  </w:pPr>
                  <w:r>
                    <w:rPr>
                      <w:rFonts w:hint="default"/>
                      <w:lang w:val="en-US" w:eastAsia="zh-CN"/>
                    </w:rPr>
                    <w:t>1</w:t>
                  </w:r>
                </w:p>
              </w:tc>
              <w:tc>
                <w:tcPr>
                  <w:tcW w:w="804" w:type="pct"/>
                  <w:vMerge w:val="restart"/>
                  <w:tcBorders>
                    <w:tl2br w:val="nil"/>
                    <w:tr2bl w:val="nil"/>
                  </w:tcBorders>
                  <w:shd w:val="clear" w:color="auto" w:fill="auto"/>
                  <w:tcMar>
                    <w:top w:w="0" w:type="dxa"/>
                    <w:left w:w="0" w:type="dxa"/>
                    <w:bottom w:w="0" w:type="dxa"/>
                    <w:right w:w="0" w:type="dxa"/>
                  </w:tcMar>
                  <w:vAlign w:val="center"/>
                </w:tcPr>
                <w:p w14:paraId="45B2A40D">
                  <w:pPr>
                    <w:pStyle w:val="15"/>
                    <w:bidi w:val="0"/>
                    <w:rPr>
                      <w:rFonts w:hint="eastAsia"/>
                    </w:rPr>
                  </w:pPr>
                  <w:r>
                    <w:rPr>
                      <w:rFonts w:hint="eastAsia"/>
                      <w:lang w:val="en-US" w:eastAsia="zh-CN"/>
                    </w:rPr>
                    <w:t>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p>
              </w:tc>
              <w:tc>
                <w:tcPr>
                  <w:tcW w:w="749" w:type="pct"/>
                  <w:tcBorders>
                    <w:tl2br w:val="nil"/>
                    <w:tr2bl w:val="nil"/>
                  </w:tcBorders>
                  <w:shd w:val="clear" w:color="auto" w:fill="auto"/>
                  <w:tcMar>
                    <w:top w:w="0" w:type="dxa"/>
                    <w:left w:w="0" w:type="dxa"/>
                    <w:bottom w:w="0" w:type="dxa"/>
                    <w:right w:w="0" w:type="dxa"/>
                  </w:tcMar>
                  <w:vAlign w:val="center"/>
                </w:tcPr>
                <w:p w14:paraId="60C896DD">
                  <w:pPr>
                    <w:pStyle w:val="15"/>
                    <w:bidi w:val="0"/>
                    <w:rPr>
                      <w:rFonts w:hint="eastAsia"/>
                    </w:rPr>
                  </w:pPr>
                  <w:r>
                    <w:rPr>
                      <w:rFonts w:hint="eastAsia"/>
                      <w:lang w:val="en-US" w:eastAsia="zh-CN"/>
                    </w:rPr>
                    <w:t>储罐小呼吸</w:t>
                  </w:r>
                </w:p>
              </w:tc>
              <w:tc>
                <w:tcPr>
                  <w:tcW w:w="786" w:type="pct"/>
                  <w:tcBorders>
                    <w:tl2br w:val="nil"/>
                    <w:tr2bl w:val="nil"/>
                  </w:tcBorders>
                  <w:shd w:val="clear" w:color="auto" w:fill="auto"/>
                  <w:tcMar>
                    <w:top w:w="0" w:type="dxa"/>
                    <w:left w:w="0" w:type="dxa"/>
                    <w:bottom w:w="0" w:type="dxa"/>
                    <w:right w:w="0" w:type="dxa"/>
                  </w:tcMar>
                  <w:vAlign w:val="center"/>
                </w:tcPr>
                <w:p w14:paraId="6DC9EB39">
                  <w:pPr>
                    <w:pStyle w:val="15"/>
                    <w:bidi w:val="0"/>
                    <w:rPr>
                      <w:rFonts w:hint="default"/>
                    </w:rPr>
                  </w:pPr>
                  <w:r>
                    <w:rPr>
                      <w:rFonts w:hint="default"/>
                      <w:lang w:val="en-US" w:eastAsia="zh-CN"/>
                    </w:rPr>
                    <w:t>57.80</w:t>
                  </w:r>
                </w:p>
              </w:tc>
              <w:tc>
                <w:tcPr>
                  <w:tcW w:w="2460" w:type="pct"/>
                  <w:vMerge w:val="restart"/>
                  <w:tcBorders>
                    <w:tl2br w:val="nil"/>
                    <w:tr2bl w:val="nil"/>
                  </w:tcBorders>
                  <w:shd w:val="clear" w:color="auto" w:fill="auto"/>
                  <w:tcMar>
                    <w:top w:w="0" w:type="dxa"/>
                    <w:left w:w="0" w:type="dxa"/>
                    <w:bottom w:w="0" w:type="dxa"/>
                    <w:right w:w="0" w:type="dxa"/>
                  </w:tcMar>
                  <w:vAlign w:val="center"/>
                </w:tcPr>
                <w:p w14:paraId="3044F4FE">
                  <w:pPr>
                    <w:pStyle w:val="15"/>
                    <w:bidi w:val="0"/>
                    <w:rPr>
                      <w:rFonts w:hint="eastAsia"/>
                    </w:rPr>
                  </w:pPr>
                  <w:r>
                    <w:rPr>
                      <w:rFonts w:hint="eastAsia"/>
                      <w:lang w:val="en-US" w:eastAsia="zh-CN"/>
                    </w:rPr>
                    <w:t>呼吸阀连接收集管道，输送至厂区现有TA002（三级降膜水吸收+三级填料碱吸收+一级碱喷淋）废气处理装置处理</w:t>
                  </w:r>
                </w:p>
              </w:tc>
            </w:tr>
            <w:tr w14:paraId="1B0FCF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9" w:type="pct"/>
                  <w:vMerge w:val="continue"/>
                  <w:tcBorders>
                    <w:tl2br w:val="nil"/>
                    <w:tr2bl w:val="nil"/>
                  </w:tcBorders>
                  <w:shd w:val="clear" w:color="auto" w:fill="auto"/>
                  <w:tcMar>
                    <w:top w:w="0" w:type="dxa"/>
                    <w:left w:w="0" w:type="dxa"/>
                    <w:bottom w:w="0" w:type="dxa"/>
                    <w:right w:w="0" w:type="dxa"/>
                  </w:tcMar>
                  <w:vAlign w:val="center"/>
                </w:tcPr>
                <w:p w14:paraId="0C34432A">
                  <w:pPr>
                    <w:pStyle w:val="15"/>
                    <w:bidi w:val="0"/>
                    <w:rPr>
                      <w:rFonts w:hint="default"/>
                    </w:rPr>
                  </w:pPr>
                </w:p>
              </w:tc>
              <w:tc>
                <w:tcPr>
                  <w:tcW w:w="804" w:type="pct"/>
                  <w:vMerge w:val="continue"/>
                  <w:tcBorders>
                    <w:tl2br w:val="nil"/>
                    <w:tr2bl w:val="nil"/>
                  </w:tcBorders>
                  <w:shd w:val="clear" w:color="auto" w:fill="auto"/>
                  <w:tcMar>
                    <w:top w:w="0" w:type="dxa"/>
                    <w:left w:w="0" w:type="dxa"/>
                    <w:bottom w:w="0" w:type="dxa"/>
                    <w:right w:w="0" w:type="dxa"/>
                  </w:tcMar>
                  <w:vAlign w:val="center"/>
                </w:tcPr>
                <w:p w14:paraId="62E6B62A">
                  <w:pPr>
                    <w:pStyle w:val="15"/>
                    <w:bidi w:val="0"/>
                    <w:rPr>
                      <w:rFonts w:hint="eastAsia"/>
                    </w:rPr>
                  </w:pPr>
                </w:p>
              </w:tc>
              <w:tc>
                <w:tcPr>
                  <w:tcW w:w="749" w:type="pct"/>
                  <w:tcBorders>
                    <w:tl2br w:val="nil"/>
                    <w:tr2bl w:val="nil"/>
                  </w:tcBorders>
                  <w:shd w:val="clear" w:color="auto" w:fill="auto"/>
                  <w:tcMar>
                    <w:top w:w="0" w:type="dxa"/>
                    <w:left w:w="0" w:type="dxa"/>
                    <w:bottom w:w="0" w:type="dxa"/>
                    <w:right w:w="0" w:type="dxa"/>
                  </w:tcMar>
                  <w:vAlign w:val="center"/>
                </w:tcPr>
                <w:p w14:paraId="30883527">
                  <w:pPr>
                    <w:pStyle w:val="15"/>
                    <w:bidi w:val="0"/>
                    <w:rPr>
                      <w:rFonts w:hint="eastAsia"/>
                    </w:rPr>
                  </w:pPr>
                  <w:r>
                    <w:rPr>
                      <w:rFonts w:hint="eastAsia"/>
                      <w:lang w:val="en-US" w:eastAsia="zh-CN"/>
                    </w:rPr>
                    <w:t>储罐大呼吸</w:t>
                  </w:r>
                </w:p>
              </w:tc>
              <w:tc>
                <w:tcPr>
                  <w:tcW w:w="786" w:type="pct"/>
                  <w:tcBorders>
                    <w:tl2br w:val="nil"/>
                    <w:tr2bl w:val="nil"/>
                  </w:tcBorders>
                  <w:shd w:val="clear" w:color="auto" w:fill="auto"/>
                  <w:tcMar>
                    <w:top w:w="0" w:type="dxa"/>
                    <w:left w:w="0" w:type="dxa"/>
                    <w:bottom w:w="0" w:type="dxa"/>
                    <w:right w:w="0" w:type="dxa"/>
                  </w:tcMar>
                  <w:vAlign w:val="center"/>
                </w:tcPr>
                <w:p w14:paraId="18DDA366">
                  <w:pPr>
                    <w:pStyle w:val="15"/>
                    <w:bidi w:val="0"/>
                    <w:rPr>
                      <w:rFonts w:hint="default"/>
                    </w:rPr>
                  </w:pPr>
                  <w:r>
                    <w:rPr>
                      <w:rFonts w:hint="default"/>
                      <w:lang w:val="en-US" w:eastAsia="zh-CN"/>
                    </w:rPr>
                    <w:t>282.15</w:t>
                  </w:r>
                </w:p>
              </w:tc>
              <w:tc>
                <w:tcPr>
                  <w:tcW w:w="2460" w:type="pct"/>
                  <w:vMerge w:val="continue"/>
                  <w:tcBorders>
                    <w:tl2br w:val="nil"/>
                    <w:tr2bl w:val="nil"/>
                  </w:tcBorders>
                  <w:shd w:val="clear" w:color="auto" w:fill="auto"/>
                  <w:tcMar>
                    <w:top w:w="0" w:type="dxa"/>
                    <w:left w:w="0" w:type="dxa"/>
                    <w:bottom w:w="0" w:type="dxa"/>
                    <w:right w:w="0" w:type="dxa"/>
                  </w:tcMar>
                  <w:vAlign w:val="center"/>
                </w:tcPr>
                <w:p w14:paraId="5B94E6DE">
                  <w:pPr>
                    <w:pStyle w:val="15"/>
                    <w:bidi w:val="0"/>
                    <w:rPr>
                      <w:rFonts w:hint="eastAsia"/>
                    </w:rPr>
                  </w:pPr>
                </w:p>
              </w:tc>
            </w:tr>
            <w:tr w14:paraId="59A815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9" w:type="pct"/>
                  <w:vMerge w:val="continue"/>
                  <w:tcBorders>
                    <w:tl2br w:val="nil"/>
                    <w:tr2bl w:val="nil"/>
                  </w:tcBorders>
                  <w:shd w:val="clear" w:color="auto" w:fill="auto"/>
                  <w:tcMar>
                    <w:top w:w="0" w:type="dxa"/>
                    <w:left w:w="0" w:type="dxa"/>
                    <w:bottom w:w="0" w:type="dxa"/>
                    <w:right w:w="0" w:type="dxa"/>
                  </w:tcMar>
                  <w:vAlign w:val="center"/>
                </w:tcPr>
                <w:p w14:paraId="6B327D20">
                  <w:pPr>
                    <w:pStyle w:val="15"/>
                    <w:bidi w:val="0"/>
                    <w:rPr>
                      <w:rFonts w:hint="default"/>
                    </w:rPr>
                  </w:pPr>
                </w:p>
              </w:tc>
              <w:tc>
                <w:tcPr>
                  <w:tcW w:w="804" w:type="pct"/>
                  <w:vMerge w:val="continue"/>
                  <w:tcBorders>
                    <w:tl2br w:val="nil"/>
                    <w:tr2bl w:val="nil"/>
                  </w:tcBorders>
                  <w:shd w:val="clear" w:color="auto" w:fill="auto"/>
                  <w:tcMar>
                    <w:top w:w="0" w:type="dxa"/>
                    <w:left w:w="0" w:type="dxa"/>
                    <w:bottom w:w="0" w:type="dxa"/>
                    <w:right w:w="0" w:type="dxa"/>
                  </w:tcMar>
                  <w:vAlign w:val="center"/>
                </w:tcPr>
                <w:p w14:paraId="29A1C6B3">
                  <w:pPr>
                    <w:pStyle w:val="15"/>
                    <w:bidi w:val="0"/>
                    <w:rPr>
                      <w:rFonts w:hint="eastAsia"/>
                    </w:rPr>
                  </w:pPr>
                </w:p>
              </w:tc>
              <w:tc>
                <w:tcPr>
                  <w:tcW w:w="749" w:type="pct"/>
                  <w:tcBorders>
                    <w:tl2br w:val="nil"/>
                    <w:tr2bl w:val="nil"/>
                  </w:tcBorders>
                  <w:shd w:val="clear" w:color="auto" w:fill="auto"/>
                  <w:tcMar>
                    <w:top w:w="0" w:type="dxa"/>
                    <w:left w:w="0" w:type="dxa"/>
                    <w:bottom w:w="0" w:type="dxa"/>
                    <w:right w:w="0" w:type="dxa"/>
                  </w:tcMar>
                  <w:vAlign w:val="center"/>
                </w:tcPr>
                <w:p w14:paraId="5C0628E2">
                  <w:pPr>
                    <w:pStyle w:val="15"/>
                    <w:bidi w:val="0"/>
                    <w:rPr>
                      <w:rFonts w:hint="eastAsia"/>
                    </w:rPr>
                  </w:pPr>
                  <w:r>
                    <w:rPr>
                      <w:rFonts w:hint="eastAsia"/>
                      <w:lang w:val="en-US" w:eastAsia="zh-CN"/>
                    </w:rPr>
                    <w:t>合计</w:t>
                  </w:r>
                </w:p>
              </w:tc>
              <w:tc>
                <w:tcPr>
                  <w:tcW w:w="786" w:type="pct"/>
                  <w:tcBorders>
                    <w:tl2br w:val="nil"/>
                    <w:tr2bl w:val="nil"/>
                  </w:tcBorders>
                  <w:shd w:val="clear" w:color="auto" w:fill="auto"/>
                  <w:tcMar>
                    <w:top w:w="0" w:type="dxa"/>
                    <w:left w:w="0" w:type="dxa"/>
                    <w:bottom w:w="0" w:type="dxa"/>
                    <w:right w:w="0" w:type="dxa"/>
                  </w:tcMar>
                  <w:vAlign w:val="center"/>
                </w:tcPr>
                <w:p w14:paraId="5CB1B191">
                  <w:pPr>
                    <w:pStyle w:val="15"/>
                    <w:bidi w:val="0"/>
                    <w:rPr>
                      <w:rFonts w:hint="default"/>
                    </w:rPr>
                  </w:pPr>
                  <w:r>
                    <w:rPr>
                      <w:rFonts w:hint="default"/>
                      <w:lang w:val="en-US" w:eastAsia="zh-CN"/>
                    </w:rPr>
                    <w:t>339.95</w:t>
                  </w:r>
                </w:p>
              </w:tc>
              <w:tc>
                <w:tcPr>
                  <w:tcW w:w="2460" w:type="pct"/>
                  <w:vMerge w:val="continue"/>
                  <w:tcBorders>
                    <w:tl2br w:val="nil"/>
                    <w:tr2bl w:val="nil"/>
                  </w:tcBorders>
                  <w:shd w:val="clear" w:color="auto" w:fill="auto"/>
                  <w:tcMar>
                    <w:top w:w="0" w:type="dxa"/>
                    <w:left w:w="0" w:type="dxa"/>
                    <w:bottom w:w="0" w:type="dxa"/>
                    <w:right w:w="0" w:type="dxa"/>
                  </w:tcMar>
                  <w:vAlign w:val="center"/>
                </w:tcPr>
                <w:p w14:paraId="66A9A853">
                  <w:pPr>
                    <w:pStyle w:val="15"/>
                    <w:bidi w:val="0"/>
                    <w:rPr>
                      <w:rFonts w:hint="eastAsia"/>
                    </w:rPr>
                  </w:pPr>
                </w:p>
              </w:tc>
            </w:tr>
          </w:tbl>
          <w:p w14:paraId="70C0C8C7">
            <w:pPr>
              <w:pStyle w:val="5"/>
              <w:bidi w:val="0"/>
              <w:rPr>
                <w:rFonts w:hint="eastAsia"/>
                <w:lang w:val="en-US" w:eastAsia="zh-CN"/>
              </w:rPr>
            </w:pPr>
            <w:r>
              <w:rPr>
                <w:rFonts w:hint="eastAsia"/>
                <w:lang w:val="en-US" w:eastAsia="zh-CN"/>
              </w:rPr>
              <w:t>1.1.2本项目</w:t>
            </w:r>
            <w:r>
              <w:rPr>
                <w:rFonts w:hint="eastAsia"/>
                <w:spacing w:val="-4"/>
                <w:lang w:eastAsia="zh-CN"/>
              </w:rPr>
              <w:t>HCl</w:t>
            </w:r>
            <w:r>
              <w:rPr>
                <w:rFonts w:hint="eastAsia"/>
                <w:lang w:val="en-US" w:eastAsia="zh-CN"/>
              </w:rPr>
              <w:t>排放量</w:t>
            </w:r>
          </w:p>
          <w:p w14:paraId="3DE0B0BB">
            <w:pPr>
              <w:rPr>
                <w:rFonts w:hint="eastAsia"/>
                <w:color w:val="auto"/>
                <w:lang w:val="en-US" w:eastAsia="zh-CN"/>
              </w:rPr>
            </w:pPr>
            <w:r>
              <w:rPr>
                <w:rFonts w:hint="eastAsia"/>
                <w:lang w:val="en-US" w:eastAsia="zh-CN"/>
              </w:rPr>
              <w:t>本项目扩建</w:t>
            </w:r>
            <w:r>
              <w:rPr>
                <w:rFonts w:hint="eastAsia"/>
                <w:color w:val="auto"/>
                <w:lang w:val="en-US" w:eastAsia="zh-CN"/>
              </w:rPr>
              <w:t>4座</w:t>
            </w:r>
            <w:r>
              <w:rPr>
                <w:rFonts w:hint="eastAsia"/>
                <w:lang w:val="en-US" w:eastAsia="zh-CN"/>
              </w:rPr>
              <w:t>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盐酸储罐呼吸阀连接收集管道，末端至厂区现有TA002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废气处理装置处理，收集效率以100%计。</w:t>
            </w:r>
          </w:p>
          <w:p w14:paraId="572B5137">
            <w:pPr>
              <w:rPr>
                <w:rFonts w:hint="default"/>
                <w:color w:val="auto"/>
                <w:lang w:val="en-US" w:eastAsia="zh-CN"/>
              </w:rPr>
            </w:pPr>
            <w:r>
              <w:rPr>
                <w:rFonts w:hint="eastAsia"/>
                <w:color w:val="auto"/>
                <w:lang w:val="en-US" w:eastAsia="zh-CN"/>
              </w:rPr>
              <w:t>根据《新疆久塔锦晨生物科技股份有限公司精细化工项目（一期）竣工环境保护验收监测报告》中对TA002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废气处理装置实测进出口HCl浓度监测结果，HCl平均去除效率为78.56%，本次保守取值TA002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）对</w:t>
            </w:r>
            <w:r>
              <w:rPr>
                <w:rFonts w:hint="eastAsia"/>
                <w:color w:val="auto"/>
                <w:lang w:val="en-US" w:eastAsia="zh-CN"/>
              </w:rPr>
              <w:t>HCl去除效率为70%，估算本项目HCl排放量0.10t/a。</w:t>
            </w:r>
          </w:p>
          <w:p w14:paraId="4C951265">
            <w:pPr>
              <w:pStyle w:val="16"/>
              <w:bidi w:val="0"/>
              <w:rPr>
                <w:rFonts w:hint="default"/>
                <w:color w:val="auto"/>
                <w:lang w:val="en-US" w:eastAsia="zh-CN"/>
              </w:rPr>
            </w:pPr>
            <w:r>
              <w:t xml:space="preserve">表 </w:t>
            </w:r>
            <w:r>
              <w:fldChar w:fldCharType="begin"/>
            </w:r>
            <w:r>
              <w:instrText xml:space="preserve"> SEQ 表 \* ARABIC </w:instrText>
            </w:r>
            <w:r>
              <w:fldChar w:fldCharType="separate"/>
            </w:r>
            <w:r>
              <w:t>32</w:t>
            </w:r>
            <w:r>
              <w:fldChar w:fldCharType="end"/>
            </w:r>
            <w:r>
              <w:rPr>
                <w:rFonts w:hint="eastAsia"/>
                <w:lang w:val="en-US" w:eastAsia="zh-CN"/>
              </w:rPr>
              <w:t xml:space="preserve">  本项目</w:t>
            </w:r>
            <w:r>
              <w:rPr>
                <w:rFonts w:hint="eastAsia"/>
                <w:color w:val="auto"/>
                <w:lang w:val="en-US" w:eastAsia="zh-CN"/>
              </w:rPr>
              <w:t>HCl产生及排放情况</w:t>
            </w:r>
          </w:p>
          <w:tbl>
            <w:tblPr>
              <w:tblStyle w:val="11"/>
              <w:tblW w:w="0" w:type="auto"/>
              <w:tblInd w:w="-3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98"/>
              <w:gridCol w:w="316"/>
              <w:gridCol w:w="406"/>
              <w:gridCol w:w="652"/>
              <w:gridCol w:w="703"/>
              <w:gridCol w:w="331"/>
              <w:gridCol w:w="529"/>
              <w:gridCol w:w="346"/>
              <w:gridCol w:w="193"/>
              <w:gridCol w:w="406"/>
              <w:gridCol w:w="598"/>
              <w:gridCol w:w="703"/>
              <w:gridCol w:w="423"/>
              <w:gridCol w:w="550"/>
              <w:gridCol w:w="474"/>
              <w:gridCol w:w="377"/>
              <w:gridCol w:w="388"/>
            </w:tblGrid>
            <w:tr w14:paraId="1B7C0C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13" w:type="dxa"/>
                  <w:vMerge w:val="restart"/>
                  <w:tcBorders>
                    <w:tl2br w:val="nil"/>
                    <w:tr2bl w:val="nil"/>
                  </w:tcBorders>
                  <w:shd w:val="clear" w:color="auto" w:fill="auto"/>
                  <w:tcMar>
                    <w:top w:w="0" w:type="dxa"/>
                    <w:left w:w="0" w:type="dxa"/>
                    <w:bottom w:w="0" w:type="dxa"/>
                    <w:right w:w="0" w:type="dxa"/>
                  </w:tcMar>
                  <w:vAlign w:val="center"/>
                </w:tcPr>
                <w:p w14:paraId="25FCD7FB">
                  <w:pPr>
                    <w:pStyle w:val="15"/>
                    <w:bidi w:val="0"/>
                    <w:rPr>
                      <w:rFonts w:hint="eastAsia"/>
                    </w:rPr>
                  </w:pPr>
                  <w:r>
                    <w:rPr>
                      <w:rFonts w:hint="eastAsia"/>
                      <w:lang w:val="en-US" w:eastAsia="zh-CN"/>
                    </w:rPr>
                    <w:t>污染源</w:t>
                  </w:r>
                </w:p>
              </w:tc>
              <w:tc>
                <w:tcPr>
                  <w:tcW w:w="272" w:type="dxa"/>
                  <w:vMerge w:val="restart"/>
                  <w:tcBorders>
                    <w:tl2br w:val="nil"/>
                    <w:tr2bl w:val="nil"/>
                  </w:tcBorders>
                  <w:shd w:val="clear" w:color="auto" w:fill="auto"/>
                  <w:tcMar>
                    <w:top w:w="0" w:type="dxa"/>
                    <w:left w:w="0" w:type="dxa"/>
                    <w:bottom w:w="0" w:type="dxa"/>
                    <w:right w:w="0" w:type="dxa"/>
                  </w:tcMar>
                  <w:vAlign w:val="center"/>
                </w:tcPr>
                <w:p w14:paraId="258EB313">
                  <w:pPr>
                    <w:pStyle w:val="15"/>
                    <w:bidi w:val="0"/>
                    <w:rPr>
                      <w:rFonts w:hint="eastAsia"/>
                    </w:rPr>
                  </w:pPr>
                  <w:r>
                    <w:rPr>
                      <w:rFonts w:hint="eastAsia"/>
                      <w:lang w:val="en-US" w:eastAsia="zh-CN"/>
                    </w:rPr>
                    <w:t>污染物</w:t>
                  </w:r>
                </w:p>
              </w:tc>
              <w:tc>
                <w:tcPr>
                  <w:tcW w:w="1637" w:type="dxa"/>
                  <w:gridSpan w:val="4"/>
                  <w:tcBorders>
                    <w:tl2br w:val="nil"/>
                    <w:tr2bl w:val="nil"/>
                  </w:tcBorders>
                  <w:shd w:val="clear" w:color="auto" w:fill="auto"/>
                  <w:tcMar>
                    <w:top w:w="0" w:type="dxa"/>
                    <w:left w:w="0" w:type="dxa"/>
                    <w:bottom w:w="0" w:type="dxa"/>
                    <w:right w:w="0" w:type="dxa"/>
                  </w:tcMar>
                  <w:vAlign w:val="center"/>
                </w:tcPr>
                <w:p w14:paraId="4512B4DD">
                  <w:pPr>
                    <w:pStyle w:val="15"/>
                    <w:bidi w:val="0"/>
                    <w:rPr>
                      <w:rFonts w:hint="eastAsia"/>
                    </w:rPr>
                  </w:pPr>
                  <w:r>
                    <w:rPr>
                      <w:rFonts w:hint="eastAsia"/>
                      <w:lang w:val="en-US" w:eastAsia="zh-CN"/>
                    </w:rPr>
                    <w:t>污染物产生</w:t>
                  </w:r>
                </w:p>
              </w:tc>
              <w:tc>
                <w:tcPr>
                  <w:tcW w:w="1991" w:type="dxa"/>
                  <w:gridSpan w:val="2"/>
                  <w:tcBorders>
                    <w:tl2br w:val="nil"/>
                    <w:tr2bl w:val="nil"/>
                  </w:tcBorders>
                  <w:shd w:val="clear" w:color="auto" w:fill="auto"/>
                  <w:tcMar>
                    <w:top w:w="0" w:type="dxa"/>
                    <w:left w:w="0" w:type="dxa"/>
                    <w:bottom w:w="0" w:type="dxa"/>
                    <w:right w:w="0" w:type="dxa"/>
                  </w:tcMar>
                  <w:vAlign w:val="center"/>
                </w:tcPr>
                <w:p w14:paraId="18A0DCDC">
                  <w:pPr>
                    <w:pStyle w:val="15"/>
                    <w:bidi w:val="0"/>
                    <w:rPr>
                      <w:rFonts w:hint="eastAsia"/>
                    </w:rPr>
                  </w:pPr>
                  <w:r>
                    <w:rPr>
                      <w:rFonts w:hint="eastAsia"/>
                      <w:lang w:val="en-US" w:eastAsia="zh-CN"/>
                    </w:rPr>
                    <w:t>治理措施</w:t>
                  </w:r>
                </w:p>
              </w:tc>
              <w:tc>
                <w:tcPr>
                  <w:tcW w:w="1924" w:type="dxa"/>
                  <w:gridSpan w:val="5"/>
                  <w:tcBorders>
                    <w:tl2br w:val="nil"/>
                    <w:tr2bl w:val="nil"/>
                  </w:tcBorders>
                  <w:shd w:val="clear" w:color="auto" w:fill="auto"/>
                  <w:tcMar>
                    <w:top w:w="0" w:type="dxa"/>
                    <w:left w:w="0" w:type="dxa"/>
                    <w:bottom w:w="0" w:type="dxa"/>
                    <w:right w:w="0" w:type="dxa"/>
                  </w:tcMar>
                  <w:vAlign w:val="center"/>
                </w:tcPr>
                <w:p w14:paraId="0A3005E1">
                  <w:pPr>
                    <w:pStyle w:val="15"/>
                    <w:bidi w:val="0"/>
                    <w:rPr>
                      <w:rFonts w:hint="eastAsia"/>
                    </w:rPr>
                  </w:pPr>
                  <w:r>
                    <w:rPr>
                      <w:rFonts w:hint="eastAsia"/>
                      <w:lang w:val="en-US" w:eastAsia="zh-CN"/>
                    </w:rPr>
                    <w:t>污染物排放</w:t>
                  </w:r>
                </w:p>
              </w:tc>
              <w:tc>
                <w:tcPr>
                  <w:tcW w:w="1000" w:type="dxa"/>
                  <w:gridSpan w:val="3"/>
                  <w:tcBorders>
                    <w:tl2br w:val="nil"/>
                    <w:tr2bl w:val="nil"/>
                  </w:tcBorders>
                  <w:shd w:val="clear" w:color="auto" w:fill="auto"/>
                  <w:tcMar>
                    <w:top w:w="0" w:type="dxa"/>
                    <w:left w:w="0" w:type="dxa"/>
                    <w:bottom w:w="0" w:type="dxa"/>
                    <w:right w:w="0" w:type="dxa"/>
                  </w:tcMar>
                  <w:vAlign w:val="center"/>
                </w:tcPr>
                <w:p w14:paraId="62846798">
                  <w:pPr>
                    <w:pStyle w:val="15"/>
                    <w:bidi w:val="0"/>
                    <w:rPr>
                      <w:rFonts w:hint="eastAsia"/>
                    </w:rPr>
                  </w:pPr>
                  <w:r>
                    <w:rPr>
                      <w:rFonts w:hint="eastAsia"/>
                      <w:lang w:val="en-US" w:eastAsia="zh-CN"/>
                    </w:rPr>
                    <w:t>排气筒</w:t>
                  </w:r>
                </w:p>
              </w:tc>
              <w:tc>
                <w:tcPr>
                  <w:tcW w:w="276" w:type="dxa"/>
                  <w:vMerge w:val="restart"/>
                  <w:tcBorders>
                    <w:tl2br w:val="nil"/>
                    <w:tr2bl w:val="nil"/>
                  </w:tcBorders>
                  <w:shd w:val="clear" w:color="auto" w:fill="auto"/>
                  <w:tcMar>
                    <w:top w:w="0" w:type="dxa"/>
                    <w:left w:w="0" w:type="dxa"/>
                    <w:bottom w:w="0" w:type="dxa"/>
                    <w:right w:w="0" w:type="dxa"/>
                  </w:tcMar>
                  <w:vAlign w:val="center"/>
                </w:tcPr>
                <w:p w14:paraId="636067CC">
                  <w:pPr>
                    <w:pStyle w:val="15"/>
                    <w:bidi w:val="0"/>
                    <w:rPr>
                      <w:rFonts w:hint="eastAsia"/>
                    </w:rPr>
                  </w:pPr>
                  <w:r>
                    <w:rPr>
                      <w:rFonts w:hint="eastAsia"/>
                      <w:lang w:val="en-US" w:eastAsia="zh-CN"/>
                    </w:rPr>
                    <w:t>排放</w:t>
                  </w:r>
                  <w:r>
                    <w:rPr>
                      <w:rFonts w:hint="eastAsia"/>
                      <w:lang w:val="en-US" w:eastAsia="zh-CN"/>
                    </w:rPr>
                    <w:br w:type="textWrapping"/>
                  </w:r>
                  <w:r>
                    <w:rPr>
                      <w:rFonts w:hint="eastAsia"/>
                      <w:lang w:val="en-US" w:eastAsia="zh-CN"/>
                    </w:rPr>
                    <w:t>时间/h</w:t>
                  </w:r>
                </w:p>
              </w:tc>
            </w:tr>
            <w:tr w14:paraId="72B0E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3" w:type="dxa"/>
                  <w:vMerge w:val="continue"/>
                  <w:tcBorders>
                    <w:tl2br w:val="nil"/>
                    <w:tr2bl w:val="nil"/>
                  </w:tcBorders>
                  <w:shd w:val="clear" w:color="auto" w:fill="auto"/>
                  <w:tcMar>
                    <w:top w:w="0" w:type="dxa"/>
                    <w:left w:w="0" w:type="dxa"/>
                    <w:bottom w:w="0" w:type="dxa"/>
                    <w:right w:w="0" w:type="dxa"/>
                  </w:tcMar>
                  <w:vAlign w:val="center"/>
                </w:tcPr>
                <w:p w14:paraId="32098A11">
                  <w:pPr>
                    <w:pStyle w:val="15"/>
                    <w:bidi w:val="0"/>
                    <w:rPr>
                      <w:rFonts w:hint="eastAsia"/>
                    </w:rPr>
                  </w:pPr>
                </w:p>
              </w:tc>
              <w:tc>
                <w:tcPr>
                  <w:tcW w:w="272" w:type="dxa"/>
                  <w:vMerge w:val="continue"/>
                  <w:tcBorders>
                    <w:tl2br w:val="nil"/>
                    <w:tr2bl w:val="nil"/>
                  </w:tcBorders>
                  <w:shd w:val="clear" w:color="auto" w:fill="auto"/>
                  <w:tcMar>
                    <w:top w:w="0" w:type="dxa"/>
                    <w:left w:w="0" w:type="dxa"/>
                    <w:bottom w:w="0" w:type="dxa"/>
                    <w:right w:w="0" w:type="dxa"/>
                  </w:tcMar>
                  <w:vAlign w:val="center"/>
                </w:tcPr>
                <w:p w14:paraId="36AC3DC3">
                  <w:pPr>
                    <w:pStyle w:val="15"/>
                    <w:bidi w:val="0"/>
                    <w:rPr>
                      <w:rFonts w:hint="eastAsia"/>
                    </w:rPr>
                  </w:pPr>
                </w:p>
              </w:tc>
              <w:tc>
                <w:tcPr>
                  <w:tcW w:w="380" w:type="dxa"/>
                  <w:vMerge w:val="restart"/>
                  <w:tcBorders>
                    <w:tl2br w:val="nil"/>
                    <w:tr2bl w:val="nil"/>
                  </w:tcBorders>
                  <w:shd w:val="clear" w:color="auto" w:fill="auto"/>
                  <w:tcMar>
                    <w:top w:w="0" w:type="dxa"/>
                    <w:left w:w="0" w:type="dxa"/>
                    <w:bottom w:w="0" w:type="dxa"/>
                    <w:right w:w="0" w:type="dxa"/>
                  </w:tcMar>
                  <w:vAlign w:val="center"/>
                </w:tcPr>
                <w:p w14:paraId="59260E24">
                  <w:pPr>
                    <w:pStyle w:val="15"/>
                    <w:bidi w:val="0"/>
                    <w:rPr>
                      <w:rFonts w:hint="eastAsia"/>
                    </w:rPr>
                  </w:pPr>
                  <w:r>
                    <w:rPr>
                      <w:rFonts w:hint="eastAsia"/>
                      <w:lang w:val="en-US" w:eastAsia="zh-CN"/>
                    </w:rPr>
                    <w:t>废气产生量</w:t>
                  </w:r>
                  <w:r>
                    <w:rPr>
                      <w:lang w:val="en-US" w:eastAsia="zh-CN"/>
                    </w:rPr>
                    <w:t>/m</w:t>
                  </w:r>
                  <w:r>
                    <w:rPr>
                      <w:vertAlign w:val="superscript"/>
                      <w:lang w:val="en-US" w:eastAsia="zh-CN"/>
                    </w:rPr>
                    <w:t>3</w:t>
                  </w:r>
                  <w:r>
                    <w:rPr>
                      <w:lang w:val="en-US" w:eastAsia="zh-CN"/>
                    </w:rPr>
                    <w:t>/h</w:t>
                  </w:r>
                </w:p>
              </w:tc>
              <w:tc>
                <w:tcPr>
                  <w:tcW w:w="399" w:type="dxa"/>
                  <w:tcBorders>
                    <w:tl2br w:val="nil"/>
                    <w:tr2bl w:val="nil"/>
                  </w:tcBorders>
                  <w:shd w:val="clear" w:color="auto" w:fill="auto"/>
                  <w:tcMar>
                    <w:top w:w="0" w:type="dxa"/>
                    <w:left w:w="0" w:type="dxa"/>
                    <w:bottom w:w="0" w:type="dxa"/>
                    <w:right w:w="0" w:type="dxa"/>
                  </w:tcMar>
                  <w:vAlign w:val="center"/>
                </w:tcPr>
                <w:p w14:paraId="192BF788">
                  <w:pPr>
                    <w:pStyle w:val="15"/>
                    <w:bidi w:val="0"/>
                    <w:rPr>
                      <w:rFonts w:hint="eastAsia"/>
                    </w:rPr>
                  </w:pPr>
                  <w:r>
                    <w:rPr>
                      <w:rFonts w:hint="eastAsia"/>
                      <w:lang w:val="en-US" w:eastAsia="zh-CN"/>
                    </w:rPr>
                    <w:t>产生浓度</w:t>
                  </w:r>
                  <w:r>
                    <w:rPr>
                      <w:lang w:val="en-US" w:eastAsia="zh-CN"/>
                    </w:rPr>
                    <w:t>/</w:t>
                  </w:r>
                </w:p>
              </w:tc>
              <w:tc>
                <w:tcPr>
                  <w:tcW w:w="496" w:type="dxa"/>
                  <w:vMerge w:val="restart"/>
                  <w:tcBorders>
                    <w:tl2br w:val="nil"/>
                    <w:tr2bl w:val="nil"/>
                  </w:tcBorders>
                  <w:shd w:val="clear" w:color="auto" w:fill="auto"/>
                  <w:tcMar>
                    <w:top w:w="0" w:type="dxa"/>
                    <w:left w:w="0" w:type="dxa"/>
                    <w:bottom w:w="0" w:type="dxa"/>
                    <w:right w:w="0" w:type="dxa"/>
                  </w:tcMar>
                  <w:vAlign w:val="center"/>
                </w:tcPr>
                <w:p w14:paraId="6B4F4791">
                  <w:pPr>
                    <w:pStyle w:val="15"/>
                    <w:bidi w:val="0"/>
                    <w:rPr>
                      <w:rFonts w:hint="eastAsia"/>
                    </w:rPr>
                  </w:pPr>
                  <w:r>
                    <w:rPr>
                      <w:rFonts w:hint="eastAsia"/>
                      <w:lang w:val="en-US" w:eastAsia="zh-CN"/>
                    </w:rPr>
                    <w:t>产生速率</w:t>
                  </w:r>
                  <w:r>
                    <w:rPr>
                      <w:lang w:val="en-US" w:eastAsia="zh-CN"/>
                    </w:rPr>
                    <w:t>/</w:t>
                  </w:r>
                  <w:r>
                    <w:rPr>
                      <w:rFonts w:hint="eastAsia"/>
                      <w:lang w:val="en-US" w:eastAsia="zh-CN"/>
                    </w:rPr>
                    <w:t>（</w:t>
                  </w:r>
                  <w:r>
                    <w:rPr>
                      <w:lang w:val="en-US" w:eastAsia="zh-CN"/>
                    </w:rPr>
                    <w:t>kg/h</w:t>
                  </w:r>
                  <w:r>
                    <w:rPr>
                      <w:rFonts w:hint="eastAsia"/>
                      <w:lang w:val="en-US" w:eastAsia="zh-CN"/>
                    </w:rPr>
                    <w:t>）</w:t>
                  </w:r>
                </w:p>
              </w:tc>
              <w:tc>
                <w:tcPr>
                  <w:tcW w:w="362" w:type="dxa"/>
                  <w:tcBorders>
                    <w:tl2br w:val="nil"/>
                    <w:tr2bl w:val="nil"/>
                  </w:tcBorders>
                  <w:shd w:val="clear" w:color="auto" w:fill="auto"/>
                  <w:tcMar>
                    <w:top w:w="0" w:type="dxa"/>
                    <w:left w:w="0" w:type="dxa"/>
                    <w:bottom w:w="0" w:type="dxa"/>
                    <w:right w:w="0" w:type="dxa"/>
                  </w:tcMar>
                  <w:vAlign w:val="center"/>
                </w:tcPr>
                <w:p w14:paraId="607D6A95">
                  <w:pPr>
                    <w:pStyle w:val="15"/>
                    <w:bidi w:val="0"/>
                    <w:rPr>
                      <w:rFonts w:hint="eastAsia"/>
                    </w:rPr>
                  </w:pPr>
                  <w:r>
                    <w:rPr>
                      <w:rFonts w:hint="eastAsia"/>
                      <w:lang w:val="en-US" w:eastAsia="zh-CN"/>
                    </w:rPr>
                    <w:t>产生量</w:t>
                  </w:r>
                  <w:r>
                    <w:rPr>
                      <w:lang w:val="en-US" w:eastAsia="zh-CN"/>
                    </w:rPr>
                    <w:t>/</w:t>
                  </w:r>
                </w:p>
              </w:tc>
              <w:tc>
                <w:tcPr>
                  <w:tcW w:w="1684" w:type="dxa"/>
                  <w:vMerge w:val="restart"/>
                  <w:tcBorders>
                    <w:tl2br w:val="nil"/>
                    <w:tr2bl w:val="nil"/>
                  </w:tcBorders>
                  <w:shd w:val="clear" w:color="auto" w:fill="auto"/>
                  <w:tcMar>
                    <w:top w:w="0" w:type="dxa"/>
                    <w:left w:w="0" w:type="dxa"/>
                    <w:bottom w:w="0" w:type="dxa"/>
                    <w:right w:w="0" w:type="dxa"/>
                  </w:tcMar>
                  <w:vAlign w:val="center"/>
                </w:tcPr>
                <w:p w14:paraId="4CA9E2F1">
                  <w:pPr>
                    <w:pStyle w:val="15"/>
                    <w:bidi w:val="0"/>
                    <w:rPr>
                      <w:rFonts w:hint="eastAsia"/>
                    </w:rPr>
                  </w:pPr>
                  <w:r>
                    <w:rPr>
                      <w:rFonts w:hint="eastAsia"/>
                      <w:lang w:val="en-US" w:eastAsia="zh-CN"/>
                    </w:rPr>
                    <w:t>工艺</w:t>
                  </w:r>
                </w:p>
              </w:tc>
              <w:tc>
                <w:tcPr>
                  <w:tcW w:w="307" w:type="dxa"/>
                  <w:vMerge w:val="restart"/>
                  <w:tcBorders>
                    <w:tl2br w:val="nil"/>
                    <w:tr2bl w:val="nil"/>
                  </w:tcBorders>
                  <w:shd w:val="clear" w:color="auto" w:fill="auto"/>
                  <w:tcMar>
                    <w:top w:w="0" w:type="dxa"/>
                    <w:left w:w="0" w:type="dxa"/>
                    <w:bottom w:w="0" w:type="dxa"/>
                    <w:right w:w="0" w:type="dxa"/>
                  </w:tcMar>
                  <w:vAlign w:val="center"/>
                </w:tcPr>
                <w:p w14:paraId="0BFCA1F2">
                  <w:pPr>
                    <w:pStyle w:val="15"/>
                    <w:bidi w:val="0"/>
                    <w:rPr>
                      <w:rFonts w:hint="eastAsia"/>
                    </w:rPr>
                  </w:pPr>
                  <w:r>
                    <w:rPr>
                      <w:rFonts w:hint="eastAsia"/>
                      <w:lang w:val="en-US" w:eastAsia="zh-CN"/>
                    </w:rPr>
                    <w:t>效率</w:t>
                  </w:r>
                </w:p>
              </w:tc>
              <w:tc>
                <w:tcPr>
                  <w:tcW w:w="324" w:type="dxa"/>
                  <w:vMerge w:val="restart"/>
                  <w:tcBorders>
                    <w:tl2br w:val="nil"/>
                    <w:tr2bl w:val="nil"/>
                  </w:tcBorders>
                  <w:shd w:val="clear" w:color="auto" w:fill="auto"/>
                  <w:tcMar>
                    <w:top w:w="0" w:type="dxa"/>
                    <w:left w:w="0" w:type="dxa"/>
                    <w:bottom w:w="0" w:type="dxa"/>
                    <w:right w:w="0" w:type="dxa"/>
                  </w:tcMar>
                  <w:vAlign w:val="center"/>
                </w:tcPr>
                <w:p w14:paraId="74CB31BA">
                  <w:pPr>
                    <w:pStyle w:val="15"/>
                    <w:bidi w:val="0"/>
                    <w:rPr>
                      <w:rFonts w:hint="eastAsia"/>
                    </w:rPr>
                  </w:pPr>
                  <w:r>
                    <w:rPr>
                      <w:rFonts w:hint="eastAsia"/>
                      <w:lang w:val="en-US" w:eastAsia="zh-CN"/>
                    </w:rPr>
                    <w:t>核算方法</w:t>
                  </w:r>
                </w:p>
              </w:tc>
              <w:tc>
                <w:tcPr>
                  <w:tcW w:w="380" w:type="dxa"/>
                  <w:vMerge w:val="restart"/>
                  <w:tcBorders>
                    <w:tl2br w:val="nil"/>
                    <w:tr2bl w:val="nil"/>
                  </w:tcBorders>
                  <w:shd w:val="clear" w:color="auto" w:fill="auto"/>
                  <w:tcMar>
                    <w:top w:w="0" w:type="dxa"/>
                    <w:left w:w="0" w:type="dxa"/>
                    <w:bottom w:w="0" w:type="dxa"/>
                    <w:right w:w="0" w:type="dxa"/>
                  </w:tcMar>
                  <w:vAlign w:val="center"/>
                </w:tcPr>
                <w:p w14:paraId="17F21C18">
                  <w:pPr>
                    <w:pStyle w:val="15"/>
                    <w:bidi w:val="0"/>
                    <w:rPr>
                      <w:rFonts w:hint="eastAsia"/>
                    </w:rPr>
                  </w:pPr>
                  <w:r>
                    <w:rPr>
                      <w:rFonts w:hint="eastAsia"/>
                      <w:lang w:val="en-US" w:eastAsia="zh-CN"/>
                    </w:rPr>
                    <w:t>废气产生量</w:t>
                  </w:r>
                  <w:r>
                    <w:rPr>
                      <w:lang w:val="en-US" w:eastAsia="zh-CN"/>
                    </w:rPr>
                    <w:t>/m</w:t>
                  </w:r>
                  <w:r>
                    <w:rPr>
                      <w:vertAlign w:val="superscript"/>
                      <w:lang w:val="en-US" w:eastAsia="zh-CN"/>
                    </w:rPr>
                    <w:t>3</w:t>
                  </w:r>
                  <w:r>
                    <w:rPr>
                      <w:lang w:val="en-US" w:eastAsia="zh-CN"/>
                    </w:rPr>
                    <w:t>/h</w:t>
                  </w:r>
                </w:p>
              </w:tc>
              <w:tc>
                <w:tcPr>
                  <w:tcW w:w="362" w:type="dxa"/>
                  <w:tcBorders>
                    <w:tl2br w:val="nil"/>
                    <w:tr2bl w:val="nil"/>
                  </w:tcBorders>
                  <w:shd w:val="clear" w:color="auto" w:fill="auto"/>
                  <w:tcMar>
                    <w:top w:w="0" w:type="dxa"/>
                    <w:left w:w="0" w:type="dxa"/>
                    <w:bottom w:w="0" w:type="dxa"/>
                    <w:right w:w="0" w:type="dxa"/>
                  </w:tcMar>
                  <w:vAlign w:val="center"/>
                </w:tcPr>
                <w:p w14:paraId="1F9FDF6B">
                  <w:pPr>
                    <w:pStyle w:val="15"/>
                    <w:bidi w:val="0"/>
                    <w:rPr>
                      <w:rFonts w:hint="eastAsia"/>
                    </w:rPr>
                  </w:pPr>
                  <w:r>
                    <w:rPr>
                      <w:rFonts w:hint="eastAsia"/>
                      <w:lang w:val="en-US" w:eastAsia="zh-CN"/>
                    </w:rPr>
                    <w:t>排放浓度</w:t>
                  </w:r>
                </w:p>
              </w:tc>
              <w:tc>
                <w:tcPr>
                  <w:tcW w:w="496" w:type="dxa"/>
                  <w:vMerge w:val="restart"/>
                  <w:tcBorders>
                    <w:tl2br w:val="nil"/>
                    <w:tr2bl w:val="nil"/>
                  </w:tcBorders>
                  <w:shd w:val="clear" w:color="auto" w:fill="auto"/>
                  <w:tcMar>
                    <w:top w:w="0" w:type="dxa"/>
                    <w:left w:w="0" w:type="dxa"/>
                    <w:bottom w:w="0" w:type="dxa"/>
                    <w:right w:w="0" w:type="dxa"/>
                  </w:tcMar>
                  <w:vAlign w:val="center"/>
                </w:tcPr>
                <w:p w14:paraId="6254AB06">
                  <w:pPr>
                    <w:pStyle w:val="15"/>
                    <w:bidi w:val="0"/>
                    <w:rPr>
                      <w:rFonts w:hint="eastAsia"/>
                    </w:rPr>
                  </w:pPr>
                  <w:r>
                    <w:rPr>
                      <w:rFonts w:hint="eastAsia"/>
                      <w:lang w:val="en-US" w:eastAsia="zh-CN"/>
                    </w:rPr>
                    <w:t>排放速率</w:t>
                  </w:r>
                  <w:r>
                    <w:rPr>
                      <w:lang w:val="en-US" w:eastAsia="zh-CN"/>
                    </w:rPr>
                    <w:t>/</w:t>
                  </w:r>
                  <w:r>
                    <w:rPr>
                      <w:rFonts w:hint="eastAsia"/>
                      <w:lang w:val="en-US" w:eastAsia="zh-CN"/>
                    </w:rPr>
                    <w:t>（</w:t>
                  </w:r>
                  <w:r>
                    <w:rPr>
                      <w:lang w:val="en-US" w:eastAsia="zh-CN"/>
                    </w:rPr>
                    <w:t>kg/h</w:t>
                  </w:r>
                  <w:r>
                    <w:rPr>
                      <w:rFonts w:hint="eastAsia"/>
                      <w:lang w:val="en-US" w:eastAsia="zh-CN"/>
                    </w:rPr>
                    <w:t>）</w:t>
                  </w:r>
                </w:p>
              </w:tc>
              <w:tc>
                <w:tcPr>
                  <w:tcW w:w="362" w:type="dxa"/>
                  <w:tcBorders>
                    <w:tl2br w:val="nil"/>
                    <w:tr2bl w:val="nil"/>
                  </w:tcBorders>
                  <w:shd w:val="clear" w:color="auto" w:fill="auto"/>
                  <w:tcMar>
                    <w:top w:w="0" w:type="dxa"/>
                    <w:left w:w="0" w:type="dxa"/>
                    <w:bottom w:w="0" w:type="dxa"/>
                    <w:right w:w="0" w:type="dxa"/>
                  </w:tcMar>
                  <w:vAlign w:val="center"/>
                </w:tcPr>
                <w:p w14:paraId="0A4BB22F">
                  <w:pPr>
                    <w:pStyle w:val="15"/>
                    <w:bidi w:val="0"/>
                    <w:rPr>
                      <w:rFonts w:hint="eastAsia"/>
                    </w:rPr>
                  </w:pPr>
                  <w:r>
                    <w:rPr>
                      <w:rFonts w:hint="eastAsia"/>
                      <w:lang w:val="en-US" w:eastAsia="zh-CN"/>
                    </w:rPr>
                    <w:t>排放量</w:t>
                  </w:r>
                  <w:r>
                    <w:rPr>
                      <w:lang w:val="en-US" w:eastAsia="zh-CN"/>
                    </w:rPr>
                    <w:t>/</w:t>
                  </w:r>
                </w:p>
              </w:tc>
              <w:tc>
                <w:tcPr>
                  <w:tcW w:w="271" w:type="dxa"/>
                  <w:vMerge w:val="restart"/>
                  <w:tcBorders>
                    <w:tl2br w:val="nil"/>
                    <w:tr2bl w:val="nil"/>
                  </w:tcBorders>
                  <w:shd w:val="clear" w:color="auto" w:fill="auto"/>
                  <w:tcMar>
                    <w:top w:w="0" w:type="dxa"/>
                    <w:left w:w="0" w:type="dxa"/>
                    <w:bottom w:w="0" w:type="dxa"/>
                    <w:right w:w="0" w:type="dxa"/>
                  </w:tcMar>
                  <w:vAlign w:val="center"/>
                </w:tcPr>
                <w:p w14:paraId="08E282EC">
                  <w:pPr>
                    <w:pStyle w:val="15"/>
                    <w:bidi w:val="0"/>
                    <w:rPr>
                      <w:rFonts w:hint="eastAsia"/>
                    </w:rPr>
                  </w:pPr>
                  <w:r>
                    <w:rPr>
                      <w:rFonts w:hint="eastAsia"/>
                      <w:lang w:val="en-US" w:eastAsia="zh-CN"/>
                    </w:rPr>
                    <w:t>编号</w:t>
                  </w:r>
                </w:p>
              </w:tc>
              <w:tc>
                <w:tcPr>
                  <w:tcW w:w="273" w:type="dxa"/>
                  <w:vMerge w:val="restart"/>
                  <w:tcBorders>
                    <w:tl2br w:val="nil"/>
                    <w:tr2bl w:val="nil"/>
                  </w:tcBorders>
                  <w:shd w:val="clear" w:color="auto" w:fill="auto"/>
                  <w:tcMar>
                    <w:top w:w="0" w:type="dxa"/>
                    <w:left w:w="0" w:type="dxa"/>
                    <w:bottom w:w="0" w:type="dxa"/>
                    <w:right w:w="0" w:type="dxa"/>
                  </w:tcMar>
                  <w:vAlign w:val="center"/>
                </w:tcPr>
                <w:p w14:paraId="0D5242A1">
                  <w:pPr>
                    <w:pStyle w:val="15"/>
                    <w:bidi w:val="0"/>
                    <w:rPr>
                      <w:rFonts w:hint="eastAsia"/>
                    </w:rPr>
                  </w:pPr>
                  <w:r>
                    <w:rPr>
                      <w:rFonts w:hint="eastAsia"/>
                      <w:lang w:val="en-US" w:eastAsia="zh-CN"/>
                    </w:rPr>
                    <w:t>高度及</w:t>
                  </w:r>
                  <w:r>
                    <w:rPr>
                      <w:rFonts w:hint="eastAsia"/>
                      <w:lang w:val="en-US" w:eastAsia="zh-CN"/>
                    </w:rPr>
                    <w:br w:type="textWrapping"/>
                  </w:r>
                  <w:r>
                    <w:rPr>
                      <w:rFonts w:hint="eastAsia"/>
                      <w:lang w:val="en-US" w:eastAsia="zh-CN"/>
                    </w:rPr>
                    <w:t>内径m</w:t>
                  </w:r>
                </w:p>
              </w:tc>
              <w:tc>
                <w:tcPr>
                  <w:tcW w:w="456" w:type="dxa"/>
                  <w:vMerge w:val="restart"/>
                  <w:tcBorders>
                    <w:tl2br w:val="nil"/>
                    <w:tr2bl w:val="nil"/>
                  </w:tcBorders>
                  <w:shd w:val="clear" w:color="auto" w:fill="auto"/>
                  <w:tcMar>
                    <w:top w:w="0" w:type="dxa"/>
                    <w:left w:w="0" w:type="dxa"/>
                    <w:bottom w:w="0" w:type="dxa"/>
                    <w:right w:w="0" w:type="dxa"/>
                  </w:tcMar>
                  <w:vAlign w:val="center"/>
                </w:tcPr>
                <w:p w14:paraId="5A401A01">
                  <w:pPr>
                    <w:pStyle w:val="15"/>
                    <w:bidi w:val="0"/>
                    <w:rPr>
                      <w:rFonts w:hint="eastAsia"/>
                    </w:rPr>
                  </w:pPr>
                  <w:r>
                    <w:rPr>
                      <w:rFonts w:hint="eastAsia"/>
                      <w:lang w:val="en-US" w:eastAsia="zh-CN"/>
                    </w:rPr>
                    <w:t>温度℃</w:t>
                  </w:r>
                </w:p>
              </w:tc>
              <w:tc>
                <w:tcPr>
                  <w:tcW w:w="276" w:type="dxa"/>
                  <w:vMerge w:val="continue"/>
                  <w:tcBorders>
                    <w:tl2br w:val="nil"/>
                    <w:tr2bl w:val="nil"/>
                  </w:tcBorders>
                  <w:shd w:val="clear" w:color="auto" w:fill="auto"/>
                  <w:tcMar>
                    <w:top w:w="0" w:type="dxa"/>
                    <w:left w:w="0" w:type="dxa"/>
                    <w:bottom w:w="0" w:type="dxa"/>
                    <w:right w:w="0" w:type="dxa"/>
                  </w:tcMar>
                  <w:vAlign w:val="center"/>
                </w:tcPr>
                <w:p w14:paraId="2AF13CB9">
                  <w:pPr>
                    <w:pStyle w:val="15"/>
                    <w:bidi w:val="0"/>
                    <w:rPr>
                      <w:rFonts w:hint="eastAsia"/>
                    </w:rPr>
                  </w:pPr>
                </w:p>
              </w:tc>
            </w:tr>
            <w:tr w14:paraId="11ACD7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3" w:type="dxa"/>
                  <w:vMerge w:val="continue"/>
                  <w:tcBorders>
                    <w:tl2br w:val="nil"/>
                    <w:tr2bl w:val="nil"/>
                  </w:tcBorders>
                  <w:shd w:val="clear" w:color="auto" w:fill="auto"/>
                  <w:tcMar>
                    <w:top w:w="0" w:type="dxa"/>
                    <w:left w:w="0" w:type="dxa"/>
                    <w:bottom w:w="0" w:type="dxa"/>
                    <w:right w:w="0" w:type="dxa"/>
                  </w:tcMar>
                  <w:vAlign w:val="center"/>
                </w:tcPr>
                <w:p w14:paraId="021560AD">
                  <w:pPr>
                    <w:pStyle w:val="15"/>
                    <w:bidi w:val="0"/>
                    <w:rPr>
                      <w:rFonts w:hint="eastAsia"/>
                    </w:rPr>
                  </w:pPr>
                </w:p>
              </w:tc>
              <w:tc>
                <w:tcPr>
                  <w:tcW w:w="272" w:type="dxa"/>
                  <w:vMerge w:val="continue"/>
                  <w:tcBorders>
                    <w:tl2br w:val="nil"/>
                    <w:tr2bl w:val="nil"/>
                  </w:tcBorders>
                  <w:shd w:val="clear" w:color="auto" w:fill="auto"/>
                  <w:tcMar>
                    <w:top w:w="0" w:type="dxa"/>
                    <w:left w:w="0" w:type="dxa"/>
                    <w:bottom w:w="0" w:type="dxa"/>
                    <w:right w:w="0" w:type="dxa"/>
                  </w:tcMar>
                  <w:vAlign w:val="center"/>
                </w:tcPr>
                <w:p w14:paraId="7B4B3BA0">
                  <w:pPr>
                    <w:pStyle w:val="15"/>
                    <w:bidi w:val="0"/>
                    <w:rPr>
                      <w:rFonts w:hint="eastAsia"/>
                    </w:rPr>
                  </w:pPr>
                </w:p>
              </w:tc>
              <w:tc>
                <w:tcPr>
                  <w:tcW w:w="380" w:type="dxa"/>
                  <w:vMerge w:val="continue"/>
                  <w:tcBorders>
                    <w:tl2br w:val="nil"/>
                    <w:tr2bl w:val="nil"/>
                  </w:tcBorders>
                  <w:shd w:val="clear" w:color="auto" w:fill="auto"/>
                  <w:tcMar>
                    <w:top w:w="0" w:type="dxa"/>
                    <w:left w:w="0" w:type="dxa"/>
                    <w:bottom w:w="0" w:type="dxa"/>
                    <w:right w:w="0" w:type="dxa"/>
                  </w:tcMar>
                  <w:vAlign w:val="center"/>
                </w:tcPr>
                <w:p w14:paraId="231AF4D6">
                  <w:pPr>
                    <w:pStyle w:val="15"/>
                    <w:bidi w:val="0"/>
                    <w:rPr>
                      <w:rFonts w:hint="eastAsia"/>
                    </w:rPr>
                  </w:pPr>
                </w:p>
              </w:tc>
              <w:tc>
                <w:tcPr>
                  <w:tcW w:w="399" w:type="dxa"/>
                  <w:tcBorders>
                    <w:tl2br w:val="nil"/>
                    <w:tr2bl w:val="nil"/>
                  </w:tcBorders>
                  <w:shd w:val="clear" w:color="auto" w:fill="auto"/>
                  <w:tcMar>
                    <w:top w:w="0" w:type="dxa"/>
                    <w:left w:w="0" w:type="dxa"/>
                    <w:bottom w:w="0" w:type="dxa"/>
                    <w:right w:w="0" w:type="dxa"/>
                  </w:tcMar>
                  <w:vAlign w:val="center"/>
                </w:tcPr>
                <w:p w14:paraId="1E4730E8">
                  <w:pPr>
                    <w:pStyle w:val="15"/>
                    <w:bidi w:val="0"/>
                    <w:rPr>
                      <w:rFonts w:hint="eastAsia"/>
                    </w:rPr>
                  </w:pPr>
                  <w:r>
                    <w:rPr>
                      <w:rFonts w:hint="eastAsia"/>
                      <w:lang w:val="en-US" w:eastAsia="zh-CN"/>
                    </w:rPr>
                    <w:t>(</w:t>
                  </w:r>
                  <w:r>
                    <w:rPr>
                      <w:lang w:val="en-US" w:eastAsia="zh-CN"/>
                    </w:rPr>
                    <w:t>mg/m3</w:t>
                  </w:r>
                  <w:r>
                    <w:rPr>
                      <w:rFonts w:hint="eastAsia"/>
                      <w:lang w:val="en-US" w:eastAsia="zh-CN"/>
                    </w:rPr>
                    <w:t>)</w:t>
                  </w:r>
                </w:p>
              </w:tc>
              <w:tc>
                <w:tcPr>
                  <w:tcW w:w="496" w:type="dxa"/>
                  <w:vMerge w:val="continue"/>
                  <w:tcBorders>
                    <w:tl2br w:val="nil"/>
                    <w:tr2bl w:val="nil"/>
                  </w:tcBorders>
                  <w:shd w:val="clear" w:color="auto" w:fill="auto"/>
                  <w:tcMar>
                    <w:top w:w="0" w:type="dxa"/>
                    <w:left w:w="0" w:type="dxa"/>
                    <w:bottom w:w="0" w:type="dxa"/>
                    <w:right w:w="0" w:type="dxa"/>
                  </w:tcMar>
                  <w:vAlign w:val="center"/>
                </w:tcPr>
                <w:p w14:paraId="20F8C73D">
                  <w:pPr>
                    <w:pStyle w:val="15"/>
                    <w:bidi w:val="0"/>
                    <w:rPr>
                      <w:rFonts w:hint="eastAsia"/>
                    </w:rPr>
                  </w:pPr>
                </w:p>
              </w:tc>
              <w:tc>
                <w:tcPr>
                  <w:tcW w:w="362" w:type="dxa"/>
                  <w:tcBorders>
                    <w:tl2br w:val="nil"/>
                    <w:tr2bl w:val="nil"/>
                  </w:tcBorders>
                  <w:shd w:val="clear" w:color="auto" w:fill="auto"/>
                  <w:tcMar>
                    <w:top w:w="0" w:type="dxa"/>
                    <w:left w:w="0" w:type="dxa"/>
                    <w:bottom w:w="0" w:type="dxa"/>
                    <w:right w:w="0" w:type="dxa"/>
                  </w:tcMar>
                  <w:vAlign w:val="center"/>
                </w:tcPr>
                <w:p w14:paraId="4D6928ED">
                  <w:pPr>
                    <w:pStyle w:val="15"/>
                    <w:bidi w:val="0"/>
                    <w:rPr>
                      <w:rFonts w:hint="eastAsia"/>
                    </w:rPr>
                  </w:pPr>
                  <w:r>
                    <w:rPr>
                      <w:rFonts w:hint="eastAsia"/>
                      <w:lang w:val="en-US" w:eastAsia="zh-CN"/>
                    </w:rPr>
                    <w:t>(</w:t>
                  </w:r>
                  <w:r>
                    <w:rPr>
                      <w:lang w:val="en-US" w:eastAsia="zh-CN"/>
                    </w:rPr>
                    <w:t>t/a</w:t>
                  </w:r>
                  <w:r>
                    <w:rPr>
                      <w:rFonts w:hint="eastAsia"/>
                      <w:lang w:val="en-US" w:eastAsia="zh-CN"/>
                    </w:rPr>
                    <w:t>)</w:t>
                  </w:r>
                </w:p>
              </w:tc>
              <w:tc>
                <w:tcPr>
                  <w:tcW w:w="1684" w:type="dxa"/>
                  <w:vMerge w:val="continue"/>
                  <w:tcBorders>
                    <w:tl2br w:val="nil"/>
                    <w:tr2bl w:val="nil"/>
                  </w:tcBorders>
                  <w:shd w:val="clear" w:color="auto" w:fill="auto"/>
                  <w:tcMar>
                    <w:top w:w="0" w:type="dxa"/>
                    <w:left w:w="0" w:type="dxa"/>
                    <w:bottom w:w="0" w:type="dxa"/>
                    <w:right w:w="0" w:type="dxa"/>
                  </w:tcMar>
                  <w:vAlign w:val="center"/>
                </w:tcPr>
                <w:p w14:paraId="594B6DF4">
                  <w:pPr>
                    <w:pStyle w:val="15"/>
                    <w:bidi w:val="0"/>
                    <w:rPr>
                      <w:rFonts w:hint="eastAsia"/>
                    </w:rPr>
                  </w:pPr>
                </w:p>
              </w:tc>
              <w:tc>
                <w:tcPr>
                  <w:tcW w:w="307" w:type="dxa"/>
                  <w:vMerge w:val="continue"/>
                  <w:tcBorders>
                    <w:tl2br w:val="nil"/>
                    <w:tr2bl w:val="nil"/>
                  </w:tcBorders>
                  <w:shd w:val="clear" w:color="auto" w:fill="auto"/>
                  <w:tcMar>
                    <w:top w:w="0" w:type="dxa"/>
                    <w:left w:w="0" w:type="dxa"/>
                    <w:bottom w:w="0" w:type="dxa"/>
                    <w:right w:w="0" w:type="dxa"/>
                  </w:tcMar>
                  <w:vAlign w:val="center"/>
                </w:tcPr>
                <w:p w14:paraId="47A144AA">
                  <w:pPr>
                    <w:pStyle w:val="15"/>
                    <w:bidi w:val="0"/>
                    <w:rPr>
                      <w:rFonts w:hint="eastAsia"/>
                    </w:rPr>
                  </w:pPr>
                </w:p>
              </w:tc>
              <w:tc>
                <w:tcPr>
                  <w:tcW w:w="324" w:type="dxa"/>
                  <w:vMerge w:val="continue"/>
                  <w:tcBorders>
                    <w:tl2br w:val="nil"/>
                    <w:tr2bl w:val="nil"/>
                  </w:tcBorders>
                  <w:shd w:val="clear" w:color="auto" w:fill="auto"/>
                  <w:tcMar>
                    <w:top w:w="0" w:type="dxa"/>
                    <w:left w:w="0" w:type="dxa"/>
                    <w:bottom w:w="0" w:type="dxa"/>
                    <w:right w:w="0" w:type="dxa"/>
                  </w:tcMar>
                  <w:vAlign w:val="center"/>
                </w:tcPr>
                <w:p w14:paraId="5660D790">
                  <w:pPr>
                    <w:pStyle w:val="15"/>
                    <w:bidi w:val="0"/>
                    <w:rPr>
                      <w:rFonts w:hint="eastAsia"/>
                    </w:rPr>
                  </w:pPr>
                </w:p>
              </w:tc>
              <w:tc>
                <w:tcPr>
                  <w:tcW w:w="380" w:type="dxa"/>
                  <w:vMerge w:val="continue"/>
                  <w:tcBorders>
                    <w:tl2br w:val="nil"/>
                    <w:tr2bl w:val="nil"/>
                  </w:tcBorders>
                  <w:shd w:val="clear" w:color="auto" w:fill="auto"/>
                  <w:tcMar>
                    <w:top w:w="0" w:type="dxa"/>
                    <w:left w:w="0" w:type="dxa"/>
                    <w:bottom w:w="0" w:type="dxa"/>
                    <w:right w:w="0" w:type="dxa"/>
                  </w:tcMar>
                  <w:vAlign w:val="center"/>
                </w:tcPr>
                <w:p w14:paraId="4EE50870">
                  <w:pPr>
                    <w:pStyle w:val="15"/>
                    <w:bidi w:val="0"/>
                    <w:rPr>
                      <w:rFonts w:hint="eastAsia"/>
                    </w:rPr>
                  </w:pPr>
                </w:p>
              </w:tc>
              <w:tc>
                <w:tcPr>
                  <w:tcW w:w="362" w:type="dxa"/>
                  <w:tcBorders>
                    <w:tl2br w:val="nil"/>
                    <w:tr2bl w:val="nil"/>
                  </w:tcBorders>
                  <w:shd w:val="clear" w:color="auto" w:fill="auto"/>
                  <w:tcMar>
                    <w:top w:w="0" w:type="dxa"/>
                    <w:left w:w="0" w:type="dxa"/>
                    <w:bottom w:w="0" w:type="dxa"/>
                    <w:right w:w="0" w:type="dxa"/>
                  </w:tcMar>
                  <w:vAlign w:val="center"/>
                </w:tcPr>
                <w:p w14:paraId="4AB9EFC9">
                  <w:pPr>
                    <w:pStyle w:val="15"/>
                    <w:bidi w:val="0"/>
                    <w:rPr>
                      <w:rFonts w:hint="eastAsia"/>
                    </w:rPr>
                  </w:pPr>
                  <w:r>
                    <w:rPr>
                      <w:rFonts w:hint="eastAsia"/>
                      <w:lang w:val="en-US" w:eastAsia="zh-CN"/>
                    </w:rPr>
                    <w:t>(</w:t>
                  </w:r>
                  <w:r>
                    <w:rPr>
                      <w:lang w:val="en-US" w:eastAsia="zh-CN"/>
                    </w:rPr>
                    <w:t>mg/m</w:t>
                  </w:r>
                  <w:r>
                    <w:rPr>
                      <w:vertAlign w:val="superscript"/>
                      <w:lang w:val="en-US" w:eastAsia="zh-CN"/>
                    </w:rPr>
                    <w:t>3</w:t>
                  </w:r>
                  <w:r>
                    <w:rPr>
                      <w:rFonts w:hint="eastAsia"/>
                      <w:vertAlign w:val="superscript"/>
                      <w:lang w:val="en-US" w:eastAsia="zh-CN"/>
                    </w:rPr>
                    <w:t>)</w:t>
                  </w:r>
                </w:p>
              </w:tc>
              <w:tc>
                <w:tcPr>
                  <w:tcW w:w="496" w:type="dxa"/>
                  <w:vMerge w:val="continue"/>
                  <w:tcBorders>
                    <w:tl2br w:val="nil"/>
                    <w:tr2bl w:val="nil"/>
                  </w:tcBorders>
                  <w:shd w:val="clear" w:color="auto" w:fill="auto"/>
                  <w:tcMar>
                    <w:top w:w="0" w:type="dxa"/>
                    <w:left w:w="0" w:type="dxa"/>
                    <w:bottom w:w="0" w:type="dxa"/>
                    <w:right w:w="0" w:type="dxa"/>
                  </w:tcMar>
                  <w:vAlign w:val="center"/>
                </w:tcPr>
                <w:p w14:paraId="72FE7CD7">
                  <w:pPr>
                    <w:pStyle w:val="15"/>
                    <w:bidi w:val="0"/>
                    <w:rPr>
                      <w:rFonts w:hint="eastAsia"/>
                    </w:rPr>
                  </w:pPr>
                </w:p>
              </w:tc>
              <w:tc>
                <w:tcPr>
                  <w:tcW w:w="362" w:type="dxa"/>
                  <w:tcBorders>
                    <w:tl2br w:val="nil"/>
                    <w:tr2bl w:val="nil"/>
                  </w:tcBorders>
                  <w:shd w:val="clear" w:color="auto" w:fill="auto"/>
                  <w:tcMar>
                    <w:top w:w="0" w:type="dxa"/>
                    <w:left w:w="0" w:type="dxa"/>
                    <w:bottom w:w="0" w:type="dxa"/>
                    <w:right w:w="0" w:type="dxa"/>
                  </w:tcMar>
                  <w:vAlign w:val="center"/>
                </w:tcPr>
                <w:p w14:paraId="794CFFE5">
                  <w:pPr>
                    <w:pStyle w:val="15"/>
                    <w:bidi w:val="0"/>
                    <w:rPr>
                      <w:rFonts w:hint="eastAsia"/>
                    </w:rPr>
                  </w:pPr>
                  <w:r>
                    <w:rPr>
                      <w:rFonts w:hint="eastAsia"/>
                      <w:lang w:val="en-US" w:eastAsia="zh-CN"/>
                    </w:rPr>
                    <w:t>(</w:t>
                  </w:r>
                  <w:r>
                    <w:rPr>
                      <w:lang w:val="en-US" w:eastAsia="zh-CN"/>
                    </w:rPr>
                    <w:t>t/a</w:t>
                  </w:r>
                  <w:r>
                    <w:rPr>
                      <w:rFonts w:hint="eastAsia"/>
                      <w:lang w:val="en-US" w:eastAsia="zh-CN"/>
                    </w:rPr>
                    <w:t>)</w:t>
                  </w:r>
                </w:p>
              </w:tc>
              <w:tc>
                <w:tcPr>
                  <w:tcW w:w="271" w:type="dxa"/>
                  <w:vMerge w:val="continue"/>
                  <w:tcBorders>
                    <w:tl2br w:val="nil"/>
                    <w:tr2bl w:val="nil"/>
                  </w:tcBorders>
                  <w:shd w:val="clear" w:color="auto" w:fill="auto"/>
                  <w:tcMar>
                    <w:top w:w="0" w:type="dxa"/>
                    <w:left w:w="0" w:type="dxa"/>
                    <w:bottom w:w="0" w:type="dxa"/>
                    <w:right w:w="0" w:type="dxa"/>
                  </w:tcMar>
                  <w:vAlign w:val="center"/>
                </w:tcPr>
                <w:p w14:paraId="1517BA91">
                  <w:pPr>
                    <w:pStyle w:val="15"/>
                    <w:bidi w:val="0"/>
                    <w:rPr>
                      <w:rFonts w:hint="eastAsia"/>
                    </w:rPr>
                  </w:pPr>
                </w:p>
              </w:tc>
              <w:tc>
                <w:tcPr>
                  <w:tcW w:w="273" w:type="dxa"/>
                  <w:vMerge w:val="continue"/>
                  <w:tcBorders>
                    <w:tl2br w:val="nil"/>
                    <w:tr2bl w:val="nil"/>
                  </w:tcBorders>
                  <w:shd w:val="clear" w:color="auto" w:fill="auto"/>
                  <w:tcMar>
                    <w:top w:w="0" w:type="dxa"/>
                    <w:left w:w="0" w:type="dxa"/>
                    <w:bottom w:w="0" w:type="dxa"/>
                    <w:right w:w="0" w:type="dxa"/>
                  </w:tcMar>
                  <w:vAlign w:val="center"/>
                </w:tcPr>
                <w:p w14:paraId="0F2721F6">
                  <w:pPr>
                    <w:pStyle w:val="15"/>
                    <w:bidi w:val="0"/>
                    <w:rPr>
                      <w:rFonts w:hint="eastAsia"/>
                    </w:rPr>
                  </w:pPr>
                </w:p>
              </w:tc>
              <w:tc>
                <w:tcPr>
                  <w:tcW w:w="456" w:type="dxa"/>
                  <w:vMerge w:val="continue"/>
                  <w:tcBorders>
                    <w:tl2br w:val="nil"/>
                    <w:tr2bl w:val="nil"/>
                  </w:tcBorders>
                  <w:shd w:val="clear" w:color="auto" w:fill="auto"/>
                  <w:tcMar>
                    <w:top w:w="0" w:type="dxa"/>
                    <w:left w:w="0" w:type="dxa"/>
                    <w:bottom w:w="0" w:type="dxa"/>
                    <w:right w:w="0" w:type="dxa"/>
                  </w:tcMar>
                  <w:vAlign w:val="center"/>
                </w:tcPr>
                <w:p w14:paraId="601D18CC">
                  <w:pPr>
                    <w:pStyle w:val="15"/>
                    <w:bidi w:val="0"/>
                    <w:rPr>
                      <w:rFonts w:hint="eastAsia"/>
                    </w:rPr>
                  </w:pPr>
                </w:p>
              </w:tc>
              <w:tc>
                <w:tcPr>
                  <w:tcW w:w="276" w:type="dxa"/>
                  <w:vMerge w:val="continue"/>
                  <w:tcBorders>
                    <w:tl2br w:val="nil"/>
                    <w:tr2bl w:val="nil"/>
                  </w:tcBorders>
                  <w:shd w:val="clear" w:color="auto" w:fill="auto"/>
                  <w:tcMar>
                    <w:top w:w="0" w:type="dxa"/>
                    <w:left w:w="0" w:type="dxa"/>
                    <w:bottom w:w="0" w:type="dxa"/>
                    <w:right w:w="0" w:type="dxa"/>
                  </w:tcMar>
                  <w:vAlign w:val="center"/>
                </w:tcPr>
                <w:p w14:paraId="525000C2">
                  <w:pPr>
                    <w:pStyle w:val="15"/>
                    <w:bidi w:val="0"/>
                    <w:rPr>
                      <w:rFonts w:hint="eastAsia"/>
                    </w:rPr>
                  </w:pPr>
                </w:p>
              </w:tc>
            </w:tr>
            <w:tr w14:paraId="0808A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13" w:type="dxa"/>
                  <w:tcBorders>
                    <w:tl2br w:val="nil"/>
                    <w:tr2bl w:val="nil"/>
                  </w:tcBorders>
                  <w:shd w:val="clear" w:color="auto" w:fill="auto"/>
                  <w:tcMar>
                    <w:top w:w="0" w:type="dxa"/>
                    <w:left w:w="0" w:type="dxa"/>
                    <w:bottom w:w="0" w:type="dxa"/>
                    <w:right w:w="0" w:type="dxa"/>
                  </w:tcMar>
                  <w:vAlign w:val="center"/>
                </w:tcPr>
                <w:p w14:paraId="3AC9A0AD">
                  <w:pPr>
                    <w:pStyle w:val="15"/>
                    <w:bidi w:val="0"/>
                    <w:rPr>
                      <w:rFonts w:hint="eastAsia"/>
                    </w:rPr>
                  </w:pPr>
                  <w:r>
                    <w:rPr>
                      <w:rFonts w:hint="eastAsia"/>
                      <w:lang w:val="en-US" w:eastAsia="zh-CN"/>
                    </w:rPr>
                    <w:t>扩建4座200m</w:t>
                  </w:r>
                  <w:r>
                    <w:rPr>
                      <w:rFonts w:hint="eastAsia"/>
                      <w:vertAlign w:val="superscript"/>
                      <w:lang w:val="en-US" w:eastAsia="zh-CN"/>
                    </w:rPr>
                    <w:t>3</w:t>
                  </w:r>
                  <w:r>
                    <w:rPr>
                      <w:rFonts w:hint="eastAsia"/>
                      <w:lang w:val="en-US" w:eastAsia="zh-CN"/>
                    </w:rPr>
                    <w:t>立式固定顶玻璃钢31%盐酸储罐</w:t>
                  </w:r>
                </w:p>
              </w:tc>
              <w:tc>
                <w:tcPr>
                  <w:tcW w:w="272" w:type="dxa"/>
                  <w:tcBorders>
                    <w:tl2br w:val="nil"/>
                    <w:tr2bl w:val="nil"/>
                  </w:tcBorders>
                  <w:shd w:val="clear" w:color="auto" w:fill="auto"/>
                  <w:tcMar>
                    <w:top w:w="0" w:type="dxa"/>
                    <w:left w:w="0" w:type="dxa"/>
                    <w:bottom w:w="0" w:type="dxa"/>
                    <w:right w:w="0" w:type="dxa"/>
                  </w:tcMar>
                  <w:vAlign w:val="center"/>
                </w:tcPr>
                <w:p w14:paraId="63278339">
                  <w:pPr>
                    <w:pStyle w:val="15"/>
                    <w:bidi w:val="0"/>
                    <w:rPr>
                      <w:rFonts w:hint="eastAsia"/>
                    </w:rPr>
                  </w:pPr>
                  <w:r>
                    <w:rPr>
                      <w:rFonts w:hint="eastAsia"/>
                      <w:lang w:val="en-US" w:eastAsia="zh-CN"/>
                    </w:rPr>
                    <w:t>HCl</w:t>
                  </w:r>
                </w:p>
              </w:tc>
              <w:tc>
                <w:tcPr>
                  <w:tcW w:w="380" w:type="dxa"/>
                  <w:tcBorders>
                    <w:tl2br w:val="nil"/>
                    <w:tr2bl w:val="nil"/>
                  </w:tcBorders>
                  <w:shd w:val="clear" w:color="auto" w:fill="auto"/>
                  <w:tcMar>
                    <w:top w:w="0" w:type="dxa"/>
                    <w:left w:w="0" w:type="dxa"/>
                    <w:bottom w:w="0" w:type="dxa"/>
                    <w:right w:w="0" w:type="dxa"/>
                  </w:tcMar>
                  <w:vAlign w:val="center"/>
                </w:tcPr>
                <w:p w14:paraId="4BC9777A">
                  <w:pPr>
                    <w:pStyle w:val="15"/>
                    <w:bidi w:val="0"/>
                    <w:rPr>
                      <w:rFonts w:hint="default"/>
                    </w:rPr>
                  </w:pPr>
                  <w:r>
                    <w:rPr>
                      <w:rFonts w:hint="default"/>
                      <w:lang w:val="en-US" w:eastAsia="zh-CN"/>
                    </w:rPr>
                    <w:t>6218</w:t>
                  </w:r>
                </w:p>
              </w:tc>
              <w:tc>
                <w:tcPr>
                  <w:tcW w:w="399" w:type="dxa"/>
                  <w:tcBorders>
                    <w:tl2br w:val="nil"/>
                    <w:tr2bl w:val="nil"/>
                  </w:tcBorders>
                  <w:shd w:val="clear" w:color="auto" w:fill="auto"/>
                  <w:tcMar>
                    <w:top w:w="0" w:type="dxa"/>
                    <w:left w:w="0" w:type="dxa"/>
                    <w:bottom w:w="0" w:type="dxa"/>
                    <w:right w:w="0" w:type="dxa"/>
                  </w:tcMar>
                  <w:vAlign w:val="center"/>
                </w:tcPr>
                <w:p w14:paraId="53482CF7">
                  <w:pPr>
                    <w:pStyle w:val="15"/>
                    <w:bidi w:val="0"/>
                    <w:rPr>
                      <w:rFonts w:hint="default"/>
                    </w:rPr>
                  </w:pPr>
                  <w:r>
                    <w:rPr>
                      <w:rFonts w:hint="default"/>
                      <w:lang w:val="en-US" w:eastAsia="zh-CN"/>
                    </w:rPr>
                    <w:t>/</w:t>
                  </w:r>
                </w:p>
              </w:tc>
              <w:tc>
                <w:tcPr>
                  <w:tcW w:w="496" w:type="dxa"/>
                  <w:tcBorders>
                    <w:tl2br w:val="nil"/>
                    <w:tr2bl w:val="nil"/>
                  </w:tcBorders>
                  <w:shd w:val="clear" w:color="auto" w:fill="auto"/>
                  <w:tcMar>
                    <w:top w:w="0" w:type="dxa"/>
                    <w:left w:w="0" w:type="dxa"/>
                    <w:bottom w:w="0" w:type="dxa"/>
                    <w:right w:w="0" w:type="dxa"/>
                  </w:tcMar>
                  <w:vAlign w:val="center"/>
                </w:tcPr>
                <w:p w14:paraId="18A5F332">
                  <w:pPr>
                    <w:pStyle w:val="15"/>
                    <w:bidi w:val="0"/>
                    <w:rPr>
                      <w:rFonts w:hint="default" w:eastAsia="宋体"/>
                      <w:lang w:val="en-US" w:eastAsia="zh-CN"/>
                    </w:rPr>
                  </w:pPr>
                  <w:r>
                    <w:rPr>
                      <w:rFonts w:hint="eastAsia"/>
                      <w:lang w:val="en-US" w:eastAsia="zh-CN"/>
                    </w:rPr>
                    <w:t>0.0425</w:t>
                  </w:r>
                </w:p>
              </w:tc>
              <w:tc>
                <w:tcPr>
                  <w:tcW w:w="362" w:type="dxa"/>
                  <w:tcBorders>
                    <w:tl2br w:val="nil"/>
                    <w:tr2bl w:val="nil"/>
                  </w:tcBorders>
                  <w:shd w:val="clear" w:color="auto" w:fill="auto"/>
                  <w:tcMar>
                    <w:top w:w="0" w:type="dxa"/>
                    <w:left w:w="0" w:type="dxa"/>
                    <w:bottom w:w="0" w:type="dxa"/>
                    <w:right w:w="0" w:type="dxa"/>
                  </w:tcMar>
                  <w:vAlign w:val="center"/>
                </w:tcPr>
                <w:p w14:paraId="658229A7">
                  <w:pPr>
                    <w:pStyle w:val="15"/>
                    <w:bidi w:val="0"/>
                    <w:rPr>
                      <w:rFonts w:hint="default"/>
                    </w:rPr>
                  </w:pPr>
                  <w:r>
                    <w:rPr>
                      <w:rFonts w:hint="default"/>
                      <w:lang w:val="en-US" w:eastAsia="zh-CN"/>
                    </w:rPr>
                    <w:t>0.34</w:t>
                  </w:r>
                </w:p>
              </w:tc>
              <w:tc>
                <w:tcPr>
                  <w:tcW w:w="1684" w:type="dxa"/>
                  <w:tcBorders>
                    <w:tl2br w:val="nil"/>
                    <w:tr2bl w:val="nil"/>
                  </w:tcBorders>
                  <w:shd w:val="clear" w:color="auto" w:fill="auto"/>
                  <w:tcMar>
                    <w:top w:w="0" w:type="dxa"/>
                    <w:left w:w="0" w:type="dxa"/>
                    <w:bottom w:w="0" w:type="dxa"/>
                    <w:right w:w="0" w:type="dxa"/>
                  </w:tcMar>
                  <w:vAlign w:val="center"/>
                </w:tcPr>
                <w:p w14:paraId="67AF0541">
                  <w:pPr>
                    <w:pStyle w:val="15"/>
                    <w:bidi w:val="0"/>
                    <w:rPr>
                      <w:rFonts w:hint="eastAsia"/>
                    </w:rPr>
                  </w:pPr>
                  <w:r>
                    <w:rPr>
                      <w:rFonts w:hint="eastAsia"/>
                      <w:lang w:val="en-US" w:eastAsia="zh-CN"/>
                    </w:rPr>
                    <w:t>呼吸阀连接收集管道，输送至厂区现有</w:t>
                  </w:r>
                  <w:r>
                    <w:rPr>
                      <w:lang w:val="en-US" w:eastAsia="zh-CN"/>
                    </w:rPr>
                    <w:t>TA002</w:t>
                  </w:r>
                  <w:r>
                    <w:rPr>
                      <w:rFonts w:hint="eastAsia"/>
                      <w:lang w:val="en-US" w:eastAsia="zh-CN"/>
                    </w:rPr>
                    <w:t>（三级降膜水吸收</w:t>
                  </w:r>
                  <w:r>
                    <w:rPr>
                      <w:lang w:val="en-US" w:eastAsia="zh-CN"/>
                    </w:rPr>
                    <w:t>+</w:t>
                  </w:r>
                  <w:r>
                    <w:rPr>
                      <w:rFonts w:hint="eastAsia"/>
                      <w:lang w:val="en-US" w:eastAsia="zh-CN"/>
                    </w:rPr>
                    <w:t>三级填料碱吸收</w:t>
                  </w:r>
                  <w:r>
                    <w:rPr>
                      <w:lang w:val="en-US" w:eastAsia="zh-CN"/>
                    </w:rPr>
                    <w:t>+</w:t>
                  </w:r>
                  <w:r>
                    <w:rPr>
                      <w:rFonts w:hint="eastAsia"/>
                      <w:lang w:val="en-US" w:eastAsia="zh-CN"/>
                    </w:rPr>
                    <w:t>一级碱喷淋）废气处理装置处理</w:t>
                  </w:r>
                </w:p>
              </w:tc>
              <w:tc>
                <w:tcPr>
                  <w:tcW w:w="307" w:type="dxa"/>
                  <w:tcBorders>
                    <w:tl2br w:val="nil"/>
                    <w:tr2bl w:val="nil"/>
                  </w:tcBorders>
                  <w:shd w:val="clear" w:color="auto" w:fill="auto"/>
                  <w:tcMar>
                    <w:top w:w="0" w:type="dxa"/>
                    <w:left w:w="0" w:type="dxa"/>
                    <w:bottom w:w="0" w:type="dxa"/>
                    <w:right w:w="0" w:type="dxa"/>
                  </w:tcMar>
                  <w:vAlign w:val="center"/>
                </w:tcPr>
                <w:p w14:paraId="740D9310">
                  <w:pPr>
                    <w:pStyle w:val="15"/>
                    <w:bidi w:val="0"/>
                    <w:rPr>
                      <w:rFonts w:hint="default"/>
                    </w:rPr>
                  </w:pPr>
                  <w:r>
                    <w:rPr>
                      <w:rFonts w:hint="default"/>
                      <w:lang w:val="en-US" w:eastAsia="zh-CN"/>
                    </w:rPr>
                    <w:t>70%</w:t>
                  </w:r>
                </w:p>
              </w:tc>
              <w:tc>
                <w:tcPr>
                  <w:tcW w:w="324" w:type="dxa"/>
                  <w:tcBorders>
                    <w:tl2br w:val="nil"/>
                    <w:tr2bl w:val="nil"/>
                  </w:tcBorders>
                  <w:shd w:val="clear" w:color="auto" w:fill="auto"/>
                  <w:tcMar>
                    <w:top w:w="0" w:type="dxa"/>
                    <w:left w:w="0" w:type="dxa"/>
                    <w:bottom w:w="0" w:type="dxa"/>
                    <w:right w:w="0" w:type="dxa"/>
                  </w:tcMar>
                  <w:vAlign w:val="center"/>
                </w:tcPr>
                <w:p w14:paraId="1B0B89F6">
                  <w:pPr>
                    <w:pStyle w:val="15"/>
                    <w:bidi w:val="0"/>
                    <w:rPr>
                      <w:rFonts w:hint="eastAsia"/>
                    </w:rPr>
                  </w:pPr>
                  <w:r>
                    <w:rPr>
                      <w:rFonts w:hint="eastAsia"/>
                      <w:lang w:val="en-US" w:eastAsia="zh-CN"/>
                    </w:rPr>
                    <w:t>物料衡算法</w:t>
                  </w:r>
                </w:p>
              </w:tc>
              <w:tc>
                <w:tcPr>
                  <w:tcW w:w="380" w:type="dxa"/>
                  <w:tcBorders>
                    <w:tl2br w:val="nil"/>
                    <w:tr2bl w:val="nil"/>
                  </w:tcBorders>
                  <w:shd w:val="clear" w:color="auto" w:fill="auto"/>
                  <w:tcMar>
                    <w:top w:w="0" w:type="dxa"/>
                    <w:left w:w="0" w:type="dxa"/>
                    <w:bottom w:w="0" w:type="dxa"/>
                    <w:right w:w="0" w:type="dxa"/>
                  </w:tcMar>
                  <w:vAlign w:val="center"/>
                </w:tcPr>
                <w:p w14:paraId="6AA8C702">
                  <w:pPr>
                    <w:pStyle w:val="15"/>
                    <w:bidi w:val="0"/>
                    <w:rPr>
                      <w:rFonts w:hint="default"/>
                      <w:lang w:val="en-US"/>
                    </w:rPr>
                  </w:pPr>
                  <w:r>
                    <w:rPr>
                      <w:rFonts w:hint="eastAsia"/>
                      <w:lang w:val="en-US" w:eastAsia="zh-CN"/>
                    </w:rPr>
                    <w:t>/</w:t>
                  </w:r>
                </w:p>
              </w:tc>
              <w:tc>
                <w:tcPr>
                  <w:tcW w:w="362" w:type="dxa"/>
                  <w:tcBorders>
                    <w:tl2br w:val="nil"/>
                    <w:tr2bl w:val="nil"/>
                  </w:tcBorders>
                  <w:shd w:val="clear" w:color="auto" w:fill="auto"/>
                  <w:tcMar>
                    <w:top w:w="0" w:type="dxa"/>
                    <w:left w:w="0" w:type="dxa"/>
                    <w:bottom w:w="0" w:type="dxa"/>
                    <w:right w:w="0" w:type="dxa"/>
                  </w:tcMar>
                  <w:vAlign w:val="center"/>
                </w:tcPr>
                <w:p w14:paraId="5FCA5B55">
                  <w:pPr>
                    <w:pStyle w:val="15"/>
                    <w:bidi w:val="0"/>
                    <w:rPr>
                      <w:rFonts w:hint="default"/>
                      <w:lang w:val="en-US"/>
                    </w:rPr>
                  </w:pPr>
                  <w:r>
                    <w:rPr>
                      <w:rFonts w:hint="eastAsia"/>
                      <w:lang w:val="en-US" w:eastAsia="zh-CN"/>
                    </w:rPr>
                    <w:t>/</w:t>
                  </w:r>
                </w:p>
              </w:tc>
              <w:tc>
                <w:tcPr>
                  <w:tcW w:w="496" w:type="dxa"/>
                  <w:tcBorders>
                    <w:tl2br w:val="nil"/>
                    <w:tr2bl w:val="nil"/>
                  </w:tcBorders>
                  <w:shd w:val="clear" w:color="auto" w:fill="auto"/>
                  <w:tcMar>
                    <w:top w:w="0" w:type="dxa"/>
                    <w:left w:w="0" w:type="dxa"/>
                    <w:bottom w:w="0" w:type="dxa"/>
                    <w:right w:w="0" w:type="dxa"/>
                  </w:tcMar>
                  <w:vAlign w:val="center"/>
                </w:tcPr>
                <w:p w14:paraId="7A2054F6">
                  <w:pPr>
                    <w:pStyle w:val="15"/>
                    <w:bidi w:val="0"/>
                    <w:rPr>
                      <w:rFonts w:hint="default"/>
                    </w:rPr>
                  </w:pPr>
                  <w:r>
                    <w:rPr>
                      <w:rFonts w:hint="default"/>
                      <w:lang w:val="en-US" w:eastAsia="zh-CN"/>
                    </w:rPr>
                    <w:t>0.0128</w:t>
                  </w:r>
                </w:p>
              </w:tc>
              <w:tc>
                <w:tcPr>
                  <w:tcW w:w="362" w:type="dxa"/>
                  <w:tcBorders>
                    <w:tl2br w:val="nil"/>
                    <w:tr2bl w:val="nil"/>
                  </w:tcBorders>
                  <w:shd w:val="clear" w:color="auto" w:fill="auto"/>
                  <w:tcMar>
                    <w:top w:w="0" w:type="dxa"/>
                    <w:left w:w="0" w:type="dxa"/>
                    <w:bottom w:w="0" w:type="dxa"/>
                    <w:right w:w="0" w:type="dxa"/>
                  </w:tcMar>
                  <w:vAlign w:val="center"/>
                </w:tcPr>
                <w:p w14:paraId="091E7963">
                  <w:pPr>
                    <w:pStyle w:val="15"/>
                    <w:bidi w:val="0"/>
                    <w:rPr>
                      <w:rFonts w:hint="default"/>
                    </w:rPr>
                  </w:pPr>
                  <w:r>
                    <w:rPr>
                      <w:rFonts w:hint="default"/>
                      <w:lang w:val="en-US" w:eastAsia="zh-CN"/>
                    </w:rPr>
                    <w:t>0.102</w:t>
                  </w:r>
                </w:p>
              </w:tc>
              <w:tc>
                <w:tcPr>
                  <w:tcW w:w="271" w:type="dxa"/>
                  <w:tcBorders>
                    <w:tl2br w:val="nil"/>
                    <w:tr2bl w:val="nil"/>
                  </w:tcBorders>
                  <w:shd w:val="clear" w:color="auto" w:fill="auto"/>
                  <w:tcMar>
                    <w:top w:w="0" w:type="dxa"/>
                    <w:left w:w="0" w:type="dxa"/>
                    <w:bottom w:w="0" w:type="dxa"/>
                    <w:right w:w="0" w:type="dxa"/>
                  </w:tcMar>
                  <w:vAlign w:val="center"/>
                </w:tcPr>
                <w:p w14:paraId="6A4736FC">
                  <w:pPr>
                    <w:pStyle w:val="15"/>
                    <w:bidi w:val="0"/>
                    <w:rPr>
                      <w:rFonts w:hint="default"/>
                    </w:rPr>
                  </w:pPr>
                  <w:r>
                    <w:rPr>
                      <w:rFonts w:hint="default"/>
                      <w:lang w:val="en-US" w:eastAsia="zh-CN"/>
                    </w:rPr>
                    <w:t>DA002</w:t>
                  </w:r>
                </w:p>
              </w:tc>
              <w:tc>
                <w:tcPr>
                  <w:tcW w:w="273" w:type="dxa"/>
                  <w:tcBorders>
                    <w:tl2br w:val="nil"/>
                    <w:tr2bl w:val="nil"/>
                  </w:tcBorders>
                  <w:shd w:val="clear" w:color="auto" w:fill="auto"/>
                  <w:tcMar>
                    <w:top w:w="0" w:type="dxa"/>
                    <w:left w:w="0" w:type="dxa"/>
                    <w:bottom w:w="0" w:type="dxa"/>
                    <w:right w:w="0" w:type="dxa"/>
                  </w:tcMar>
                  <w:vAlign w:val="center"/>
                </w:tcPr>
                <w:p w14:paraId="36A747B5">
                  <w:pPr>
                    <w:pStyle w:val="15"/>
                    <w:bidi w:val="0"/>
                    <w:rPr>
                      <w:rFonts w:hint="default"/>
                    </w:rPr>
                  </w:pPr>
                  <w:r>
                    <w:rPr>
                      <w:rFonts w:hint="default"/>
                      <w:lang w:val="en-US" w:eastAsia="zh-CN"/>
                    </w:rPr>
                    <w:t>30/0.4</w:t>
                  </w:r>
                </w:p>
              </w:tc>
              <w:tc>
                <w:tcPr>
                  <w:tcW w:w="456" w:type="dxa"/>
                  <w:tcBorders>
                    <w:tl2br w:val="nil"/>
                    <w:tr2bl w:val="nil"/>
                  </w:tcBorders>
                  <w:shd w:val="clear" w:color="auto" w:fill="auto"/>
                  <w:tcMar>
                    <w:top w:w="0" w:type="dxa"/>
                    <w:left w:w="0" w:type="dxa"/>
                    <w:bottom w:w="0" w:type="dxa"/>
                    <w:right w:w="0" w:type="dxa"/>
                  </w:tcMar>
                  <w:vAlign w:val="center"/>
                </w:tcPr>
                <w:p w14:paraId="2FB3A3BB">
                  <w:pPr>
                    <w:pStyle w:val="15"/>
                    <w:bidi w:val="0"/>
                    <w:rPr>
                      <w:rFonts w:hint="default"/>
                    </w:rPr>
                  </w:pPr>
                  <w:r>
                    <w:rPr>
                      <w:rFonts w:hint="default"/>
                      <w:lang w:val="en-US" w:eastAsia="zh-CN"/>
                    </w:rPr>
                    <w:t>25</w:t>
                  </w:r>
                </w:p>
              </w:tc>
              <w:tc>
                <w:tcPr>
                  <w:tcW w:w="276" w:type="dxa"/>
                  <w:tcBorders>
                    <w:tl2br w:val="nil"/>
                    <w:tr2bl w:val="nil"/>
                  </w:tcBorders>
                  <w:shd w:val="clear" w:color="auto" w:fill="auto"/>
                  <w:tcMar>
                    <w:top w:w="0" w:type="dxa"/>
                    <w:left w:w="0" w:type="dxa"/>
                    <w:bottom w:w="0" w:type="dxa"/>
                    <w:right w:w="0" w:type="dxa"/>
                  </w:tcMar>
                  <w:vAlign w:val="center"/>
                </w:tcPr>
                <w:p w14:paraId="174CD4EC">
                  <w:pPr>
                    <w:pStyle w:val="15"/>
                    <w:bidi w:val="0"/>
                    <w:rPr>
                      <w:rFonts w:hint="default"/>
                    </w:rPr>
                  </w:pPr>
                  <w:r>
                    <w:rPr>
                      <w:rFonts w:hint="default"/>
                      <w:lang w:val="en-US" w:eastAsia="zh-CN"/>
                    </w:rPr>
                    <w:t>8000</w:t>
                  </w:r>
                </w:p>
              </w:tc>
            </w:tr>
          </w:tbl>
          <w:p w14:paraId="7E617CC4">
            <w:pPr>
              <w:pStyle w:val="4"/>
              <w:bidi w:val="0"/>
              <w:rPr>
                <w:rFonts w:hint="eastAsia"/>
                <w:lang w:val="en-US" w:eastAsia="zh-CN"/>
              </w:rPr>
            </w:pPr>
            <w:r>
              <w:rPr>
                <w:rFonts w:hint="eastAsia"/>
                <w:lang w:val="en-US" w:eastAsia="zh-CN"/>
              </w:rPr>
              <w:t>1.2依托现有TA002（三级降膜水吸收+三级填料碱吸收+一级碱喷淋）废气处理装置处理可行性分析</w:t>
            </w:r>
          </w:p>
          <w:p w14:paraId="3BEC8F97">
            <w:pPr>
              <w:rPr>
                <w:rFonts w:hint="eastAsia"/>
                <w:color w:val="auto"/>
                <w:lang w:val="en-US" w:eastAsia="zh-CN"/>
              </w:rPr>
            </w:pPr>
            <w:r>
              <w:rPr>
                <w:rFonts w:hint="eastAsia"/>
                <w:color w:val="auto"/>
                <w:lang w:val="en-US" w:eastAsia="zh-CN"/>
              </w:rPr>
              <w:t>根据《新疆久塔锦晨生物科技股份有限公司精细化工项目（一期）竣工环境保护验收监测报告》，TA002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废气处理装置处理现有氯丙酸生产工艺废气+现有氯化亚砜储罐无组织废气+现有2座200m</w:t>
            </w:r>
            <w:r>
              <w:rPr>
                <w:rFonts w:hint="eastAsia"/>
                <w:color w:val="auto"/>
                <w:vertAlign w:val="superscript"/>
                <w:lang w:val="en-US" w:eastAsia="zh-CN"/>
              </w:rPr>
              <w:t>3</w:t>
            </w:r>
            <w:r>
              <w:rPr>
                <w:rFonts w:hint="eastAsia"/>
                <w:color w:val="auto"/>
                <w:lang w:val="en-US" w:eastAsia="zh-CN"/>
              </w:rPr>
              <w:t>立式固定顶玻璃钢31%盐酸储罐的有组织收集废气，实测进口HCl速率为0.0048kg/h。</w:t>
            </w:r>
          </w:p>
          <w:p w14:paraId="29FAA260">
            <w:pPr>
              <w:rPr>
                <w:rFonts w:hint="eastAsia"/>
                <w:color w:val="auto"/>
                <w:lang w:val="en-US" w:eastAsia="zh-CN"/>
              </w:rPr>
            </w:pPr>
            <w:r>
              <w:rPr>
                <w:rFonts w:hint="eastAsia"/>
                <w:color w:val="auto"/>
                <w:lang w:val="en-US" w:eastAsia="zh-CN"/>
              </w:rPr>
              <w:t>本项目扩建4座200m</w:t>
            </w:r>
            <w:r>
              <w:rPr>
                <w:rFonts w:hint="eastAsia"/>
                <w:color w:val="auto"/>
                <w:vertAlign w:val="superscript"/>
                <w:lang w:val="en-US" w:eastAsia="zh-CN"/>
              </w:rPr>
              <w:t>3</w:t>
            </w:r>
            <w:r>
              <w:rPr>
                <w:rFonts w:hint="eastAsia"/>
                <w:color w:val="auto"/>
                <w:lang w:val="en-US" w:eastAsia="zh-CN"/>
              </w:rPr>
              <w:t>立式固定顶玻璃钢31%盐酸储罐收集的废气一并进入TA002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废气处理装置处理，扩建后TA002进口HCl速率为0.0473kg/h。</w:t>
            </w:r>
          </w:p>
          <w:p w14:paraId="4FD76B35">
            <w:pPr>
              <w:rPr>
                <w:rFonts w:hint="eastAsia"/>
                <w:color w:val="auto"/>
                <w:lang w:val="en-US" w:eastAsia="zh-CN"/>
              </w:rPr>
            </w:pPr>
            <w:r>
              <w:rPr>
                <w:rFonts w:hint="eastAsia"/>
                <w:color w:val="auto"/>
                <w:lang w:val="en-US" w:eastAsia="zh-CN"/>
              </w:rPr>
              <w:t>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废气处理装置对HCl去除效率以70%计，扩建后TA002出口HCl速率为0.0138kg/h。</w:t>
            </w:r>
          </w:p>
          <w:p w14:paraId="5F28C0E8">
            <w:pPr>
              <w:rPr>
                <w:rFonts w:hint="default"/>
                <w:color w:val="auto"/>
                <w:lang w:val="en-US" w:eastAsia="zh-CN"/>
              </w:rPr>
            </w:pPr>
            <w:r>
              <w:rPr>
                <w:rFonts w:hint="eastAsia"/>
                <w:color w:val="auto"/>
                <w:lang w:val="en-US" w:eastAsia="zh-CN"/>
              </w:rPr>
              <w:t>TA002废气处理装置额定引风量以10000m</w:t>
            </w:r>
            <w:r>
              <w:rPr>
                <w:rFonts w:hint="eastAsia"/>
                <w:color w:val="auto"/>
                <w:vertAlign w:val="superscript"/>
                <w:lang w:val="en-US" w:eastAsia="zh-CN"/>
              </w:rPr>
              <w:t>3</w:t>
            </w:r>
            <w:r>
              <w:rPr>
                <w:rFonts w:hint="eastAsia"/>
                <w:color w:val="auto"/>
                <w:lang w:val="en-US" w:eastAsia="zh-CN"/>
              </w:rPr>
              <w:t>/h计，HCl排放浓度约1.38mg/m</w:t>
            </w:r>
            <w:r>
              <w:rPr>
                <w:rFonts w:hint="eastAsia"/>
                <w:color w:val="auto"/>
                <w:vertAlign w:val="superscript"/>
                <w:lang w:val="en-US" w:eastAsia="zh-CN"/>
              </w:rPr>
              <w:t>3</w:t>
            </w:r>
            <w:r>
              <w:rPr>
                <w:rFonts w:hint="eastAsia"/>
                <w:color w:val="auto"/>
                <w:lang w:val="en-US" w:eastAsia="zh-CN"/>
              </w:rPr>
              <w:t>，后通过现有</w:t>
            </w:r>
            <w:r>
              <w:rPr>
                <w:rFonts w:hint="eastAsia"/>
                <w:lang w:val="en-US" w:eastAsia="zh-CN"/>
              </w:rPr>
              <w:t>1根高30m、内径0.4m排气筒DA002排放，满足</w:t>
            </w:r>
            <w:r>
              <w:rPr>
                <w:rFonts w:hint="eastAsia"/>
                <w:color w:val="auto"/>
                <w:lang w:val="en-US" w:eastAsia="zh-CN"/>
              </w:rPr>
              <w:t>《农药制造工业大气污染物排放标准》（GB39727—2020）中表1大气污染物排放限值（30mg/m</w:t>
            </w:r>
            <w:r>
              <w:rPr>
                <w:rFonts w:hint="eastAsia"/>
                <w:color w:val="auto"/>
                <w:vertAlign w:val="superscript"/>
                <w:lang w:val="en-US" w:eastAsia="zh-CN"/>
              </w:rPr>
              <w:t>3</w:t>
            </w:r>
            <w:r>
              <w:rPr>
                <w:rFonts w:hint="eastAsia"/>
                <w:color w:val="auto"/>
                <w:lang w:val="en-US" w:eastAsia="zh-CN"/>
              </w:rPr>
              <w:t>）。</w:t>
            </w:r>
          </w:p>
          <w:p w14:paraId="07CFDADB">
            <w:pPr>
              <w:bidi w:val="0"/>
              <w:rPr>
                <w:rFonts w:hint="eastAsia"/>
                <w:lang w:val="en-US" w:eastAsia="zh-CN"/>
              </w:rPr>
            </w:pPr>
            <w:r>
              <w:rPr>
                <w:rFonts w:hint="eastAsia"/>
                <w:lang w:val="en-US" w:eastAsia="zh-CN"/>
              </w:rPr>
              <w:t>综上分析，本项目</w:t>
            </w:r>
            <w:r>
              <w:rPr>
                <w:rFonts w:hint="eastAsia"/>
                <w:color w:val="auto"/>
                <w:lang w:val="en-US" w:eastAsia="zh-CN"/>
              </w:rPr>
              <w:t>扩建4座200m</w:t>
            </w:r>
            <w:r>
              <w:rPr>
                <w:rFonts w:hint="eastAsia"/>
                <w:color w:val="auto"/>
                <w:vertAlign w:val="superscript"/>
                <w:lang w:val="en-US" w:eastAsia="zh-CN"/>
              </w:rPr>
              <w:t>3</w:t>
            </w:r>
            <w:r>
              <w:rPr>
                <w:rFonts w:hint="eastAsia"/>
                <w:color w:val="auto"/>
                <w:lang w:val="en-US" w:eastAsia="zh-CN"/>
              </w:rPr>
              <w:t>立式固定顶玻璃钢31%盐酸储罐大、小呼吸产生的HCl依托现有TA002</w:t>
            </w:r>
            <w:r>
              <w:rPr>
                <w:rFonts w:hint="eastAsia"/>
                <w:lang w:val="en-US" w:eastAsia="zh-CN"/>
              </w:rPr>
              <w:t>（</w:t>
            </w:r>
            <w:r>
              <w:rPr>
                <w:rFonts w:hint="eastAsia"/>
                <w:color w:val="auto"/>
                <w:lang w:val="en-US" w:eastAsia="zh-CN"/>
              </w:rPr>
              <w:t>三级降膜水吸收+三级填料碱吸收+一级碱喷淋</w:t>
            </w:r>
            <w:r>
              <w:rPr>
                <w:rFonts w:hint="eastAsia"/>
                <w:lang w:val="en-US" w:eastAsia="zh-CN"/>
              </w:rPr>
              <w:t>）</w:t>
            </w:r>
            <w:r>
              <w:rPr>
                <w:rFonts w:hint="eastAsia"/>
                <w:color w:val="auto"/>
                <w:lang w:val="en-US" w:eastAsia="zh-CN"/>
              </w:rPr>
              <w:t>废气处理装置处理，现有</w:t>
            </w:r>
            <w:r>
              <w:rPr>
                <w:rFonts w:hint="eastAsia"/>
                <w:lang w:val="en-US" w:eastAsia="zh-CN"/>
              </w:rPr>
              <w:t>1根高30m、内径0.4m排气筒DA002排放是可行的。</w:t>
            </w:r>
          </w:p>
          <w:p w14:paraId="1698C433">
            <w:pPr>
              <w:pStyle w:val="16"/>
              <w:bidi w:val="0"/>
              <w:rPr>
                <w:rFonts w:hint="default"/>
                <w:color w:val="auto"/>
                <w:lang w:val="en-US" w:eastAsia="zh-CN"/>
              </w:rPr>
            </w:pPr>
            <w:r>
              <w:t xml:space="preserve">表 </w:t>
            </w:r>
            <w:r>
              <w:fldChar w:fldCharType="begin"/>
            </w:r>
            <w:r>
              <w:instrText xml:space="preserve"> SEQ 表 \* ARABIC </w:instrText>
            </w:r>
            <w:r>
              <w:fldChar w:fldCharType="separate"/>
            </w:r>
            <w:r>
              <w:t>33</w:t>
            </w:r>
            <w:r>
              <w:fldChar w:fldCharType="end"/>
            </w:r>
            <w:r>
              <w:rPr>
                <w:rFonts w:hint="eastAsia"/>
                <w:lang w:val="en-US" w:eastAsia="zh-CN"/>
              </w:rPr>
              <w:t xml:space="preserve">  本项目扩建后依托现有TA002</w:t>
            </w:r>
            <w:r>
              <w:rPr>
                <w:rFonts w:hint="eastAsia"/>
                <w:color w:val="auto"/>
                <w:lang w:val="en-US" w:eastAsia="zh-CN"/>
              </w:rPr>
              <w:t>HCl排放情况</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04"/>
              <w:gridCol w:w="485"/>
              <w:gridCol w:w="516"/>
              <w:gridCol w:w="692"/>
              <w:gridCol w:w="742"/>
              <w:gridCol w:w="960"/>
              <w:gridCol w:w="472"/>
              <w:gridCol w:w="420"/>
              <w:gridCol w:w="674"/>
              <w:gridCol w:w="606"/>
              <w:gridCol w:w="573"/>
              <w:gridCol w:w="327"/>
              <w:gridCol w:w="322"/>
            </w:tblGrid>
            <w:tr w14:paraId="0290A1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99" w:type="pct"/>
                  <w:vMerge w:val="restart"/>
                  <w:tcBorders>
                    <w:tl2br w:val="nil"/>
                    <w:tr2bl w:val="nil"/>
                  </w:tcBorders>
                  <w:shd w:val="clear" w:color="auto" w:fill="auto"/>
                  <w:tcMar>
                    <w:top w:w="0" w:type="dxa"/>
                    <w:left w:w="0" w:type="dxa"/>
                    <w:bottom w:w="0" w:type="dxa"/>
                    <w:right w:w="0" w:type="dxa"/>
                  </w:tcMar>
                  <w:vAlign w:val="center"/>
                </w:tcPr>
                <w:p w14:paraId="74B98224">
                  <w:pPr>
                    <w:pStyle w:val="15"/>
                    <w:bidi w:val="0"/>
                    <w:rPr>
                      <w:rFonts w:hint="eastAsia"/>
                      <w:sz w:val="15"/>
                      <w:szCs w:val="15"/>
                    </w:rPr>
                  </w:pPr>
                  <w:r>
                    <w:rPr>
                      <w:rFonts w:hint="eastAsia"/>
                      <w:sz w:val="15"/>
                      <w:szCs w:val="15"/>
                      <w:lang w:val="en-US" w:eastAsia="zh-CN"/>
                    </w:rPr>
                    <w:t>污染源</w:t>
                  </w:r>
                </w:p>
              </w:tc>
              <w:tc>
                <w:tcPr>
                  <w:tcW w:w="307" w:type="pct"/>
                  <w:vMerge w:val="restart"/>
                  <w:tcBorders>
                    <w:tl2br w:val="nil"/>
                    <w:tr2bl w:val="nil"/>
                  </w:tcBorders>
                  <w:shd w:val="clear" w:color="auto" w:fill="auto"/>
                  <w:tcMar>
                    <w:top w:w="0" w:type="dxa"/>
                    <w:left w:w="0" w:type="dxa"/>
                    <w:bottom w:w="0" w:type="dxa"/>
                    <w:right w:w="0" w:type="dxa"/>
                  </w:tcMar>
                  <w:vAlign w:val="center"/>
                </w:tcPr>
                <w:p w14:paraId="6C6E2D49">
                  <w:pPr>
                    <w:pStyle w:val="15"/>
                    <w:bidi w:val="0"/>
                    <w:rPr>
                      <w:rFonts w:hint="eastAsia"/>
                      <w:sz w:val="15"/>
                      <w:szCs w:val="15"/>
                    </w:rPr>
                  </w:pPr>
                  <w:r>
                    <w:rPr>
                      <w:rFonts w:hint="eastAsia"/>
                      <w:sz w:val="15"/>
                      <w:szCs w:val="15"/>
                      <w:lang w:val="en-US" w:eastAsia="zh-CN"/>
                    </w:rPr>
                    <w:t>污染物</w:t>
                  </w:r>
                </w:p>
              </w:tc>
              <w:tc>
                <w:tcPr>
                  <w:tcW w:w="1235" w:type="pct"/>
                  <w:gridSpan w:val="3"/>
                  <w:tcBorders>
                    <w:tl2br w:val="nil"/>
                    <w:tr2bl w:val="nil"/>
                  </w:tcBorders>
                  <w:shd w:val="clear" w:color="auto" w:fill="auto"/>
                  <w:tcMar>
                    <w:top w:w="0" w:type="dxa"/>
                    <w:left w:w="0" w:type="dxa"/>
                    <w:bottom w:w="0" w:type="dxa"/>
                    <w:right w:w="0" w:type="dxa"/>
                  </w:tcMar>
                  <w:vAlign w:val="center"/>
                </w:tcPr>
                <w:p w14:paraId="5A1ED2FA">
                  <w:pPr>
                    <w:pStyle w:val="15"/>
                    <w:bidi w:val="0"/>
                    <w:rPr>
                      <w:rFonts w:hint="eastAsia"/>
                      <w:sz w:val="15"/>
                      <w:szCs w:val="15"/>
                      <w:lang w:val="en-US" w:eastAsia="zh-CN"/>
                    </w:rPr>
                  </w:pPr>
                  <w:r>
                    <w:rPr>
                      <w:rFonts w:hint="eastAsia"/>
                      <w:sz w:val="15"/>
                      <w:szCs w:val="15"/>
                      <w:lang w:val="en-US" w:eastAsia="zh-CN"/>
                    </w:rPr>
                    <w:t>污染物产生</w:t>
                  </w:r>
                </w:p>
              </w:tc>
              <w:tc>
                <w:tcPr>
                  <w:tcW w:w="907" w:type="pct"/>
                  <w:gridSpan w:val="2"/>
                  <w:tcBorders>
                    <w:tl2br w:val="nil"/>
                    <w:tr2bl w:val="nil"/>
                  </w:tcBorders>
                  <w:shd w:val="clear" w:color="auto" w:fill="auto"/>
                  <w:tcMar>
                    <w:top w:w="0" w:type="dxa"/>
                    <w:left w:w="0" w:type="dxa"/>
                    <w:bottom w:w="0" w:type="dxa"/>
                    <w:right w:w="0" w:type="dxa"/>
                  </w:tcMar>
                  <w:vAlign w:val="center"/>
                </w:tcPr>
                <w:p w14:paraId="71D96114">
                  <w:pPr>
                    <w:pStyle w:val="15"/>
                    <w:bidi w:val="0"/>
                    <w:rPr>
                      <w:rFonts w:hint="eastAsia"/>
                      <w:sz w:val="15"/>
                      <w:szCs w:val="15"/>
                    </w:rPr>
                  </w:pPr>
                  <w:r>
                    <w:rPr>
                      <w:rFonts w:hint="eastAsia"/>
                      <w:sz w:val="15"/>
                      <w:szCs w:val="15"/>
                      <w:lang w:val="en-US" w:eastAsia="zh-CN"/>
                    </w:rPr>
                    <w:t>治理措施</w:t>
                  </w:r>
                </w:p>
              </w:tc>
              <w:tc>
                <w:tcPr>
                  <w:tcW w:w="1647" w:type="pct"/>
                  <w:gridSpan w:val="5"/>
                  <w:tcBorders>
                    <w:tl2br w:val="nil"/>
                    <w:tr2bl w:val="nil"/>
                  </w:tcBorders>
                  <w:shd w:val="clear" w:color="auto" w:fill="auto"/>
                  <w:tcMar>
                    <w:top w:w="0" w:type="dxa"/>
                    <w:left w:w="0" w:type="dxa"/>
                    <w:bottom w:w="0" w:type="dxa"/>
                    <w:right w:w="0" w:type="dxa"/>
                  </w:tcMar>
                  <w:vAlign w:val="center"/>
                </w:tcPr>
                <w:p w14:paraId="48E90DBC">
                  <w:pPr>
                    <w:pStyle w:val="15"/>
                    <w:bidi w:val="0"/>
                    <w:rPr>
                      <w:rFonts w:hint="eastAsia"/>
                      <w:sz w:val="15"/>
                      <w:szCs w:val="15"/>
                    </w:rPr>
                  </w:pPr>
                  <w:r>
                    <w:rPr>
                      <w:rFonts w:hint="eastAsia"/>
                      <w:sz w:val="15"/>
                      <w:szCs w:val="15"/>
                      <w:lang w:val="en-US" w:eastAsia="zh-CN"/>
                    </w:rPr>
                    <w:t>污染物排放</w:t>
                  </w:r>
                </w:p>
              </w:tc>
              <w:tc>
                <w:tcPr>
                  <w:tcW w:w="203" w:type="pct"/>
                  <w:vMerge w:val="restart"/>
                  <w:tcBorders>
                    <w:tl2br w:val="nil"/>
                    <w:tr2bl w:val="nil"/>
                  </w:tcBorders>
                  <w:shd w:val="clear" w:color="auto" w:fill="auto"/>
                  <w:tcMar>
                    <w:top w:w="0" w:type="dxa"/>
                    <w:left w:w="0" w:type="dxa"/>
                    <w:bottom w:w="0" w:type="dxa"/>
                    <w:right w:w="0" w:type="dxa"/>
                  </w:tcMar>
                  <w:vAlign w:val="center"/>
                </w:tcPr>
                <w:p w14:paraId="323BE629">
                  <w:pPr>
                    <w:pStyle w:val="15"/>
                    <w:bidi w:val="0"/>
                    <w:rPr>
                      <w:rFonts w:hint="eastAsia"/>
                      <w:sz w:val="15"/>
                      <w:szCs w:val="15"/>
                    </w:rPr>
                  </w:pPr>
                  <w:r>
                    <w:rPr>
                      <w:rFonts w:hint="eastAsia"/>
                      <w:sz w:val="15"/>
                      <w:szCs w:val="15"/>
                      <w:lang w:val="en-US" w:eastAsia="zh-CN"/>
                    </w:rPr>
                    <w:t>排放</w:t>
                  </w:r>
                  <w:r>
                    <w:rPr>
                      <w:rFonts w:hint="eastAsia"/>
                      <w:sz w:val="15"/>
                      <w:szCs w:val="15"/>
                      <w:lang w:val="en-US" w:eastAsia="zh-CN"/>
                    </w:rPr>
                    <w:br w:type="textWrapping"/>
                  </w:r>
                  <w:r>
                    <w:rPr>
                      <w:rFonts w:hint="eastAsia"/>
                      <w:sz w:val="15"/>
                      <w:szCs w:val="15"/>
                      <w:lang w:val="en-US" w:eastAsia="zh-CN"/>
                    </w:rPr>
                    <w:t>时间/h</w:t>
                  </w:r>
                </w:p>
              </w:tc>
            </w:tr>
            <w:tr w14:paraId="5579E2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99" w:type="pct"/>
                  <w:vMerge w:val="continue"/>
                  <w:tcBorders>
                    <w:tl2br w:val="nil"/>
                    <w:tr2bl w:val="nil"/>
                  </w:tcBorders>
                  <w:shd w:val="clear" w:color="auto" w:fill="auto"/>
                  <w:tcMar>
                    <w:top w:w="0" w:type="dxa"/>
                    <w:left w:w="0" w:type="dxa"/>
                    <w:bottom w:w="0" w:type="dxa"/>
                    <w:right w:w="0" w:type="dxa"/>
                  </w:tcMar>
                  <w:vAlign w:val="center"/>
                </w:tcPr>
                <w:p w14:paraId="6EFC62F6">
                  <w:pPr>
                    <w:pStyle w:val="15"/>
                    <w:bidi w:val="0"/>
                    <w:rPr>
                      <w:rFonts w:hint="eastAsia"/>
                      <w:sz w:val="15"/>
                      <w:szCs w:val="15"/>
                    </w:rPr>
                  </w:pPr>
                </w:p>
              </w:tc>
              <w:tc>
                <w:tcPr>
                  <w:tcW w:w="307" w:type="pct"/>
                  <w:vMerge w:val="continue"/>
                  <w:tcBorders>
                    <w:tl2br w:val="nil"/>
                    <w:tr2bl w:val="nil"/>
                  </w:tcBorders>
                  <w:shd w:val="clear" w:color="auto" w:fill="auto"/>
                  <w:tcMar>
                    <w:top w:w="0" w:type="dxa"/>
                    <w:left w:w="0" w:type="dxa"/>
                    <w:bottom w:w="0" w:type="dxa"/>
                    <w:right w:w="0" w:type="dxa"/>
                  </w:tcMar>
                  <w:vAlign w:val="center"/>
                </w:tcPr>
                <w:p w14:paraId="3D9BC4C8">
                  <w:pPr>
                    <w:pStyle w:val="15"/>
                    <w:bidi w:val="0"/>
                    <w:rPr>
                      <w:rFonts w:hint="eastAsia"/>
                      <w:sz w:val="15"/>
                      <w:szCs w:val="15"/>
                    </w:rPr>
                  </w:pPr>
                </w:p>
              </w:tc>
              <w:tc>
                <w:tcPr>
                  <w:tcW w:w="327" w:type="pct"/>
                  <w:vMerge w:val="restart"/>
                  <w:tcBorders>
                    <w:tl2br w:val="nil"/>
                    <w:tr2bl w:val="nil"/>
                  </w:tcBorders>
                  <w:shd w:val="clear" w:color="auto" w:fill="auto"/>
                  <w:tcMar>
                    <w:top w:w="0" w:type="dxa"/>
                    <w:left w:w="0" w:type="dxa"/>
                    <w:bottom w:w="0" w:type="dxa"/>
                    <w:right w:w="0" w:type="dxa"/>
                  </w:tcMar>
                  <w:vAlign w:val="center"/>
                </w:tcPr>
                <w:p w14:paraId="49DEA31F">
                  <w:pPr>
                    <w:pStyle w:val="15"/>
                    <w:bidi w:val="0"/>
                    <w:rPr>
                      <w:rFonts w:hint="eastAsia"/>
                      <w:sz w:val="15"/>
                      <w:szCs w:val="15"/>
                      <w:lang w:val="en-US" w:eastAsia="zh-CN"/>
                    </w:rPr>
                  </w:pPr>
                  <w:r>
                    <w:rPr>
                      <w:rFonts w:hint="eastAsia"/>
                      <w:sz w:val="15"/>
                      <w:szCs w:val="15"/>
                      <w:lang w:val="en-US" w:eastAsia="zh-CN"/>
                    </w:rPr>
                    <w:t>产生浓度</w:t>
                  </w:r>
                  <w:r>
                    <w:rPr>
                      <w:rFonts w:hint="default"/>
                      <w:sz w:val="15"/>
                      <w:szCs w:val="15"/>
                      <w:lang w:val="en-US" w:eastAsia="zh-CN"/>
                    </w:rPr>
                    <w:t>/</w:t>
                  </w:r>
                </w:p>
                <w:p w14:paraId="1384AC04">
                  <w:pPr>
                    <w:pStyle w:val="15"/>
                    <w:bidi w:val="0"/>
                    <w:rPr>
                      <w:rFonts w:hint="eastAsia"/>
                      <w:sz w:val="15"/>
                      <w:szCs w:val="15"/>
                    </w:rPr>
                  </w:pPr>
                  <w:r>
                    <w:rPr>
                      <w:rFonts w:hint="default"/>
                      <w:sz w:val="15"/>
                      <w:szCs w:val="15"/>
                      <w:lang w:val="en-US" w:eastAsia="zh-CN"/>
                    </w:rPr>
                    <w:t>mg/m</w:t>
                  </w:r>
                  <w:r>
                    <w:rPr>
                      <w:rFonts w:hint="default"/>
                      <w:sz w:val="15"/>
                      <w:szCs w:val="15"/>
                      <w:vertAlign w:val="superscript"/>
                      <w:lang w:val="en-US" w:eastAsia="zh-CN"/>
                    </w:rPr>
                    <w:t>3</w:t>
                  </w:r>
                </w:p>
              </w:tc>
              <w:tc>
                <w:tcPr>
                  <w:tcW w:w="438" w:type="pct"/>
                  <w:vMerge w:val="restart"/>
                  <w:tcBorders>
                    <w:tl2br w:val="nil"/>
                    <w:tr2bl w:val="nil"/>
                  </w:tcBorders>
                  <w:shd w:val="clear" w:color="auto" w:fill="auto"/>
                  <w:tcMar>
                    <w:top w:w="0" w:type="dxa"/>
                    <w:left w:w="0" w:type="dxa"/>
                    <w:bottom w:w="0" w:type="dxa"/>
                    <w:right w:w="0" w:type="dxa"/>
                  </w:tcMar>
                  <w:vAlign w:val="center"/>
                </w:tcPr>
                <w:p w14:paraId="183062FC">
                  <w:pPr>
                    <w:pStyle w:val="15"/>
                    <w:bidi w:val="0"/>
                    <w:rPr>
                      <w:rFonts w:hint="eastAsia"/>
                      <w:sz w:val="15"/>
                      <w:szCs w:val="15"/>
                    </w:rPr>
                  </w:pPr>
                  <w:r>
                    <w:rPr>
                      <w:rFonts w:hint="eastAsia"/>
                      <w:sz w:val="15"/>
                      <w:szCs w:val="15"/>
                      <w:lang w:val="en-US" w:eastAsia="zh-CN"/>
                    </w:rPr>
                    <w:t>产生速率</w:t>
                  </w:r>
                  <w:r>
                    <w:rPr>
                      <w:rFonts w:hint="default"/>
                      <w:sz w:val="15"/>
                      <w:szCs w:val="15"/>
                      <w:lang w:val="en-US" w:eastAsia="zh-CN"/>
                    </w:rPr>
                    <w:t>/</w:t>
                  </w:r>
                  <w:r>
                    <w:rPr>
                      <w:rFonts w:hint="eastAsia"/>
                      <w:sz w:val="15"/>
                      <w:szCs w:val="15"/>
                      <w:lang w:val="en-US" w:eastAsia="zh-CN"/>
                    </w:rPr>
                    <w:t>（</w:t>
                  </w:r>
                  <w:r>
                    <w:rPr>
                      <w:rFonts w:hint="default"/>
                      <w:sz w:val="15"/>
                      <w:szCs w:val="15"/>
                      <w:lang w:val="en-US" w:eastAsia="zh-CN"/>
                    </w:rPr>
                    <w:t>kg/h</w:t>
                  </w:r>
                  <w:r>
                    <w:rPr>
                      <w:rFonts w:hint="eastAsia"/>
                      <w:sz w:val="15"/>
                      <w:szCs w:val="15"/>
                      <w:lang w:val="en-US" w:eastAsia="zh-CN"/>
                    </w:rPr>
                    <w:t>）</w:t>
                  </w:r>
                </w:p>
              </w:tc>
              <w:tc>
                <w:tcPr>
                  <w:tcW w:w="469" w:type="pct"/>
                  <w:vMerge w:val="restart"/>
                  <w:tcBorders>
                    <w:tl2br w:val="nil"/>
                    <w:tr2bl w:val="nil"/>
                  </w:tcBorders>
                  <w:shd w:val="clear" w:color="auto" w:fill="auto"/>
                  <w:tcMar>
                    <w:top w:w="0" w:type="dxa"/>
                    <w:left w:w="0" w:type="dxa"/>
                    <w:bottom w:w="0" w:type="dxa"/>
                    <w:right w:w="0" w:type="dxa"/>
                  </w:tcMar>
                  <w:vAlign w:val="center"/>
                </w:tcPr>
                <w:p w14:paraId="101C9D5A">
                  <w:pPr>
                    <w:pStyle w:val="15"/>
                    <w:bidi w:val="0"/>
                    <w:rPr>
                      <w:rFonts w:hint="eastAsia"/>
                      <w:sz w:val="15"/>
                      <w:szCs w:val="15"/>
                      <w:lang w:val="en-US" w:eastAsia="zh-CN"/>
                    </w:rPr>
                  </w:pPr>
                  <w:r>
                    <w:rPr>
                      <w:rFonts w:hint="eastAsia"/>
                      <w:sz w:val="15"/>
                      <w:szCs w:val="15"/>
                      <w:lang w:val="en-US" w:eastAsia="zh-CN"/>
                    </w:rPr>
                    <w:t>产生量</w:t>
                  </w:r>
                  <w:r>
                    <w:rPr>
                      <w:rFonts w:hint="default"/>
                      <w:sz w:val="15"/>
                      <w:szCs w:val="15"/>
                      <w:lang w:val="en-US" w:eastAsia="zh-CN"/>
                    </w:rPr>
                    <w:t>/</w:t>
                  </w:r>
                </w:p>
                <w:p w14:paraId="2E0EA9F7">
                  <w:pPr>
                    <w:pStyle w:val="15"/>
                    <w:bidi w:val="0"/>
                    <w:rPr>
                      <w:rFonts w:hint="eastAsia"/>
                      <w:sz w:val="15"/>
                      <w:szCs w:val="15"/>
                    </w:rPr>
                  </w:pPr>
                  <w:r>
                    <w:rPr>
                      <w:rFonts w:hint="eastAsia"/>
                      <w:sz w:val="15"/>
                      <w:szCs w:val="15"/>
                      <w:lang w:val="en-US" w:eastAsia="zh-CN"/>
                    </w:rPr>
                    <w:t>(</w:t>
                  </w:r>
                  <w:r>
                    <w:rPr>
                      <w:rFonts w:hint="default"/>
                      <w:sz w:val="15"/>
                      <w:szCs w:val="15"/>
                      <w:lang w:val="en-US" w:eastAsia="zh-CN"/>
                    </w:rPr>
                    <w:t>t/a</w:t>
                  </w:r>
                  <w:r>
                    <w:rPr>
                      <w:rFonts w:hint="eastAsia"/>
                      <w:sz w:val="15"/>
                      <w:szCs w:val="15"/>
                      <w:lang w:val="en-US" w:eastAsia="zh-CN"/>
                    </w:rPr>
                    <w:t>)</w:t>
                  </w:r>
                </w:p>
              </w:tc>
              <w:tc>
                <w:tcPr>
                  <w:tcW w:w="608" w:type="pct"/>
                  <w:vMerge w:val="restart"/>
                  <w:tcBorders>
                    <w:tl2br w:val="nil"/>
                    <w:tr2bl w:val="nil"/>
                  </w:tcBorders>
                  <w:shd w:val="clear" w:color="auto" w:fill="auto"/>
                  <w:tcMar>
                    <w:top w:w="0" w:type="dxa"/>
                    <w:left w:w="0" w:type="dxa"/>
                    <w:bottom w:w="0" w:type="dxa"/>
                    <w:right w:w="0" w:type="dxa"/>
                  </w:tcMar>
                  <w:vAlign w:val="center"/>
                </w:tcPr>
                <w:p w14:paraId="3956E5C5">
                  <w:pPr>
                    <w:pStyle w:val="15"/>
                    <w:bidi w:val="0"/>
                    <w:rPr>
                      <w:rFonts w:hint="eastAsia"/>
                      <w:sz w:val="15"/>
                      <w:szCs w:val="15"/>
                    </w:rPr>
                  </w:pPr>
                  <w:r>
                    <w:rPr>
                      <w:rFonts w:hint="eastAsia"/>
                      <w:sz w:val="15"/>
                      <w:szCs w:val="15"/>
                      <w:lang w:val="en-US" w:eastAsia="zh-CN"/>
                    </w:rPr>
                    <w:t>工艺</w:t>
                  </w:r>
                </w:p>
              </w:tc>
              <w:tc>
                <w:tcPr>
                  <w:tcW w:w="299" w:type="pct"/>
                  <w:vMerge w:val="restart"/>
                  <w:tcBorders>
                    <w:tl2br w:val="nil"/>
                    <w:tr2bl w:val="nil"/>
                  </w:tcBorders>
                  <w:shd w:val="clear" w:color="auto" w:fill="auto"/>
                  <w:tcMar>
                    <w:top w:w="0" w:type="dxa"/>
                    <w:left w:w="0" w:type="dxa"/>
                    <w:bottom w:w="0" w:type="dxa"/>
                    <w:right w:w="0" w:type="dxa"/>
                  </w:tcMar>
                  <w:vAlign w:val="center"/>
                </w:tcPr>
                <w:p w14:paraId="01B4C113">
                  <w:pPr>
                    <w:pStyle w:val="15"/>
                    <w:bidi w:val="0"/>
                    <w:rPr>
                      <w:rFonts w:hint="eastAsia"/>
                      <w:sz w:val="15"/>
                      <w:szCs w:val="15"/>
                    </w:rPr>
                  </w:pPr>
                  <w:r>
                    <w:rPr>
                      <w:rFonts w:hint="eastAsia"/>
                      <w:sz w:val="15"/>
                      <w:szCs w:val="15"/>
                      <w:lang w:val="en-US" w:eastAsia="zh-CN"/>
                    </w:rPr>
                    <w:t>效率</w:t>
                  </w:r>
                </w:p>
              </w:tc>
              <w:tc>
                <w:tcPr>
                  <w:tcW w:w="266" w:type="pct"/>
                  <w:vMerge w:val="restart"/>
                  <w:tcBorders>
                    <w:tl2br w:val="nil"/>
                    <w:tr2bl w:val="nil"/>
                  </w:tcBorders>
                  <w:shd w:val="clear" w:color="auto" w:fill="auto"/>
                  <w:tcMar>
                    <w:top w:w="0" w:type="dxa"/>
                    <w:left w:w="0" w:type="dxa"/>
                    <w:bottom w:w="0" w:type="dxa"/>
                    <w:right w:w="0" w:type="dxa"/>
                  </w:tcMar>
                  <w:vAlign w:val="center"/>
                </w:tcPr>
                <w:p w14:paraId="1538B34A">
                  <w:pPr>
                    <w:pStyle w:val="15"/>
                    <w:bidi w:val="0"/>
                    <w:rPr>
                      <w:rFonts w:hint="eastAsia"/>
                      <w:sz w:val="15"/>
                      <w:szCs w:val="15"/>
                    </w:rPr>
                  </w:pPr>
                  <w:r>
                    <w:rPr>
                      <w:rFonts w:hint="eastAsia"/>
                      <w:sz w:val="15"/>
                      <w:szCs w:val="15"/>
                      <w:lang w:val="en-US" w:eastAsia="zh-CN"/>
                    </w:rPr>
                    <w:t>核算方法</w:t>
                  </w:r>
                </w:p>
              </w:tc>
              <w:tc>
                <w:tcPr>
                  <w:tcW w:w="427" w:type="pct"/>
                  <w:vMerge w:val="restart"/>
                  <w:tcBorders>
                    <w:tl2br w:val="nil"/>
                    <w:tr2bl w:val="nil"/>
                  </w:tcBorders>
                  <w:shd w:val="clear" w:color="auto" w:fill="auto"/>
                  <w:tcMar>
                    <w:top w:w="0" w:type="dxa"/>
                    <w:left w:w="0" w:type="dxa"/>
                    <w:bottom w:w="0" w:type="dxa"/>
                    <w:right w:w="0" w:type="dxa"/>
                  </w:tcMar>
                  <w:vAlign w:val="center"/>
                </w:tcPr>
                <w:p w14:paraId="52F3F42D">
                  <w:pPr>
                    <w:pStyle w:val="15"/>
                    <w:bidi w:val="0"/>
                    <w:rPr>
                      <w:rFonts w:hint="eastAsia"/>
                      <w:sz w:val="15"/>
                      <w:szCs w:val="15"/>
                    </w:rPr>
                  </w:pPr>
                  <w:r>
                    <w:rPr>
                      <w:rFonts w:hint="eastAsia"/>
                      <w:sz w:val="15"/>
                      <w:szCs w:val="15"/>
                      <w:lang w:val="en-US" w:eastAsia="zh-CN"/>
                    </w:rPr>
                    <w:t>废气产生量</w:t>
                  </w:r>
                  <w:r>
                    <w:rPr>
                      <w:rFonts w:hint="default"/>
                      <w:sz w:val="15"/>
                      <w:szCs w:val="15"/>
                      <w:lang w:val="en-US" w:eastAsia="zh-CN"/>
                    </w:rPr>
                    <w:t>/m</w:t>
                  </w:r>
                  <w:r>
                    <w:rPr>
                      <w:rFonts w:hint="default"/>
                      <w:sz w:val="15"/>
                      <w:szCs w:val="15"/>
                      <w:vertAlign w:val="superscript"/>
                      <w:lang w:val="en-US" w:eastAsia="zh-CN"/>
                    </w:rPr>
                    <w:t>3</w:t>
                  </w:r>
                  <w:r>
                    <w:rPr>
                      <w:rFonts w:hint="default"/>
                      <w:sz w:val="15"/>
                      <w:szCs w:val="15"/>
                      <w:lang w:val="en-US" w:eastAsia="zh-CN"/>
                    </w:rPr>
                    <w:t>/h</w:t>
                  </w:r>
                </w:p>
              </w:tc>
              <w:tc>
                <w:tcPr>
                  <w:tcW w:w="384" w:type="pct"/>
                  <w:vMerge w:val="restart"/>
                  <w:tcBorders>
                    <w:tl2br w:val="nil"/>
                    <w:tr2bl w:val="nil"/>
                  </w:tcBorders>
                  <w:shd w:val="clear" w:color="auto" w:fill="auto"/>
                  <w:tcMar>
                    <w:top w:w="0" w:type="dxa"/>
                    <w:left w:w="0" w:type="dxa"/>
                    <w:bottom w:w="0" w:type="dxa"/>
                    <w:right w:w="0" w:type="dxa"/>
                  </w:tcMar>
                  <w:vAlign w:val="center"/>
                </w:tcPr>
                <w:p w14:paraId="1FC63402">
                  <w:pPr>
                    <w:pStyle w:val="15"/>
                    <w:bidi w:val="0"/>
                    <w:rPr>
                      <w:rFonts w:hint="eastAsia"/>
                      <w:sz w:val="15"/>
                      <w:szCs w:val="15"/>
                    </w:rPr>
                  </w:pPr>
                  <w:r>
                    <w:rPr>
                      <w:rFonts w:hint="eastAsia"/>
                      <w:sz w:val="15"/>
                      <w:szCs w:val="15"/>
                      <w:lang w:val="en-US" w:eastAsia="zh-CN"/>
                    </w:rPr>
                    <w:t>排放浓度</w:t>
                  </w:r>
                  <w:r>
                    <w:rPr>
                      <w:rFonts w:hint="default"/>
                      <w:sz w:val="15"/>
                      <w:szCs w:val="15"/>
                      <w:lang w:val="en-US" w:eastAsia="zh-CN"/>
                    </w:rPr>
                    <w:t>mg/m</w:t>
                  </w:r>
                  <w:r>
                    <w:rPr>
                      <w:rFonts w:hint="default"/>
                      <w:sz w:val="15"/>
                      <w:szCs w:val="15"/>
                      <w:vertAlign w:val="superscript"/>
                      <w:lang w:val="en-US" w:eastAsia="zh-CN"/>
                    </w:rPr>
                    <w:t>3</w:t>
                  </w:r>
                </w:p>
              </w:tc>
              <w:tc>
                <w:tcPr>
                  <w:tcW w:w="363" w:type="pct"/>
                  <w:vMerge w:val="restart"/>
                  <w:tcBorders>
                    <w:tl2br w:val="nil"/>
                    <w:tr2bl w:val="nil"/>
                  </w:tcBorders>
                  <w:shd w:val="clear" w:color="auto" w:fill="auto"/>
                  <w:tcMar>
                    <w:top w:w="0" w:type="dxa"/>
                    <w:left w:w="0" w:type="dxa"/>
                    <w:bottom w:w="0" w:type="dxa"/>
                    <w:right w:w="0" w:type="dxa"/>
                  </w:tcMar>
                  <w:vAlign w:val="center"/>
                </w:tcPr>
                <w:p w14:paraId="0A9E7950">
                  <w:pPr>
                    <w:pStyle w:val="15"/>
                    <w:bidi w:val="0"/>
                    <w:rPr>
                      <w:rFonts w:hint="eastAsia"/>
                      <w:sz w:val="15"/>
                      <w:szCs w:val="15"/>
                    </w:rPr>
                  </w:pPr>
                  <w:r>
                    <w:rPr>
                      <w:rFonts w:hint="eastAsia"/>
                      <w:sz w:val="15"/>
                      <w:szCs w:val="15"/>
                      <w:lang w:val="en-US" w:eastAsia="zh-CN"/>
                    </w:rPr>
                    <w:t>排放速率</w:t>
                  </w:r>
                  <w:r>
                    <w:rPr>
                      <w:rFonts w:hint="default"/>
                      <w:sz w:val="15"/>
                      <w:szCs w:val="15"/>
                      <w:lang w:val="en-US" w:eastAsia="zh-CN"/>
                    </w:rPr>
                    <w:t>/kg/h</w:t>
                  </w:r>
                </w:p>
              </w:tc>
              <w:tc>
                <w:tcPr>
                  <w:tcW w:w="206" w:type="pct"/>
                  <w:tcBorders>
                    <w:tl2br w:val="nil"/>
                    <w:tr2bl w:val="nil"/>
                  </w:tcBorders>
                  <w:shd w:val="clear" w:color="auto" w:fill="auto"/>
                  <w:tcMar>
                    <w:top w:w="0" w:type="dxa"/>
                    <w:left w:w="0" w:type="dxa"/>
                    <w:bottom w:w="0" w:type="dxa"/>
                    <w:right w:w="0" w:type="dxa"/>
                  </w:tcMar>
                  <w:vAlign w:val="center"/>
                </w:tcPr>
                <w:p w14:paraId="351B0CFE">
                  <w:pPr>
                    <w:pStyle w:val="15"/>
                    <w:bidi w:val="0"/>
                    <w:rPr>
                      <w:rFonts w:hint="eastAsia"/>
                      <w:sz w:val="15"/>
                      <w:szCs w:val="15"/>
                    </w:rPr>
                  </w:pPr>
                  <w:r>
                    <w:rPr>
                      <w:rFonts w:hint="eastAsia"/>
                      <w:sz w:val="15"/>
                      <w:szCs w:val="15"/>
                      <w:lang w:val="en-US" w:eastAsia="zh-CN"/>
                    </w:rPr>
                    <w:t>排放量</w:t>
                  </w:r>
                  <w:r>
                    <w:rPr>
                      <w:rFonts w:hint="default"/>
                      <w:sz w:val="15"/>
                      <w:szCs w:val="15"/>
                      <w:lang w:val="en-US" w:eastAsia="zh-CN"/>
                    </w:rPr>
                    <w:t>/</w:t>
                  </w:r>
                </w:p>
              </w:tc>
              <w:tc>
                <w:tcPr>
                  <w:tcW w:w="203" w:type="pct"/>
                  <w:vMerge w:val="continue"/>
                  <w:tcBorders>
                    <w:tl2br w:val="nil"/>
                    <w:tr2bl w:val="nil"/>
                  </w:tcBorders>
                  <w:shd w:val="clear" w:color="auto" w:fill="auto"/>
                  <w:tcMar>
                    <w:top w:w="0" w:type="dxa"/>
                    <w:left w:w="0" w:type="dxa"/>
                    <w:bottom w:w="0" w:type="dxa"/>
                    <w:right w:w="0" w:type="dxa"/>
                  </w:tcMar>
                  <w:vAlign w:val="center"/>
                </w:tcPr>
                <w:p w14:paraId="6E4E3FEF">
                  <w:pPr>
                    <w:pStyle w:val="15"/>
                    <w:bidi w:val="0"/>
                    <w:rPr>
                      <w:rFonts w:hint="eastAsia"/>
                      <w:sz w:val="15"/>
                      <w:szCs w:val="15"/>
                    </w:rPr>
                  </w:pPr>
                </w:p>
              </w:tc>
            </w:tr>
            <w:tr w14:paraId="146389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99" w:type="pct"/>
                  <w:vMerge w:val="continue"/>
                  <w:tcBorders>
                    <w:tl2br w:val="nil"/>
                    <w:tr2bl w:val="nil"/>
                  </w:tcBorders>
                  <w:shd w:val="clear" w:color="auto" w:fill="auto"/>
                  <w:tcMar>
                    <w:top w:w="0" w:type="dxa"/>
                    <w:left w:w="0" w:type="dxa"/>
                    <w:bottom w:w="0" w:type="dxa"/>
                    <w:right w:w="0" w:type="dxa"/>
                  </w:tcMar>
                  <w:vAlign w:val="center"/>
                </w:tcPr>
                <w:p w14:paraId="1C51228A">
                  <w:pPr>
                    <w:pStyle w:val="15"/>
                    <w:bidi w:val="0"/>
                    <w:rPr>
                      <w:rFonts w:hint="eastAsia"/>
                      <w:sz w:val="15"/>
                      <w:szCs w:val="15"/>
                    </w:rPr>
                  </w:pPr>
                </w:p>
              </w:tc>
              <w:tc>
                <w:tcPr>
                  <w:tcW w:w="307" w:type="pct"/>
                  <w:vMerge w:val="continue"/>
                  <w:tcBorders>
                    <w:tl2br w:val="nil"/>
                    <w:tr2bl w:val="nil"/>
                  </w:tcBorders>
                  <w:shd w:val="clear" w:color="auto" w:fill="auto"/>
                  <w:tcMar>
                    <w:top w:w="0" w:type="dxa"/>
                    <w:left w:w="0" w:type="dxa"/>
                    <w:bottom w:w="0" w:type="dxa"/>
                    <w:right w:w="0" w:type="dxa"/>
                  </w:tcMar>
                  <w:vAlign w:val="center"/>
                </w:tcPr>
                <w:p w14:paraId="50B20B55">
                  <w:pPr>
                    <w:pStyle w:val="15"/>
                    <w:bidi w:val="0"/>
                    <w:rPr>
                      <w:rFonts w:hint="eastAsia"/>
                      <w:sz w:val="15"/>
                      <w:szCs w:val="15"/>
                    </w:rPr>
                  </w:pPr>
                </w:p>
              </w:tc>
              <w:tc>
                <w:tcPr>
                  <w:tcW w:w="327" w:type="pct"/>
                  <w:vMerge w:val="continue"/>
                  <w:tcBorders>
                    <w:tl2br w:val="nil"/>
                    <w:tr2bl w:val="nil"/>
                  </w:tcBorders>
                  <w:shd w:val="clear" w:color="auto" w:fill="auto"/>
                  <w:tcMar>
                    <w:top w:w="0" w:type="dxa"/>
                    <w:left w:w="0" w:type="dxa"/>
                    <w:bottom w:w="0" w:type="dxa"/>
                    <w:right w:w="0" w:type="dxa"/>
                  </w:tcMar>
                  <w:vAlign w:val="center"/>
                </w:tcPr>
                <w:p w14:paraId="22A05FB2">
                  <w:pPr>
                    <w:pStyle w:val="15"/>
                    <w:bidi w:val="0"/>
                    <w:rPr>
                      <w:rFonts w:hint="eastAsia"/>
                      <w:sz w:val="15"/>
                      <w:szCs w:val="15"/>
                    </w:rPr>
                  </w:pPr>
                </w:p>
              </w:tc>
              <w:tc>
                <w:tcPr>
                  <w:tcW w:w="438" w:type="pct"/>
                  <w:vMerge w:val="continue"/>
                  <w:tcBorders>
                    <w:tl2br w:val="nil"/>
                    <w:tr2bl w:val="nil"/>
                  </w:tcBorders>
                  <w:shd w:val="clear" w:color="auto" w:fill="auto"/>
                  <w:tcMar>
                    <w:top w:w="0" w:type="dxa"/>
                    <w:left w:w="0" w:type="dxa"/>
                    <w:bottom w:w="0" w:type="dxa"/>
                    <w:right w:w="0" w:type="dxa"/>
                  </w:tcMar>
                  <w:vAlign w:val="center"/>
                </w:tcPr>
                <w:p w14:paraId="442FBB8E">
                  <w:pPr>
                    <w:pStyle w:val="15"/>
                    <w:bidi w:val="0"/>
                    <w:rPr>
                      <w:rFonts w:hint="eastAsia"/>
                      <w:sz w:val="15"/>
                      <w:szCs w:val="15"/>
                    </w:rPr>
                  </w:pPr>
                </w:p>
              </w:tc>
              <w:tc>
                <w:tcPr>
                  <w:tcW w:w="469" w:type="pct"/>
                  <w:vMerge w:val="continue"/>
                  <w:tcBorders>
                    <w:tl2br w:val="nil"/>
                    <w:tr2bl w:val="nil"/>
                  </w:tcBorders>
                  <w:shd w:val="clear" w:color="auto" w:fill="auto"/>
                  <w:tcMar>
                    <w:top w:w="0" w:type="dxa"/>
                    <w:left w:w="0" w:type="dxa"/>
                    <w:bottom w:w="0" w:type="dxa"/>
                    <w:right w:w="0" w:type="dxa"/>
                  </w:tcMar>
                  <w:vAlign w:val="center"/>
                </w:tcPr>
                <w:p w14:paraId="76CE8B80">
                  <w:pPr>
                    <w:pStyle w:val="15"/>
                    <w:bidi w:val="0"/>
                    <w:rPr>
                      <w:rFonts w:hint="eastAsia"/>
                      <w:sz w:val="15"/>
                      <w:szCs w:val="15"/>
                    </w:rPr>
                  </w:pPr>
                </w:p>
              </w:tc>
              <w:tc>
                <w:tcPr>
                  <w:tcW w:w="608" w:type="pct"/>
                  <w:vMerge w:val="continue"/>
                  <w:tcBorders>
                    <w:tl2br w:val="nil"/>
                    <w:tr2bl w:val="nil"/>
                  </w:tcBorders>
                  <w:shd w:val="clear" w:color="auto" w:fill="auto"/>
                  <w:tcMar>
                    <w:top w:w="0" w:type="dxa"/>
                    <w:left w:w="0" w:type="dxa"/>
                    <w:bottom w:w="0" w:type="dxa"/>
                    <w:right w:w="0" w:type="dxa"/>
                  </w:tcMar>
                  <w:vAlign w:val="center"/>
                </w:tcPr>
                <w:p w14:paraId="3DDB6845">
                  <w:pPr>
                    <w:pStyle w:val="15"/>
                    <w:bidi w:val="0"/>
                    <w:rPr>
                      <w:rFonts w:hint="eastAsia"/>
                      <w:sz w:val="15"/>
                      <w:szCs w:val="15"/>
                    </w:rPr>
                  </w:pPr>
                </w:p>
              </w:tc>
              <w:tc>
                <w:tcPr>
                  <w:tcW w:w="299" w:type="pct"/>
                  <w:vMerge w:val="continue"/>
                  <w:tcBorders>
                    <w:tl2br w:val="nil"/>
                    <w:tr2bl w:val="nil"/>
                  </w:tcBorders>
                  <w:shd w:val="clear" w:color="auto" w:fill="auto"/>
                  <w:tcMar>
                    <w:top w:w="0" w:type="dxa"/>
                    <w:left w:w="0" w:type="dxa"/>
                    <w:bottom w:w="0" w:type="dxa"/>
                    <w:right w:w="0" w:type="dxa"/>
                  </w:tcMar>
                  <w:vAlign w:val="center"/>
                </w:tcPr>
                <w:p w14:paraId="47EE87B5">
                  <w:pPr>
                    <w:pStyle w:val="15"/>
                    <w:bidi w:val="0"/>
                    <w:rPr>
                      <w:rFonts w:hint="eastAsia"/>
                      <w:sz w:val="15"/>
                      <w:szCs w:val="15"/>
                    </w:rPr>
                  </w:pPr>
                </w:p>
              </w:tc>
              <w:tc>
                <w:tcPr>
                  <w:tcW w:w="266" w:type="pct"/>
                  <w:vMerge w:val="continue"/>
                  <w:tcBorders>
                    <w:tl2br w:val="nil"/>
                    <w:tr2bl w:val="nil"/>
                  </w:tcBorders>
                  <w:shd w:val="clear" w:color="auto" w:fill="auto"/>
                  <w:tcMar>
                    <w:top w:w="0" w:type="dxa"/>
                    <w:left w:w="0" w:type="dxa"/>
                    <w:bottom w:w="0" w:type="dxa"/>
                    <w:right w:w="0" w:type="dxa"/>
                  </w:tcMar>
                  <w:vAlign w:val="center"/>
                </w:tcPr>
                <w:p w14:paraId="46A02E78">
                  <w:pPr>
                    <w:pStyle w:val="15"/>
                    <w:bidi w:val="0"/>
                    <w:rPr>
                      <w:rFonts w:hint="eastAsia"/>
                      <w:sz w:val="15"/>
                      <w:szCs w:val="15"/>
                    </w:rPr>
                  </w:pPr>
                </w:p>
              </w:tc>
              <w:tc>
                <w:tcPr>
                  <w:tcW w:w="427" w:type="pct"/>
                  <w:vMerge w:val="continue"/>
                  <w:tcBorders>
                    <w:tl2br w:val="nil"/>
                    <w:tr2bl w:val="nil"/>
                  </w:tcBorders>
                  <w:shd w:val="clear" w:color="auto" w:fill="auto"/>
                  <w:tcMar>
                    <w:top w:w="0" w:type="dxa"/>
                    <w:left w:w="0" w:type="dxa"/>
                    <w:bottom w:w="0" w:type="dxa"/>
                    <w:right w:w="0" w:type="dxa"/>
                  </w:tcMar>
                  <w:vAlign w:val="center"/>
                </w:tcPr>
                <w:p w14:paraId="6FD2FE3F">
                  <w:pPr>
                    <w:pStyle w:val="15"/>
                    <w:bidi w:val="0"/>
                    <w:rPr>
                      <w:rFonts w:hint="eastAsia"/>
                      <w:sz w:val="15"/>
                      <w:szCs w:val="15"/>
                    </w:rPr>
                  </w:pPr>
                </w:p>
              </w:tc>
              <w:tc>
                <w:tcPr>
                  <w:tcW w:w="384" w:type="pct"/>
                  <w:vMerge w:val="continue"/>
                  <w:tcBorders>
                    <w:tl2br w:val="nil"/>
                    <w:tr2bl w:val="nil"/>
                  </w:tcBorders>
                  <w:shd w:val="clear" w:color="auto" w:fill="auto"/>
                  <w:tcMar>
                    <w:top w:w="0" w:type="dxa"/>
                    <w:left w:w="0" w:type="dxa"/>
                    <w:bottom w:w="0" w:type="dxa"/>
                    <w:right w:w="0" w:type="dxa"/>
                  </w:tcMar>
                  <w:vAlign w:val="center"/>
                </w:tcPr>
                <w:p w14:paraId="2ADBBFE7">
                  <w:pPr>
                    <w:pStyle w:val="15"/>
                    <w:bidi w:val="0"/>
                    <w:rPr>
                      <w:rFonts w:hint="eastAsia"/>
                      <w:sz w:val="15"/>
                      <w:szCs w:val="15"/>
                    </w:rPr>
                  </w:pPr>
                </w:p>
              </w:tc>
              <w:tc>
                <w:tcPr>
                  <w:tcW w:w="363" w:type="pct"/>
                  <w:vMerge w:val="continue"/>
                  <w:tcBorders>
                    <w:tl2br w:val="nil"/>
                    <w:tr2bl w:val="nil"/>
                  </w:tcBorders>
                  <w:shd w:val="clear" w:color="auto" w:fill="auto"/>
                  <w:tcMar>
                    <w:top w:w="0" w:type="dxa"/>
                    <w:left w:w="0" w:type="dxa"/>
                    <w:bottom w:w="0" w:type="dxa"/>
                    <w:right w:w="0" w:type="dxa"/>
                  </w:tcMar>
                  <w:vAlign w:val="center"/>
                </w:tcPr>
                <w:p w14:paraId="0AE69B60">
                  <w:pPr>
                    <w:pStyle w:val="15"/>
                    <w:bidi w:val="0"/>
                    <w:rPr>
                      <w:rFonts w:hint="eastAsia"/>
                      <w:sz w:val="15"/>
                      <w:szCs w:val="15"/>
                    </w:rPr>
                  </w:pPr>
                </w:p>
              </w:tc>
              <w:tc>
                <w:tcPr>
                  <w:tcW w:w="206" w:type="pct"/>
                  <w:tcBorders>
                    <w:tl2br w:val="nil"/>
                    <w:tr2bl w:val="nil"/>
                  </w:tcBorders>
                  <w:shd w:val="clear" w:color="auto" w:fill="auto"/>
                  <w:tcMar>
                    <w:top w:w="0" w:type="dxa"/>
                    <w:left w:w="0" w:type="dxa"/>
                    <w:bottom w:w="0" w:type="dxa"/>
                    <w:right w:w="0" w:type="dxa"/>
                  </w:tcMar>
                  <w:vAlign w:val="center"/>
                </w:tcPr>
                <w:p w14:paraId="294D4768">
                  <w:pPr>
                    <w:pStyle w:val="15"/>
                    <w:bidi w:val="0"/>
                    <w:rPr>
                      <w:rFonts w:hint="eastAsia"/>
                      <w:sz w:val="15"/>
                      <w:szCs w:val="15"/>
                    </w:rPr>
                  </w:pPr>
                  <w:r>
                    <w:rPr>
                      <w:rFonts w:hint="eastAsia"/>
                      <w:sz w:val="15"/>
                      <w:szCs w:val="15"/>
                      <w:lang w:val="en-US" w:eastAsia="zh-CN"/>
                    </w:rPr>
                    <w:t>(</w:t>
                  </w:r>
                  <w:r>
                    <w:rPr>
                      <w:rFonts w:hint="default"/>
                      <w:sz w:val="15"/>
                      <w:szCs w:val="15"/>
                      <w:lang w:val="en-US" w:eastAsia="zh-CN"/>
                    </w:rPr>
                    <w:t>t/a</w:t>
                  </w:r>
                  <w:r>
                    <w:rPr>
                      <w:rFonts w:hint="eastAsia"/>
                      <w:sz w:val="15"/>
                      <w:szCs w:val="15"/>
                      <w:lang w:val="en-US" w:eastAsia="zh-CN"/>
                    </w:rPr>
                    <w:t>)</w:t>
                  </w:r>
                </w:p>
              </w:tc>
              <w:tc>
                <w:tcPr>
                  <w:tcW w:w="203" w:type="pct"/>
                  <w:vMerge w:val="continue"/>
                  <w:tcBorders>
                    <w:tl2br w:val="nil"/>
                    <w:tr2bl w:val="nil"/>
                  </w:tcBorders>
                  <w:shd w:val="clear" w:color="auto" w:fill="auto"/>
                  <w:tcMar>
                    <w:top w:w="0" w:type="dxa"/>
                    <w:left w:w="0" w:type="dxa"/>
                    <w:bottom w:w="0" w:type="dxa"/>
                    <w:right w:w="0" w:type="dxa"/>
                  </w:tcMar>
                  <w:vAlign w:val="center"/>
                </w:tcPr>
                <w:p w14:paraId="790964F9">
                  <w:pPr>
                    <w:pStyle w:val="15"/>
                    <w:bidi w:val="0"/>
                    <w:rPr>
                      <w:rFonts w:hint="eastAsia"/>
                      <w:sz w:val="15"/>
                      <w:szCs w:val="15"/>
                    </w:rPr>
                  </w:pPr>
                </w:p>
              </w:tc>
            </w:tr>
            <w:tr w14:paraId="1D634A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99" w:type="pct"/>
                  <w:tcBorders>
                    <w:tl2br w:val="nil"/>
                    <w:tr2bl w:val="nil"/>
                  </w:tcBorders>
                  <w:shd w:val="clear" w:color="auto" w:fill="auto"/>
                  <w:tcMar>
                    <w:top w:w="0" w:type="dxa"/>
                    <w:left w:w="0" w:type="dxa"/>
                    <w:bottom w:w="0" w:type="dxa"/>
                    <w:right w:w="0" w:type="dxa"/>
                  </w:tcMar>
                  <w:vAlign w:val="center"/>
                </w:tcPr>
                <w:p w14:paraId="52E0B16C">
                  <w:pPr>
                    <w:pStyle w:val="15"/>
                    <w:bidi w:val="0"/>
                    <w:jc w:val="both"/>
                    <w:rPr>
                      <w:rFonts w:hint="eastAsia"/>
                      <w:sz w:val="15"/>
                      <w:szCs w:val="15"/>
                      <w:lang w:val="en-US" w:eastAsia="zh-CN"/>
                    </w:rPr>
                  </w:pPr>
                  <w:r>
                    <w:rPr>
                      <w:rFonts w:hint="eastAsia"/>
                      <w:sz w:val="15"/>
                      <w:szCs w:val="15"/>
                      <w:lang w:val="en-US" w:eastAsia="zh-CN"/>
                    </w:rPr>
                    <w:t>现有氯丙酸</w:t>
                  </w:r>
                </w:p>
                <w:p w14:paraId="0C52BE97">
                  <w:pPr>
                    <w:pStyle w:val="15"/>
                    <w:bidi w:val="0"/>
                    <w:jc w:val="both"/>
                    <w:rPr>
                      <w:rFonts w:hint="eastAsia"/>
                      <w:sz w:val="15"/>
                      <w:szCs w:val="15"/>
                      <w:lang w:val="en-US" w:eastAsia="zh-CN"/>
                    </w:rPr>
                  </w:pPr>
                  <w:r>
                    <w:rPr>
                      <w:rFonts w:hint="eastAsia"/>
                      <w:sz w:val="15"/>
                      <w:szCs w:val="15"/>
                      <w:lang w:val="en-US" w:eastAsia="zh-CN"/>
                    </w:rPr>
                    <w:t>生产工艺废</w:t>
                  </w:r>
                </w:p>
                <w:p w14:paraId="1D497BDE">
                  <w:pPr>
                    <w:pStyle w:val="15"/>
                    <w:bidi w:val="0"/>
                    <w:jc w:val="both"/>
                    <w:rPr>
                      <w:rFonts w:hint="eastAsia"/>
                      <w:sz w:val="15"/>
                      <w:szCs w:val="15"/>
                      <w:lang w:val="en-US" w:eastAsia="zh-CN"/>
                    </w:rPr>
                  </w:pPr>
                  <w:r>
                    <w:rPr>
                      <w:rFonts w:hint="eastAsia"/>
                      <w:sz w:val="15"/>
                      <w:szCs w:val="15"/>
                      <w:lang w:val="en-US" w:eastAsia="zh-CN"/>
                    </w:rPr>
                    <w:t>气+现有氯化</w:t>
                  </w:r>
                </w:p>
                <w:p w14:paraId="16523FEB">
                  <w:pPr>
                    <w:pStyle w:val="15"/>
                    <w:bidi w:val="0"/>
                    <w:jc w:val="both"/>
                    <w:rPr>
                      <w:rFonts w:hint="eastAsia"/>
                      <w:sz w:val="15"/>
                      <w:szCs w:val="15"/>
                      <w:lang w:val="en-US" w:eastAsia="zh-CN"/>
                    </w:rPr>
                  </w:pPr>
                  <w:r>
                    <w:rPr>
                      <w:rFonts w:hint="eastAsia"/>
                      <w:sz w:val="15"/>
                      <w:szCs w:val="15"/>
                      <w:lang w:val="en-US" w:eastAsia="zh-CN"/>
                    </w:rPr>
                    <w:t>亚砜储罐无</w:t>
                  </w:r>
                </w:p>
                <w:p w14:paraId="718922F4">
                  <w:pPr>
                    <w:pStyle w:val="15"/>
                    <w:bidi w:val="0"/>
                    <w:jc w:val="both"/>
                    <w:rPr>
                      <w:rFonts w:hint="eastAsia"/>
                      <w:sz w:val="15"/>
                      <w:szCs w:val="15"/>
                      <w:lang w:val="en-US" w:eastAsia="zh-CN"/>
                    </w:rPr>
                  </w:pPr>
                  <w:r>
                    <w:rPr>
                      <w:rFonts w:hint="eastAsia"/>
                      <w:sz w:val="15"/>
                      <w:szCs w:val="15"/>
                      <w:lang w:val="en-US" w:eastAsia="zh-CN"/>
                    </w:rPr>
                    <w:t>组织废气+现</w:t>
                  </w:r>
                </w:p>
                <w:p w14:paraId="33D8F05A">
                  <w:pPr>
                    <w:pStyle w:val="15"/>
                    <w:bidi w:val="0"/>
                    <w:jc w:val="both"/>
                    <w:rPr>
                      <w:rFonts w:hint="eastAsia"/>
                      <w:sz w:val="15"/>
                      <w:szCs w:val="15"/>
                      <w:vertAlign w:val="superscript"/>
                      <w:lang w:val="en-US" w:eastAsia="zh-CN"/>
                    </w:rPr>
                  </w:pPr>
                  <w:r>
                    <w:rPr>
                      <w:rFonts w:hint="eastAsia"/>
                      <w:sz w:val="15"/>
                      <w:szCs w:val="15"/>
                      <w:lang w:val="en-US" w:eastAsia="zh-CN"/>
                    </w:rPr>
                    <w:t>有2座200m</w:t>
                  </w:r>
                  <w:r>
                    <w:rPr>
                      <w:rFonts w:hint="eastAsia"/>
                      <w:sz w:val="15"/>
                      <w:szCs w:val="15"/>
                      <w:vertAlign w:val="superscript"/>
                      <w:lang w:val="en-US" w:eastAsia="zh-CN"/>
                    </w:rPr>
                    <w:t>3</w:t>
                  </w:r>
                </w:p>
                <w:p w14:paraId="6E60B2CC">
                  <w:pPr>
                    <w:pStyle w:val="15"/>
                    <w:bidi w:val="0"/>
                    <w:jc w:val="both"/>
                    <w:rPr>
                      <w:rFonts w:hint="eastAsia"/>
                      <w:sz w:val="15"/>
                      <w:szCs w:val="15"/>
                      <w:lang w:val="en-US" w:eastAsia="zh-CN"/>
                    </w:rPr>
                  </w:pPr>
                  <w:r>
                    <w:rPr>
                      <w:rFonts w:hint="eastAsia"/>
                      <w:sz w:val="15"/>
                      <w:szCs w:val="15"/>
                      <w:lang w:val="en-US" w:eastAsia="zh-CN"/>
                    </w:rPr>
                    <w:t>立式固定顶玻</w:t>
                  </w:r>
                </w:p>
                <w:p w14:paraId="18A3AE8E">
                  <w:pPr>
                    <w:pStyle w:val="15"/>
                    <w:bidi w:val="0"/>
                    <w:jc w:val="both"/>
                    <w:rPr>
                      <w:rFonts w:hint="eastAsia"/>
                      <w:sz w:val="15"/>
                      <w:szCs w:val="15"/>
                      <w:lang w:val="en-US" w:eastAsia="zh-CN"/>
                    </w:rPr>
                  </w:pPr>
                  <w:r>
                    <w:rPr>
                      <w:rFonts w:hint="eastAsia"/>
                      <w:sz w:val="15"/>
                      <w:szCs w:val="15"/>
                      <w:lang w:val="en-US" w:eastAsia="zh-CN"/>
                    </w:rPr>
                    <w:t>璃钢31%盐酸</w:t>
                  </w:r>
                </w:p>
                <w:p w14:paraId="7F647FF1">
                  <w:pPr>
                    <w:pStyle w:val="15"/>
                    <w:bidi w:val="0"/>
                    <w:jc w:val="both"/>
                    <w:rPr>
                      <w:rFonts w:hint="eastAsia"/>
                      <w:sz w:val="15"/>
                      <w:szCs w:val="15"/>
                    </w:rPr>
                  </w:pPr>
                  <w:r>
                    <w:rPr>
                      <w:rFonts w:hint="eastAsia"/>
                      <w:sz w:val="15"/>
                      <w:szCs w:val="15"/>
                      <w:lang w:val="en-US" w:eastAsia="zh-CN"/>
                    </w:rPr>
                    <w:t>储罐</w:t>
                  </w:r>
                </w:p>
              </w:tc>
              <w:tc>
                <w:tcPr>
                  <w:tcW w:w="307" w:type="pct"/>
                  <w:vMerge w:val="restart"/>
                  <w:tcBorders>
                    <w:tl2br w:val="nil"/>
                    <w:tr2bl w:val="nil"/>
                  </w:tcBorders>
                  <w:shd w:val="clear" w:color="auto" w:fill="auto"/>
                  <w:tcMar>
                    <w:top w:w="0" w:type="dxa"/>
                    <w:left w:w="0" w:type="dxa"/>
                    <w:bottom w:w="0" w:type="dxa"/>
                    <w:right w:w="0" w:type="dxa"/>
                  </w:tcMar>
                  <w:vAlign w:val="center"/>
                </w:tcPr>
                <w:p w14:paraId="489968F8">
                  <w:pPr>
                    <w:pStyle w:val="15"/>
                    <w:bidi w:val="0"/>
                    <w:rPr>
                      <w:rFonts w:hint="eastAsia"/>
                      <w:sz w:val="15"/>
                      <w:szCs w:val="15"/>
                    </w:rPr>
                  </w:pPr>
                  <w:r>
                    <w:rPr>
                      <w:rFonts w:hint="eastAsia"/>
                      <w:sz w:val="15"/>
                      <w:szCs w:val="15"/>
                      <w:lang w:val="en-US" w:eastAsia="zh-CN"/>
                    </w:rPr>
                    <w:t>HCl</w:t>
                  </w:r>
                </w:p>
              </w:tc>
              <w:tc>
                <w:tcPr>
                  <w:tcW w:w="327" w:type="pct"/>
                  <w:tcBorders>
                    <w:tl2br w:val="nil"/>
                    <w:tr2bl w:val="nil"/>
                  </w:tcBorders>
                  <w:shd w:val="clear" w:color="auto" w:fill="auto"/>
                  <w:tcMar>
                    <w:top w:w="0" w:type="dxa"/>
                    <w:left w:w="0" w:type="dxa"/>
                    <w:bottom w:w="0" w:type="dxa"/>
                    <w:right w:w="0" w:type="dxa"/>
                  </w:tcMar>
                  <w:vAlign w:val="center"/>
                </w:tcPr>
                <w:p w14:paraId="5DEC12BF">
                  <w:pPr>
                    <w:pStyle w:val="15"/>
                    <w:bidi w:val="0"/>
                    <w:rPr>
                      <w:rFonts w:hint="eastAsia"/>
                      <w:sz w:val="15"/>
                      <w:szCs w:val="15"/>
                    </w:rPr>
                  </w:pPr>
                </w:p>
              </w:tc>
              <w:tc>
                <w:tcPr>
                  <w:tcW w:w="438" w:type="pct"/>
                  <w:tcBorders>
                    <w:tl2br w:val="nil"/>
                    <w:tr2bl w:val="nil"/>
                  </w:tcBorders>
                  <w:shd w:val="clear" w:color="auto" w:fill="auto"/>
                  <w:tcMar>
                    <w:top w:w="0" w:type="dxa"/>
                    <w:left w:w="0" w:type="dxa"/>
                    <w:bottom w:w="0" w:type="dxa"/>
                    <w:right w:w="0" w:type="dxa"/>
                  </w:tcMar>
                  <w:vAlign w:val="center"/>
                </w:tcPr>
                <w:p w14:paraId="5F0E788F">
                  <w:pPr>
                    <w:pStyle w:val="15"/>
                    <w:bidi w:val="0"/>
                    <w:rPr>
                      <w:rFonts w:hint="eastAsia"/>
                      <w:sz w:val="15"/>
                      <w:szCs w:val="15"/>
                    </w:rPr>
                  </w:pPr>
                  <w:r>
                    <w:rPr>
                      <w:rFonts w:hint="eastAsia"/>
                      <w:sz w:val="15"/>
                      <w:szCs w:val="15"/>
                      <w:lang w:val="en-US" w:eastAsia="zh-CN"/>
                    </w:rPr>
                    <w:t>0.0048</w:t>
                  </w:r>
                </w:p>
              </w:tc>
              <w:tc>
                <w:tcPr>
                  <w:tcW w:w="469" w:type="pct"/>
                  <w:tcBorders>
                    <w:tl2br w:val="nil"/>
                    <w:tr2bl w:val="nil"/>
                  </w:tcBorders>
                  <w:shd w:val="clear" w:color="auto" w:fill="auto"/>
                  <w:tcMar>
                    <w:top w:w="0" w:type="dxa"/>
                    <w:left w:w="0" w:type="dxa"/>
                    <w:bottom w:w="0" w:type="dxa"/>
                    <w:right w:w="0" w:type="dxa"/>
                  </w:tcMar>
                  <w:vAlign w:val="center"/>
                </w:tcPr>
                <w:p w14:paraId="59C6D797">
                  <w:pPr>
                    <w:pStyle w:val="15"/>
                    <w:bidi w:val="0"/>
                    <w:rPr>
                      <w:rFonts w:hint="eastAsia"/>
                      <w:sz w:val="15"/>
                      <w:szCs w:val="15"/>
                    </w:rPr>
                  </w:pPr>
                  <w:r>
                    <w:rPr>
                      <w:rFonts w:hint="eastAsia"/>
                      <w:sz w:val="15"/>
                      <w:szCs w:val="15"/>
                      <w:lang w:val="en-US" w:eastAsia="zh-CN"/>
                    </w:rPr>
                    <w:t>0.0384</w:t>
                  </w:r>
                </w:p>
              </w:tc>
              <w:tc>
                <w:tcPr>
                  <w:tcW w:w="608" w:type="pct"/>
                  <w:vMerge w:val="restart"/>
                  <w:tcBorders>
                    <w:tl2br w:val="nil"/>
                    <w:tr2bl w:val="nil"/>
                  </w:tcBorders>
                  <w:shd w:val="clear" w:color="auto" w:fill="auto"/>
                  <w:tcMar>
                    <w:top w:w="0" w:type="dxa"/>
                    <w:left w:w="0" w:type="dxa"/>
                    <w:bottom w:w="0" w:type="dxa"/>
                    <w:right w:w="0" w:type="dxa"/>
                  </w:tcMar>
                  <w:vAlign w:val="center"/>
                </w:tcPr>
                <w:p w14:paraId="2AB5F826">
                  <w:pPr>
                    <w:pStyle w:val="15"/>
                    <w:bidi w:val="0"/>
                    <w:rPr>
                      <w:rFonts w:hint="eastAsia"/>
                      <w:sz w:val="15"/>
                      <w:szCs w:val="15"/>
                    </w:rPr>
                  </w:pPr>
                  <w:r>
                    <w:rPr>
                      <w:rFonts w:hint="eastAsia"/>
                      <w:sz w:val="15"/>
                      <w:szCs w:val="15"/>
                      <w:lang w:val="en-US" w:eastAsia="zh-CN"/>
                    </w:rPr>
                    <w:t>呼吸阀连接收集管道，输送至厂区现有</w:t>
                  </w:r>
                  <w:r>
                    <w:rPr>
                      <w:rFonts w:hint="default"/>
                      <w:sz w:val="15"/>
                      <w:szCs w:val="15"/>
                      <w:lang w:val="en-US" w:eastAsia="zh-CN"/>
                    </w:rPr>
                    <w:t>TA002</w:t>
                  </w:r>
                  <w:r>
                    <w:rPr>
                      <w:rFonts w:hint="eastAsia"/>
                      <w:sz w:val="15"/>
                      <w:szCs w:val="15"/>
                      <w:lang w:val="en-US" w:eastAsia="zh-CN"/>
                    </w:rPr>
                    <w:t>（三级降膜水吸收</w:t>
                  </w:r>
                  <w:r>
                    <w:rPr>
                      <w:rFonts w:hint="default"/>
                      <w:sz w:val="15"/>
                      <w:szCs w:val="15"/>
                      <w:lang w:val="en-US" w:eastAsia="zh-CN"/>
                    </w:rPr>
                    <w:t>+</w:t>
                  </w:r>
                  <w:r>
                    <w:rPr>
                      <w:rFonts w:hint="eastAsia"/>
                      <w:sz w:val="15"/>
                      <w:szCs w:val="15"/>
                      <w:lang w:val="en-US" w:eastAsia="zh-CN"/>
                    </w:rPr>
                    <w:t>三级填料碱吸收</w:t>
                  </w:r>
                  <w:r>
                    <w:rPr>
                      <w:rFonts w:hint="default"/>
                      <w:sz w:val="15"/>
                      <w:szCs w:val="15"/>
                      <w:lang w:val="en-US" w:eastAsia="zh-CN"/>
                    </w:rPr>
                    <w:t>+</w:t>
                  </w:r>
                  <w:r>
                    <w:rPr>
                      <w:rFonts w:hint="eastAsia"/>
                      <w:sz w:val="15"/>
                      <w:szCs w:val="15"/>
                      <w:lang w:val="en-US" w:eastAsia="zh-CN"/>
                    </w:rPr>
                    <w:t>一级碱喷淋）废气处理装置处理</w:t>
                  </w:r>
                </w:p>
              </w:tc>
              <w:tc>
                <w:tcPr>
                  <w:tcW w:w="299" w:type="pct"/>
                  <w:vMerge w:val="restart"/>
                  <w:tcBorders>
                    <w:tl2br w:val="nil"/>
                    <w:tr2bl w:val="nil"/>
                  </w:tcBorders>
                  <w:shd w:val="clear" w:color="auto" w:fill="auto"/>
                  <w:tcMar>
                    <w:top w:w="0" w:type="dxa"/>
                    <w:left w:w="0" w:type="dxa"/>
                    <w:bottom w:w="0" w:type="dxa"/>
                    <w:right w:w="0" w:type="dxa"/>
                  </w:tcMar>
                  <w:vAlign w:val="center"/>
                </w:tcPr>
                <w:p w14:paraId="687A80E0">
                  <w:pPr>
                    <w:pStyle w:val="15"/>
                    <w:bidi w:val="0"/>
                    <w:rPr>
                      <w:rFonts w:hint="default"/>
                      <w:sz w:val="15"/>
                      <w:szCs w:val="15"/>
                    </w:rPr>
                  </w:pPr>
                  <w:r>
                    <w:rPr>
                      <w:rFonts w:hint="default"/>
                      <w:sz w:val="15"/>
                      <w:szCs w:val="15"/>
                      <w:lang w:val="en-US" w:eastAsia="zh-CN"/>
                    </w:rPr>
                    <w:t>70%</w:t>
                  </w:r>
                </w:p>
              </w:tc>
              <w:tc>
                <w:tcPr>
                  <w:tcW w:w="266" w:type="pct"/>
                  <w:vMerge w:val="restart"/>
                  <w:tcBorders>
                    <w:tl2br w:val="nil"/>
                    <w:tr2bl w:val="nil"/>
                  </w:tcBorders>
                  <w:shd w:val="clear" w:color="auto" w:fill="auto"/>
                  <w:tcMar>
                    <w:top w:w="0" w:type="dxa"/>
                    <w:left w:w="0" w:type="dxa"/>
                    <w:bottom w:w="0" w:type="dxa"/>
                    <w:right w:w="0" w:type="dxa"/>
                  </w:tcMar>
                  <w:vAlign w:val="center"/>
                </w:tcPr>
                <w:p w14:paraId="06AF208D">
                  <w:pPr>
                    <w:pStyle w:val="15"/>
                    <w:bidi w:val="0"/>
                    <w:rPr>
                      <w:rFonts w:hint="eastAsia"/>
                      <w:sz w:val="15"/>
                      <w:szCs w:val="15"/>
                    </w:rPr>
                  </w:pPr>
                  <w:r>
                    <w:rPr>
                      <w:rFonts w:hint="eastAsia"/>
                      <w:sz w:val="15"/>
                      <w:szCs w:val="15"/>
                      <w:lang w:val="en-US" w:eastAsia="zh-CN"/>
                    </w:rPr>
                    <w:t>物料衡算法</w:t>
                  </w:r>
                </w:p>
              </w:tc>
              <w:tc>
                <w:tcPr>
                  <w:tcW w:w="427" w:type="pct"/>
                  <w:vMerge w:val="restart"/>
                  <w:tcBorders>
                    <w:tl2br w:val="nil"/>
                    <w:tr2bl w:val="nil"/>
                  </w:tcBorders>
                  <w:shd w:val="clear" w:color="auto" w:fill="auto"/>
                  <w:tcMar>
                    <w:top w:w="0" w:type="dxa"/>
                    <w:left w:w="0" w:type="dxa"/>
                    <w:bottom w:w="0" w:type="dxa"/>
                    <w:right w:w="0" w:type="dxa"/>
                  </w:tcMar>
                  <w:vAlign w:val="center"/>
                </w:tcPr>
                <w:p w14:paraId="11FDF731">
                  <w:pPr>
                    <w:pStyle w:val="15"/>
                    <w:bidi w:val="0"/>
                    <w:rPr>
                      <w:rFonts w:hint="default"/>
                      <w:sz w:val="15"/>
                      <w:szCs w:val="15"/>
                      <w:lang w:val="en-US"/>
                    </w:rPr>
                  </w:pPr>
                  <w:r>
                    <w:rPr>
                      <w:rFonts w:hint="eastAsia"/>
                      <w:sz w:val="15"/>
                      <w:szCs w:val="15"/>
                      <w:lang w:val="en-US" w:eastAsia="zh-CN"/>
                    </w:rPr>
                    <w:t>10000</w:t>
                  </w:r>
                </w:p>
              </w:tc>
              <w:tc>
                <w:tcPr>
                  <w:tcW w:w="384" w:type="pct"/>
                  <w:vMerge w:val="restart"/>
                  <w:tcBorders>
                    <w:tl2br w:val="nil"/>
                    <w:tr2bl w:val="nil"/>
                  </w:tcBorders>
                  <w:shd w:val="clear" w:color="auto" w:fill="auto"/>
                  <w:tcMar>
                    <w:top w:w="0" w:type="dxa"/>
                    <w:left w:w="0" w:type="dxa"/>
                    <w:bottom w:w="0" w:type="dxa"/>
                    <w:right w:w="0" w:type="dxa"/>
                  </w:tcMar>
                  <w:vAlign w:val="center"/>
                </w:tcPr>
                <w:p w14:paraId="71DB559C">
                  <w:pPr>
                    <w:pStyle w:val="15"/>
                    <w:bidi w:val="0"/>
                    <w:rPr>
                      <w:rFonts w:hint="default"/>
                      <w:sz w:val="15"/>
                      <w:szCs w:val="15"/>
                      <w:lang w:val="en-US"/>
                    </w:rPr>
                  </w:pPr>
                  <w:r>
                    <w:rPr>
                      <w:rFonts w:hint="eastAsia"/>
                      <w:sz w:val="15"/>
                      <w:szCs w:val="15"/>
                      <w:lang w:val="en-US" w:eastAsia="zh-CN"/>
                    </w:rPr>
                    <w:t>1.38</w:t>
                  </w:r>
                </w:p>
              </w:tc>
              <w:tc>
                <w:tcPr>
                  <w:tcW w:w="363" w:type="pct"/>
                  <w:vMerge w:val="restart"/>
                  <w:tcBorders>
                    <w:tl2br w:val="nil"/>
                    <w:tr2bl w:val="nil"/>
                  </w:tcBorders>
                  <w:shd w:val="clear" w:color="auto" w:fill="auto"/>
                  <w:tcMar>
                    <w:top w:w="0" w:type="dxa"/>
                    <w:left w:w="0" w:type="dxa"/>
                    <w:bottom w:w="0" w:type="dxa"/>
                    <w:right w:w="0" w:type="dxa"/>
                  </w:tcMar>
                  <w:vAlign w:val="center"/>
                </w:tcPr>
                <w:p w14:paraId="57157112">
                  <w:pPr>
                    <w:pStyle w:val="15"/>
                    <w:bidi w:val="0"/>
                    <w:rPr>
                      <w:rFonts w:hint="default"/>
                      <w:sz w:val="15"/>
                      <w:szCs w:val="15"/>
                    </w:rPr>
                  </w:pPr>
                  <w:r>
                    <w:rPr>
                      <w:rFonts w:hint="default"/>
                      <w:sz w:val="15"/>
                      <w:szCs w:val="15"/>
                      <w:lang w:val="en-US" w:eastAsia="zh-CN"/>
                    </w:rPr>
                    <w:t>0.0138</w:t>
                  </w:r>
                </w:p>
              </w:tc>
              <w:tc>
                <w:tcPr>
                  <w:tcW w:w="206" w:type="pct"/>
                  <w:vMerge w:val="restart"/>
                  <w:tcBorders>
                    <w:tl2br w:val="nil"/>
                    <w:tr2bl w:val="nil"/>
                  </w:tcBorders>
                  <w:shd w:val="clear" w:color="auto" w:fill="auto"/>
                  <w:tcMar>
                    <w:top w:w="0" w:type="dxa"/>
                    <w:left w:w="0" w:type="dxa"/>
                    <w:bottom w:w="0" w:type="dxa"/>
                    <w:right w:w="0" w:type="dxa"/>
                  </w:tcMar>
                  <w:vAlign w:val="center"/>
                </w:tcPr>
                <w:p w14:paraId="6753168D">
                  <w:pPr>
                    <w:pStyle w:val="15"/>
                    <w:bidi w:val="0"/>
                    <w:rPr>
                      <w:rFonts w:hint="default"/>
                      <w:sz w:val="15"/>
                      <w:szCs w:val="15"/>
                    </w:rPr>
                  </w:pPr>
                  <w:r>
                    <w:rPr>
                      <w:rFonts w:hint="default"/>
                      <w:sz w:val="15"/>
                      <w:szCs w:val="15"/>
                      <w:lang w:val="en-US" w:eastAsia="zh-CN"/>
                    </w:rPr>
                    <w:t>0.11</w:t>
                  </w:r>
                </w:p>
              </w:tc>
              <w:tc>
                <w:tcPr>
                  <w:tcW w:w="203" w:type="pct"/>
                  <w:vMerge w:val="restart"/>
                  <w:tcBorders>
                    <w:tl2br w:val="nil"/>
                    <w:tr2bl w:val="nil"/>
                  </w:tcBorders>
                  <w:shd w:val="clear" w:color="auto" w:fill="auto"/>
                  <w:tcMar>
                    <w:top w:w="0" w:type="dxa"/>
                    <w:left w:w="0" w:type="dxa"/>
                    <w:bottom w:w="0" w:type="dxa"/>
                    <w:right w:w="0" w:type="dxa"/>
                  </w:tcMar>
                  <w:vAlign w:val="center"/>
                </w:tcPr>
                <w:p w14:paraId="1B5F1E65">
                  <w:pPr>
                    <w:pStyle w:val="15"/>
                    <w:bidi w:val="0"/>
                    <w:rPr>
                      <w:rFonts w:hint="default"/>
                      <w:sz w:val="15"/>
                      <w:szCs w:val="15"/>
                    </w:rPr>
                  </w:pPr>
                  <w:r>
                    <w:rPr>
                      <w:rFonts w:hint="default"/>
                      <w:sz w:val="15"/>
                      <w:szCs w:val="15"/>
                      <w:lang w:val="en-US" w:eastAsia="zh-CN"/>
                    </w:rPr>
                    <w:t>8000</w:t>
                  </w:r>
                </w:p>
              </w:tc>
            </w:tr>
            <w:tr w14:paraId="0240B9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99" w:type="pct"/>
                  <w:tcBorders>
                    <w:tl2br w:val="nil"/>
                    <w:tr2bl w:val="nil"/>
                  </w:tcBorders>
                  <w:shd w:val="clear" w:color="auto" w:fill="auto"/>
                  <w:tcMar>
                    <w:top w:w="0" w:type="dxa"/>
                    <w:left w:w="0" w:type="dxa"/>
                    <w:bottom w:w="0" w:type="dxa"/>
                    <w:right w:w="0" w:type="dxa"/>
                  </w:tcMar>
                  <w:vAlign w:val="center"/>
                </w:tcPr>
                <w:p w14:paraId="7E2A793A">
                  <w:pPr>
                    <w:pStyle w:val="15"/>
                    <w:bidi w:val="0"/>
                    <w:jc w:val="both"/>
                    <w:rPr>
                      <w:rFonts w:hint="eastAsia"/>
                      <w:sz w:val="15"/>
                      <w:szCs w:val="15"/>
                      <w:vertAlign w:val="superscript"/>
                      <w:lang w:val="en-US" w:eastAsia="zh-CN"/>
                    </w:rPr>
                  </w:pPr>
                  <w:r>
                    <w:rPr>
                      <w:rFonts w:hint="eastAsia"/>
                      <w:sz w:val="15"/>
                      <w:szCs w:val="15"/>
                      <w:lang w:val="en-US" w:eastAsia="zh-CN"/>
                    </w:rPr>
                    <w:t>扩建4座200m</w:t>
                  </w:r>
                  <w:r>
                    <w:rPr>
                      <w:rFonts w:hint="eastAsia"/>
                      <w:sz w:val="15"/>
                      <w:szCs w:val="15"/>
                      <w:vertAlign w:val="superscript"/>
                      <w:lang w:val="en-US" w:eastAsia="zh-CN"/>
                    </w:rPr>
                    <w:t>3</w:t>
                  </w:r>
                </w:p>
                <w:p w14:paraId="367AD0FC">
                  <w:pPr>
                    <w:pStyle w:val="15"/>
                    <w:bidi w:val="0"/>
                    <w:jc w:val="both"/>
                    <w:rPr>
                      <w:rFonts w:hint="eastAsia"/>
                      <w:sz w:val="15"/>
                      <w:szCs w:val="15"/>
                      <w:lang w:val="en-US" w:eastAsia="zh-CN"/>
                    </w:rPr>
                  </w:pPr>
                  <w:r>
                    <w:rPr>
                      <w:rFonts w:hint="eastAsia"/>
                      <w:sz w:val="15"/>
                      <w:szCs w:val="15"/>
                      <w:lang w:val="en-US" w:eastAsia="zh-CN"/>
                    </w:rPr>
                    <w:t>立式固定顶玻璃</w:t>
                  </w:r>
                </w:p>
                <w:p w14:paraId="528A2579">
                  <w:pPr>
                    <w:pStyle w:val="15"/>
                    <w:bidi w:val="0"/>
                    <w:jc w:val="both"/>
                    <w:rPr>
                      <w:rFonts w:hint="eastAsia"/>
                      <w:sz w:val="15"/>
                      <w:szCs w:val="15"/>
                    </w:rPr>
                  </w:pPr>
                  <w:r>
                    <w:rPr>
                      <w:rFonts w:hint="eastAsia"/>
                      <w:sz w:val="15"/>
                      <w:szCs w:val="15"/>
                      <w:lang w:val="en-US" w:eastAsia="zh-CN"/>
                    </w:rPr>
                    <w:t>钢31%盐酸储罐</w:t>
                  </w:r>
                </w:p>
              </w:tc>
              <w:tc>
                <w:tcPr>
                  <w:tcW w:w="307" w:type="pct"/>
                  <w:vMerge w:val="continue"/>
                  <w:tcBorders>
                    <w:tl2br w:val="nil"/>
                    <w:tr2bl w:val="nil"/>
                  </w:tcBorders>
                  <w:shd w:val="clear" w:color="auto" w:fill="auto"/>
                  <w:tcMar>
                    <w:top w:w="0" w:type="dxa"/>
                    <w:left w:w="0" w:type="dxa"/>
                    <w:bottom w:w="0" w:type="dxa"/>
                    <w:right w:w="0" w:type="dxa"/>
                  </w:tcMar>
                  <w:vAlign w:val="center"/>
                </w:tcPr>
                <w:p w14:paraId="7627019B">
                  <w:pPr>
                    <w:pStyle w:val="15"/>
                    <w:bidi w:val="0"/>
                    <w:rPr>
                      <w:rFonts w:hint="eastAsia"/>
                      <w:sz w:val="15"/>
                      <w:szCs w:val="15"/>
                    </w:rPr>
                  </w:pPr>
                </w:p>
              </w:tc>
              <w:tc>
                <w:tcPr>
                  <w:tcW w:w="327" w:type="pct"/>
                  <w:tcBorders>
                    <w:tl2br w:val="nil"/>
                    <w:tr2bl w:val="nil"/>
                  </w:tcBorders>
                  <w:shd w:val="clear" w:color="auto" w:fill="auto"/>
                  <w:tcMar>
                    <w:top w:w="0" w:type="dxa"/>
                    <w:left w:w="0" w:type="dxa"/>
                    <w:bottom w:w="0" w:type="dxa"/>
                    <w:right w:w="0" w:type="dxa"/>
                  </w:tcMar>
                  <w:vAlign w:val="center"/>
                </w:tcPr>
                <w:p w14:paraId="5097864B">
                  <w:pPr>
                    <w:pStyle w:val="15"/>
                    <w:bidi w:val="0"/>
                    <w:rPr>
                      <w:rFonts w:hint="default"/>
                      <w:sz w:val="15"/>
                      <w:szCs w:val="15"/>
                    </w:rPr>
                  </w:pPr>
                  <w:r>
                    <w:rPr>
                      <w:rFonts w:hint="default"/>
                      <w:sz w:val="15"/>
                      <w:szCs w:val="15"/>
                      <w:lang w:val="en-US" w:eastAsia="zh-CN"/>
                    </w:rPr>
                    <w:t>/</w:t>
                  </w:r>
                </w:p>
              </w:tc>
              <w:tc>
                <w:tcPr>
                  <w:tcW w:w="438" w:type="pct"/>
                  <w:tcBorders>
                    <w:tl2br w:val="nil"/>
                    <w:tr2bl w:val="nil"/>
                  </w:tcBorders>
                  <w:shd w:val="clear" w:color="auto" w:fill="auto"/>
                  <w:tcMar>
                    <w:top w:w="0" w:type="dxa"/>
                    <w:left w:w="0" w:type="dxa"/>
                    <w:bottom w:w="0" w:type="dxa"/>
                    <w:right w:w="0" w:type="dxa"/>
                  </w:tcMar>
                  <w:vAlign w:val="center"/>
                </w:tcPr>
                <w:p w14:paraId="1724E0C0">
                  <w:pPr>
                    <w:pStyle w:val="15"/>
                    <w:bidi w:val="0"/>
                    <w:rPr>
                      <w:rFonts w:hint="default"/>
                      <w:sz w:val="15"/>
                      <w:szCs w:val="15"/>
                    </w:rPr>
                  </w:pPr>
                  <w:r>
                    <w:rPr>
                      <w:rFonts w:hint="default"/>
                      <w:sz w:val="15"/>
                      <w:szCs w:val="15"/>
                      <w:lang w:val="en-US" w:eastAsia="zh-CN"/>
                    </w:rPr>
                    <w:t>0.0425</w:t>
                  </w:r>
                </w:p>
              </w:tc>
              <w:tc>
                <w:tcPr>
                  <w:tcW w:w="469" w:type="pct"/>
                  <w:tcBorders>
                    <w:tl2br w:val="nil"/>
                    <w:tr2bl w:val="nil"/>
                  </w:tcBorders>
                  <w:shd w:val="clear" w:color="auto" w:fill="auto"/>
                  <w:tcMar>
                    <w:top w:w="0" w:type="dxa"/>
                    <w:left w:w="0" w:type="dxa"/>
                    <w:bottom w:w="0" w:type="dxa"/>
                    <w:right w:w="0" w:type="dxa"/>
                  </w:tcMar>
                  <w:vAlign w:val="center"/>
                </w:tcPr>
                <w:p w14:paraId="26FE8610">
                  <w:pPr>
                    <w:pStyle w:val="15"/>
                    <w:bidi w:val="0"/>
                    <w:rPr>
                      <w:rFonts w:hint="default"/>
                      <w:sz w:val="15"/>
                      <w:szCs w:val="15"/>
                    </w:rPr>
                  </w:pPr>
                  <w:r>
                    <w:rPr>
                      <w:rFonts w:hint="default"/>
                      <w:sz w:val="15"/>
                      <w:szCs w:val="15"/>
                      <w:lang w:val="en-US" w:eastAsia="zh-CN"/>
                    </w:rPr>
                    <w:t>0.34</w:t>
                  </w:r>
                </w:p>
              </w:tc>
              <w:tc>
                <w:tcPr>
                  <w:tcW w:w="608" w:type="pct"/>
                  <w:vMerge w:val="continue"/>
                  <w:tcBorders>
                    <w:tl2br w:val="nil"/>
                    <w:tr2bl w:val="nil"/>
                  </w:tcBorders>
                  <w:shd w:val="clear" w:color="auto" w:fill="auto"/>
                  <w:tcMar>
                    <w:top w:w="0" w:type="dxa"/>
                    <w:left w:w="0" w:type="dxa"/>
                    <w:bottom w:w="0" w:type="dxa"/>
                    <w:right w:w="0" w:type="dxa"/>
                  </w:tcMar>
                  <w:vAlign w:val="center"/>
                </w:tcPr>
                <w:p w14:paraId="38D79CA1">
                  <w:pPr>
                    <w:pStyle w:val="15"/>
                    <w:bidi w:val="0"/>
                    <w:rPr>
                      <w:rFonts w:hint="eastAsia"/>
                      <w:sz w:val="15"/>
                      <w:szCs w:val="15"/>
                    </w:rPr>
                  </w:pPr>
                </w:p>
              </w:tc>
              <w:tc>
                <w:tcPr>
                  <w:tcW w:w="299" w:type="pct"/>
                  <w:vMerge w:val="continue"/>
                  <w:tcBorders>
                    <w:tl2br w:val="nil"/>
                    <w:tr2bl w:val="nil"/>
                  </w:tcBorders>
                  <w:shd w:val="clear" w:color="auto" w:fill="auto"/>
                  <w:tcMar>
                    <w:top w:w="0" w:type="dxa"/>
                    <w:left w:w="0" w:type="dxa"/>
                    <w:bottom w:w="0" w:type="dxa"/>
                    <w:right w:w="0" w:type="dxa"/>
                  </w:tcMar>
                  <w:vAlign w:val="center"/>
                </w:tcPr>
                <w:p w14:paraId="098A5917">
                  <w:pPr>
                    <w:pStyle w:val="15"/>
                    <w:bidi w:val="0"/>
                    <w:rPr>
                      <w:rFonts w:hint="default"/>
                      <w:sz w:val="15"/>
                      <w:szCs w:val="15"/>
                    </w:rPr>
                  </w:pPr>
                </w:p>
              </w:tc>
              <w:tc>
                <w:tcPr>
                  <w:tcW w:w="266" w:type="pct"/>
                  <w:vMerge w:val="continue"/>
                  <w:tcBorders>
                    <w:tl2br w:val="nil"/>
                    <w:tr2bl w:val="nil"/>
                  </w:tcBorders>
                  <w:shd w:val="clear" w:color="auto" w:fill="auto"/>
                  <w:tcMar>
                    <w:top w:w="0" w:type="dxa"/>
                    <w:left w:w="0" w:type="dxa"/>
                    <w:bottom w:w="0" w:type="dxa"/>
                    <w:right w:w="0" w:type="dxa"/>
                  </w:tcMar>
                  <w:vAlign w:val="center"/>
                </w:tcPr>
                <w:p w14:paraId="1285EC02">
                  <w:pPr>
                    <w:pStyle w:val="15"/>
                    <w:bidi w:val="0"/>
                    <w:rPr>
                      <w:rFonts w:hint="eastAsia"/>
                      <w:sz w:val="15"/>
                      <w:szCs w:val="15"/>
                    </w:rPr>
                  </w:pPr>
                </w:p>
              </w:tc>
              <w:tc>
                <w:tcPr>
                  <w:tcW w:w="427" w:type="pct"/>
                  <w:vMerge w:val="continue"/>
                  <w:tcBorders>
                    <w:tl2br w:val="nil"/>
                    <w:tr2bl w:val="nil"/>
                  </w:tcBorders>
                  <w:shd w:val="clear" w:color="auto" w:fill="auto"/>
                  <w:tcMar>
                    <w:top w:w="0" w:type="dxa"/>
                    <w:left w:w="0" w:type="dxa"/>
                    <w:bottom w:w="0" w:type="dxa"/>
                    <w:right w:w="0" w:type="dxa"/>
                  </w:tcMar>
                  <w:vAlign w:val="center"/>
                </w:tcPr>
                <w:p w14:paraId="6C4F3873">
                  <w:pPr>
                    <w:pStyle w:val="15"/>
                    <w:bidi w:val="0"/>
                    <w:rPr>
                      <w:rFonts w:hint="default"/>
                      <w:sz w:val="15"/>
                      <w:szCs w:val="15"/>
                    </w:rPr>
                  </w:pPr>
                </w:p>
              </w:tc>
              <w:tc>
                <w:tcPr>
                  <w:tcW w:w="384" w:type="pct"/>
                  <w:vMerge w:val="continue"/>
                  <w:tcBorders>
                    <w:tl2br w:val="nil"/>
                    <w:tr2bl w:val="nil"/>
                  </w:tcBorders>
                  <w:shd w:val="clear" w:color="auto" w:fill="auto"/>
                  <w:tcMar>
                    <w:top w:w="0" w:type="dxa"/>
                    <w:left w:w="0" w:type="dxa"/>
                    <w:bottom w:w="0" w:type="dxa"/>
                    <w:right w:w="0" w:type="dxa"/>
                  </w:tcMar>
                  <w:vAlign w:val="center"/>
                </w:tcPr>
                <w:p w14:paraId="2D4C5FF4">
                  <w:pPr>
                    <w:pStyle w:val="15"/>
                    <w:bidi w:val="0"/>
                    <w:rPr>
                      <w:rFonts w:hint="default"/>
                      <w:sz w:val="15"/>
                      <w:szCs w:val="15"/>
                    </w:rPr>
                  </w:pPr>
                </w:p>
              </w:tc>
              <w:tc>
                <w:tcPr>
                  <w:tcW w:w="363" w:type="pct"/>
                  <w:vMerge w:val="continue"/>
                  <w:tcBorders>
                    <w:tl2br w:val="nil"/>
                    <w:tr2bl w:val="nil"/>
                  </w:tcBorders>
                  <w:shd w:val="clear" w:color="auto" w:fill="auto"/>
                  <w:tcMar>
                    <w:top w:w="0" w:type="dxa"/>
                    <w:left w:w="0" w:type="dxa"/>
                    <w:bottom w:w="0" w:type="dxa"/>
                    <w:right w:w="0" w:type="dxa"/>
                  </w:tcMar>
                  <w:vAlign w:val="center"/>
                </w:tcPr>
                <w:p w14:paraId="75192C0F">
                  <w:pPr>
                    <w:pStyle w:val="15"/>
                    <w:bidi w:val="0"/>
                    <w:rPr>
                      <w:rFonts w:hint="default"/>
                      <w:sz w:val="15"/>
                      <w:szCs w:val="15"/>
                    </w:rPr>
                  </w:pPr>
                </w:p>
              </w:tc>
              <w:tc>
                <w:tcPr>
                  <w:tcW w:w="206" w:type="pct"/>
                  <w:vMerge w:val="continue"/>
                  <w:tcBorders>
                    <w:tl2br w:val="nil"/>
                    <w:tr2bl w:val="nil"/>
                  </w:tcBorders>
                  <w:shd w:val="clear" w:color="auto" w:fill="auto"/>
                  <w:tcMar>
                    <w:top w:w="0" w:type="dxa"/>
                    <w:left w:w="0" w:type="dxa"/>
                    <w:bottom w:w="0" w:type="dxa"/>
                    <w:right w:w="0" w:type="dxa"/>
                  </w:tcMar>
                  <w:vAlign w:val="center"/>
                </w:tcPr>
                <w:p w14:paraId="72C407ED">
                  <w:pPr>
                    <w:pStyle w:val="15"/>
                    <w:bidi w:val="0"/>
                    <w:rPr>
                      <w:rFonts w:hint="default"/>
                      <w:sz w:val="15"/>
                      <w:szCs w:val="15"/>
                    </w:rPr>
                  </w:pPr>
                </w:p>
              </w:tc>
              <w:tc>
                <w:tcPr>
                  <w:tcW w:w="203" w:type="pct"/>
                  <w:vMerge w:val="continue"/>
                  <w:tcBorders>
                    <w:tl2br w:val="nil"/>
                    <w:tr2bl w:val="nil"/>
                  </w:tcBorders>
                  <w:shd w:val="clear" w:color="auto" w:fill="auto"/>
                  <w:tcMar>
                    <w:top w:w="0" w:type="dxa"/>
                    <w:left w:w="0" w:type="dxa"/>
                    <w:bottom w:w="0" w:type="dxa"/>
                    <w:right w:w="0" w:type="dxa"/>
                  </w:tcMar>
                  <w:vAlign w:val="center"/>
                </w:tcPr>
                <w:p w14:paraId="19D9F9BF">
                  <w:pPr>
                    <w:pStyle w:val="15"/>
                    <w:bidi w:val="0"/>
                    <w:rPr>
                      <w:rFonts w:hint="default"/>
                      <w:sz w:val="15"/>
                      <w:szCs w:val="15"/>
                    </w:rPr>
                  </w:pPr>
                </w:p>
              </w:tc>
            </w:tr>
            <w:tr w14:paraId="77AA8A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99" w:type="pct"/>
                  <w:tcBorders>
                    <w:tl2br w:val="nil"/>
                    <w:tr2bl w:val="nil"/>
                  </w:tcBorders>
                  <w:shd w:val="clear" w:color="auto" w:fill="auto"/>
                  <w:noWrap/>
                  <w:tcMar>
                    <w:top w:w="0" w:type="dxa"/>
                    <w:left w:w="0" w:type="dxa"/>
                    <w:bottom w:w="0" w:type="dxa"/>
                    <w:right w:w="0" w:type="dxa"/>
                  </w:tcMar>
                  <w:vAlign w:val="center"/>
                </w:tcPr>
                <w:p w14:paraId="308C110C">
                  <w:pPr>
                    <w:pStyle w:val="15"/>
                    <w:bidi w:val="0"/>
                    <w:jc w:val="both"/>
                    <w:rPr>
                      <w:rFonts w:hint="eastAsia"/>
                      <w:sz w:val="15"/>
                      <w:szCs w:val="15"/>
                      <w:lang w:val="en-US" w:eastAsia="zh-CN"/>
                    </w:rPr>
                  </w:pPr>
                  <w:r>
                    <w:rPr>
                      <w:rFonts w:hint="eastAsia"/>
                      <w:sz w:val="15"/>
                      <w:szCs w:val="15"/>
                      <w:lang w:val="en-US" w:eastAsia="zh-CN"/>
                    </w:rPr>
                    <w:t>扩建后现有</w:t>
                  </w:r>
                </w:p>
                <w:p w14:paraId="17197DB0">
                  <w:pPr>
                    <w:pStyle w:val="15"/>
                    <w:bidi w:val="0"/>
                    <w:jc w:val="both"/>
                    <w:rPr>
                      <w:rFonts w:hint="eastAsia"/>
                      <w:sz w:val="15"/>
                      <w:szCs w:val="15"/>
                      <w:lang w:val="en-US" w:eastAsia="zh-CN"/>
                    </w:rPr>
                  </w:pPr>
                  <w:r>
                    <w:rPr>
                      <w:rFonts w:hint="eastAsia"/>
                      <w:sz w:val="15"/>
                      <w:szCs w:val="15"/>
                      <w:lang w:val="en-US" w:eastAsia="zh-CN"/>
                    </w:rPr>
                    <w:t>氯丙酸生产</w:t>
                  </w:r>
                </w:p>
                <w:p w14:paraId="684BA6B6">
                  <w:pPr>
                    <w:pStyle w:val="15"/>
                    <w:bidi w:val="0"/>
                    <w:jc w:val="both"/>
                    <w:rPr>
                      <w:rFonts w:hint="eastAsia"/>
                      <w:sz w:val="15"/>
                      <w:szCs w:val="15"/>
                      <w:lang w:val="en-US" w:eastAsia="zh-CN"/>
                    </w:rPr>
                  </w:pPr>
                  <w:r>
                    <w:rPr>
                      <w:rFonts w:hint="eastAsia"/>
                      <w:sz w:val="15"/>
                      <w:szCs w:val="15"/>
                      <w:lang w:val="en-US" w:eastAsia="zh-CN"/>
                    </w:rPr>
                    <w:t>工艺废气+</w:t>
                  </w:r>
                </w:p>
                <w:p w14:paraId="09A7D90E">
                  <w:pPr>
                    <w:pStyle w:val="15"/>
                    <w:bidi w:val="0"/>
                    <w:jc w:val="both"/>
                    <w:rPr>
                      <w:rFonts w:hint="eastAsia"/>
                      <w:sz w:val="15"/>
                      <w:szCs w:val="15"/>
                      <w:lang w:val="en-US" w:eastAsia="zh-CN"/>
                    </w:rPr>
                  </w:pPr>
                  <w:r>
                    <w:rPr>
                      <w:rFonts w:hint="eastAsia"/>
                      <w:sz w:val="15"/>
                      <w:szCs w:val="15"/>
                      <w:lang w:val="en-US" w:eastAsia="zh-CN"/>
                    </w:rPr>
                    <w:t>现有氯化亚</w:t>
                  </w:r>
                </w:p>
                <w:p w14:paraId="713D386C">
                  <w:pPr>
                    <w:pStyle w:val="15"/>
                    <w:bidi w:val="0"/>
                    <w:jc w:val="both"/>
                    <w:rPr>
                      <w:rFonts w:hint="eastAsia"/>
                      <w:sz w:val="15"/>
                      <w:szCs w:val="15"/>
                      <w:lang w:val="en-US" w:eastAsia="zh-CN"/>
                    </w:rPr>
                  </w:pPr>
                  <w:r>
                    <w:rPr>
                      <w:rFonts w:hint="eastAsia"/>
                      <w:sz w:val="15"/>
                      <w:szCs w:val="15"/>
                      <w:lang w:val="en-US" w:eastAsia="zh-CN"/>
                    </w:rPr>
                    <w:t>砜储罐无组</w:t>
                  </w:r>
                </w:p>
                <w:p w14:paraId="39AA103C">
                  <w:pPr>
                    <w:pStyle w:val="15"/>
                    <w:bidi w:val="0"/>
                    <w:jc w:val="both"/>
                    <w:rPr>
                      <w:rFonts w:hint="eastAsia"/>
                      <w:sz w:val="15"/>
                      <w:szCs w:val="15"/>
                      <w:lang w:val="en-US" w:eastAsia="zh-CN"/>
                    </w:rPr>
                  </w:pPr>
                  <w:r>
                    <w:rPr>
                      <w:rFonts w:hint="eastAsia"/>
                      <w:sz w:val="15"/>
                      <w:szCs w:val="15"/>
                      <w:lang w:val="en-US" w:eastAsia="zh-CN"/>
                    </w:rPr>
                    <w:t>织废气+现有</w:t>
                  </w:r>
                </w:p>
                <w:p w14:paraId="5980E8F6">
                  <w:pPr>
                    <w:pStyle w:val="15"/>
                    <w:bidi w:val="0"/>
                    <w:jc w:val="both"/>
                    <w:rPr>
                      <w:rFonts w:hint="eastAsia"/>
                      <w:sz w:val="15"/>
                      <w:szCs w:val="15"/>
                      <w:lang w:val="en-US" w:eastAsia="zh-CN"/>
                    </w:rPr>
                  </w:pPr>
                  <w:r>
                    <w:rPr>
                      <w:rFonts w:hint="eastAsia"/>
                      <w:sz w:val="15"/>
                      <w:szCs w:val="15"/>
                      <w:lang w:val="en-US" w:eastAsia="zh-CN"/>
                    </w:rPr>
                    <w:t>2座200m</w:t>
                  </w:r>
                  <w:r>
                    <w:rPr>
                      <w:rFonts w:hint="eastAsia"/>
                      <w:sz w:val="15"/>
                      <w:szCs w:val="15"/>
                      <w:vertAlign w:val="superscript"/>
                      <w:lang w:val="en-US" w:eastAsia="zh-CN"/>
                    </w:rPr>
                    <w:t>3</w:t>
                  </w:r>
                  <w:r>
                    <w:rPr>
                      <w:rFonts w:hint="eastAsia"/>
                      <w:sz w:val="15"/>
                      <w:szCs w:val="15"/>
                      <w:lang w:val="en-US" w:eastAsia="zh-CN"/>
                    </w:rPr>
                    <w:t>立</w:t>
                  </w:r>
                </w:p>
                <w:p w14:paraId="12C751AD">
                  <w:pPr>
                    <w:pStyle w:val="15"/>
                    <w:bidi w:val="0"/>
                    <w:jc w:val="both"/>
                    <w:rPr>
                      <w:rFonts w:hint="eastAsia"/>
                      <w:sz w:val="15"/>
                      <w:szCs w:val="15"/>
                      <w:lang w:val="en-US" w:eastAsia="zh-CN"/>
                    </w:rPr>
                  </w:pPr>
                  <w:r>
                    <w:rPr>
                      <w:rFonts w:hint="eastAsia"/>
                      <w:sz w:val="15"/>
                      <w:szCs w:val="15"/>
                      <w:lang w:val="en-US" w:eastAsia="zh-CN"/>
                    </w:rPr>
                    <w:t>式固定顶玻璃</w:t>
                  </w:r>
                </w:p>
                <w:p w14:paraId="5911F58F">
                  <w:pPr>
                    <w:pStyle w:val="15"/>
                    <w:bidi w:val="0"/>
                    <w:jc w:val="both"/>
                    <w:rPr>
                      <w:rFonts w:hint="eastAsia"/>
                      <w:sz w:val="15"/>
                      <w:szCs w:val="15"/>
                    </w:rPr>
                  </w:pPr>
                  <w:r>
                    <w:rPr>
                      <w:rFonts w:hint="eastAsia"/>
                      <w:sz w:val="15"/>
                      <w:szCs w:val="15"/>
                      <w:lang w:val="en-US" w:eastAsia="zh-CN"/>
                    </w:rPr>
                    <w:t>钢31%盐酸储罐</w:t>
                  </w:r>
                </w:p>
              </w:tc>
              <w:tc>
                <w:tcPr>
                  <w:tcW w:w="307" w:type="pct"/>
                  <w:vMerge w:val="continue"/>
                  <w:tcBorders>
                    <w:tl2br w:val="nil"/>
                    <w:tr2bl w:val="nil"/>
                  </w:tcBorders>
                  <w:shd w:val="clear" w:color="auto" w:fill="auto"/>
                  <w:tcMar>
                    <w:top w:w="0" w:type="dxa"/>
                    <w:left w:w="0" w:type="dxa"/>
                    <w:bottom w:w="0" w:type="dxa"/>
                    <w:right w:w="0" w:type="dxa"/>
                  </w:tcMar>
                  <w:vAlign w:val="center"/>
                </w:tcPr>
                <w:p w14:paraId="1CAE1D5A">
                  <w:pPr>
                    <w:pStyle w:val="15"/>
                    <w:bidi w:val="0"/>
                    <w:rPr>
                      <w:rFonts w:hint="eastAsia"/>
                      <w:sz w:val="15"/>
                      <w:szCs w:val="15"/>
                    </w:rPr>
                  </w:pPr>
                </w:p>
              </w:tc>
              <w:tc>
                <w:tcPr>
                  <w:tcW w:w="327" w:type="pct"/>
                  <w:tcBorders>
                    <w:tl2br w:val="nil"/>
                    <w:tr2bl w:val="nil"/>
                  </w:tcBorders>
                  <w:shd w:val="clear" w:color="auto" w:fill="auto"/>
                  <w:noWrap/>
                  <w:tcMar>
                    <w:top w:w="0" w:type="dxa"/>
                    <w:left w:w="0" w:type="dxa"/>
                    <w:bottom w:w="0" w:type="dxa"/>
                    <w:right w:w="0" w:type="dxa"/>
                  </w:tcMar>
                  <w:vAlign w:val="center"/>
                </w:tcPr>
                <w:p w14:paraId="2739407C">
                  <w:pPr>
                    <w:pStyle w:val="15"/>
                    <w:bidi w:val="0"/>
                    <w:rPr>
                      <w:rFonts w:hint="eastAsia"/>
                      <w:sz w:val="15"/>
                      <w:szCs w:val="15"/>
                    </w:rPr>
                  </w:pPr>
                </w:p>
              </w:tc>
              <w:tc>
                <w:tcPr>
                  <w:tcW w:w="438" w:type="pct"/>
                  <w:tcBorders>
                    <w:tl2br w:val="nil"/>
                    <w:tr2bl w:val="nil"/>
                  </w:tcBorders>
                  <w:shd w:val="clear" w:color="auto" w:fill="auto"/>
                  <w:noWrap/>
                  <w:tcMar>
                    <w:top w:w="0" w:type="dxa"/>
                    <w:left w:w="0" w:type="dxa"/>
                    <w:bottom w:w="0" w:type="dxa"/>
                    <w:right w:w="0" w:type="dxa"/>
                  </w:tcMar>
                  <w:vAlign w:val="center"/>
                </w:tcPr>
                <w:p w14:paraId="104605FD">
                  <w:pPr>
                    <w:pStyle w:val="15"/>
                    <w:bidi w:val="0"/>
                    <w:rPr>
                      <w:rFonts w:hint="eastAsia"/>
                      <w:sz w:val="15"/>
                      <w:szCs w:val="15"/>
                    </w:rPr>
                  </w:pPr>
                  <w:r>
                    <w:rPr>
                      <w:rFonts w:hint="eastAsia"/>
                      <w:sz w:val="15"/>
                      <w:szCs w:val="15"/>
                      <w:lang w:val="en-US" w:eastAsia="zh-CN"/>
                    </w:rPr>
                    <w:t>0.0473</w:t>
                  </w:r>
                </w:p>
              </w:tc>
              <w:tc>
                <w:tcPr>
                  <w:tcW w:w="469" w:type="pct"/>
                  <w:tcBorders>
                    <w:tl2br w:val="nil"/>
                    <w:tr2bl w:val="nil"/>
                  </w:tcBorders>
                  <w:shd w:val="clear" w:color="auto" w:fill="auto"/>
                  <w:noWrap/>
                  <w:tcMar>
                    <w:top w:w="0" w:type="dxa"/>
                    <w:left w:w="0" w:type="dxa"/>
                    <w:bottom w:w="0" w:type="dxa"/>
                    <w:right w:w="0" w:type="dxa"/>
                  </w:tcMar>
                  <w:vAlign w:val="center"/>
                </w:tcPr>
                <w:p w14:paraId="19C466A7">
                  <w:pPr>
                    <w:pStyle w:val="15"/>
                    <w:bidi w:val="0"/>
                    <w:rPr>
                      <w:rFonts w:hint="eastAsia"/>
                      <w:sz w:val="15"/>
                      <w:szCs w:val="15"/>
                    </w:rPr>
                  </w:pPr>
                  <w:r>
                    <w:rPr>
                      <w:rFonts w:hint="eastAsia"/>
                      <w:sz w:val="15"/>
                      <w:szCs w:val="15"/>
                      <w:lang w:val="en-US" w:eastAsia="zh-CN"/>
                    </w:rPr>
                    <w:t>0.3784</w:t>
                  </w:r>
                </w:p>
              </w:tc>
              <w:tc>
                <w:tcPr>
                  <w:tcW w:w="608" w:type="pct"/>
                  <w:vMerge w:val="continue"/>
                  <w:tcBorders>
                    <w:tl2br w:val="nil"/>
                    <w:tr2bl w:val="nil"/>
                  </w:tcBorders>
                  <w:shd w:val="clear" w:color="auto" w:fill="auto"/>
                  <w:tcMar>
                    <w:top w:w="0" w:type="dxa"/>
                    <w:left w:w="0" w:type="dxa"/>
                    <w:bottom w:w="0" w:type="dxa"/>
                    <w:right w:w="0" w:type="dxa"/>
                  </w:tcMar>
                  <w:vAlign w:val="center"/>
                </w:tcPr>
                <w:p w14:paraId="65E448E9">
                  <w:pPr>
                    <w:pStyle w:val="15"/>
                    <w:bidi w:val="0"/>
                    <w:rPr>
                      <w:rFonts w:hint="eastAsia"/>
                      <w:sz w:val="15"/>
                      <w:szCs w:val="15"/>
                    </w:rPr>
                  </w:pPr>
                </w:p>
              </w:tc>
              <w:tc>
                <w:tcPr>
                  <w:tcW w:w="299" w:type="pct"/>
                  <w:vMerge w:val="continue"/>
                  <w:tcBorders>
                    <w:tl2br w:val="nil"/>
                    <w:tr2bl w:val="nil"/>
                  </w:tcBorders>
                  <w:shd w:val="clear" w:color="auto" w:fill="auto"/>
                  <w:tcMar>
                    <w:top w:w="0" w:type="dxa"/>
                    <w:left w:w="0" w:type="dxa"/>
                    <w:bottom w:w="0" w:type="dxa"/>
                    <w:right w:w="0" w:type="dxa"/>
                  </w:tcMar>
                  <w:vAlign w:val="center"/>
                </w:tcPr>
                <w:p w14:paraId="2EAA7158">
                  <w:pPr>
                    <w:pStyle w:val="15"/>
                    <w:bidi w:val="0"/>
                    <w:rPr>
                      <w:rFonts w:hint="default"/>
                      <w:sz w:val="15"/>
                      <w:szCs w:val="15"/>
                    </w:rPr>
                  </w:pPr>
                </w:p>
              </w:tc>
              <w:tc>
                <w:tcPr>
                  <w:tcW w:w="266" w:type="pct"/>
                  <w:vMerge w:val="continue"/>
                  <w:tcBorders>
                    <w:tl2br w:val="nil"/>
                    <w:tr2bl w:val="nil"/>
                  </w:tcBorders>
                  <w:shd w:val="clear" w:color="auto" w:fill="auto"/>
                  <w:tcMar>
                    <w:top w:w="0" w:type="dxa"/>
                    <w:left w:w="0" w:type="dxa"/>
                    <w:bottom w:w="0" w:type="dxa"/>
                    <w:right w:w="0" w:type="dxa"/>
                  </w:tcMar>
                  <w:vAlign w:val="center"/>
                </w:tcPr>
                <w:p w14:paraId="62A4CD85">
                  <w:pPr>
                    <w:pStyle w:val="15"/>
                    <w:bidi w:val="0"/>
                    <w:rPr>
                      <w:rFonts w:hint="eastAsia"/>
                      <w:sz w:val="15"/>
                      <w:szCs w:val="15"/>
                    </w:rPr>
                  </w:pPr>
                </w:p>
              </w:tc>
              <w:tc>
                <w:tcPr>
                  <w:tcW w:w="427" w:type="pct"/>
                  <w:vMerge w:val="continue"/>
                  <w:tcBorders>
                    <w:tl2br w:val="nil"/>
                    <w:tr2bl w:val="nil"/>
                  </w:tcBorders>
                  <w:shd w:val="clear" w:color="auto" w:fill="auto"/>
                  <w:tcMar>
                    <w:top w:w="0" w:type="dxa"/>
                    <w:left w:w="0" w:type="dxa"/>
                    <w:bottom w:w="0" w:type="dxa"/>
                    <w:right w:w="0" w:type="dxa"/>
                  </w:tcMar>
                  <w:vAlign w:val="center"/>
                </w:tcPr>
                <w:p w14:paraId="5902F53E">
                  <w:pPr>
                    <w:pStyle w:val="15"/>
                    <w:bidi w:val="0"/>
                    <w:rPr>
                      <w:rFonts w:hint="default"/>
                      <w:sz w:val="15"/>
                      <w:szCs w:val="15"/>
                    </w:rPr>
                  </w:pPr>
                </w:p>
              </w:tc>
              <w:tc>
                <w:tcPr>
                  <w:tcW w:w="384" w:type="pct"/>
                  <w:vMerge w:val="continue"/>
                  <w:tcBorders>
                    <w:tl2br w:val="nil"/>
                    <w:tr2bl w:val="nil"/>
                  </w:tcBorders>
                  <w:shd w:val="clear" w:color="auto" w:fill="auto"/>
                  <w:tcMar>
                    <w:top w:w="0" w:type="dxa"/>
                    <w:left w:w="0" w:type="dxa"/>
                    <w:bottom w:w="0" w:type="dxa"/>
                    <w:right w:w="0" w:type="dxa"/>
                  </w:tcMar>
                  <w:vAlign w:val="center"/>
                </w:tcPr>
                <w:p w14:paraId="0DF6FEDE">
                  <w:pPr>
                    <w:pStyle w:val="15"/>
                    <w:bidi w:val="0"/>
                    <w:rPr>
                      <w:rFonts w:hint="default"/>
                      <w:sz w:val="15"/>
                      <w:szCs w:val="15"/>
                    </w:rPr>
                  </w:pPr>
                </w:p>
              </w:tc>
              <w:tc>
                <w:tcPr>
                  <w:tcW w:w="363" w:type="pct"/>
                  <w:vMerge w:val="continue"/>
                  <w:tcBorders>
                    <w:tl2br w:val="nil"/>
                    <w:tr2bl w:val="nil"/>
                  </w:tcBorders>
                  <w:shd w:val="clear" w:color="auto" w:fill="auto"/>
                  <w:tcMar>
                    <w:top w:w="0" w:type="dxa"/>
                    <w:left w:w="0" w:type="dxa"/>
                    <w:bottom w:w="0" w:type="dxa"/>
                    <w:right w:w="0" w:type="dxa"/>
                  </w:tcMar>
                  <w:vAlign w:val="center"/>
                </w:tcPr>
                <w:p w14:paraId="24A17602">
                  <w:pPr>
                    <w:pStyle w:val="15"/>
                    <w:bidi w:val="0"/>
                    <w:rPr>
                      <w:rFonts w:hint="default"/>
                      <w:sz w:val="15"/>
                      <w:szCs w:val="15"/>
                    </w:rPr>
                  </w:pPr>
                </w:p>
              </w:tc>
              <w:tc>
                <w:tcPr>
                  <w:tcW w:w="206" w:type="pct"/>
                  <w:vMerge w:val="continue"/>
                  <w:tcBorders>
                    <w:tl2br w:val="nil"/>
                    <w:tr2bl w:val="nil"/>
                  </w:tcBorders>
                  <w:shd w:val="clear" w:color="auto" w:fill="auto"/>
                  <w:tcMar>
                    <w:top w:w="0" w:type="dxa"/>
                    <w:left w:w="0" w:type="dxa"/>
                    <w:bottom w:w="0" w:type="dxa"/>
                    <w:right w:w="0" w:type="dxa"/>
                  </w:tcMar>
                  <w:vAlign w:val="center"/>
                </w:tcPr>
                <w:p w14:paraId="4769ABA9">
                  <w:pPr>
                    <w:pStyle w:val="15"/>
                    <w:bidi w:val="0"/>
                    <w:rPr>
                      <w:rFonts w:hint="default"/>
                      <w:sz w:val="15"/>
                      <w:szCs w:val="15"/>
                    </w:rPr>
                  </w:pPr>
                </w:p>
              </w:tc>
              <w:tc>
                <w:tcPr>
                  <w:tcW w:w="203" w:type="pct"/>
                  <w:vMerge w:val="continue"/>
                  <w:tcBorders>
                    <w:tl2br w:val="nil"/>
                    <w:tr2bl w:val="nil"/>
                  </w:tcBorders>
                  <w:shd w:val="clear" w:color="auto" w:fill="auto"/>
                  <w:tcMar>
                    <w:top w:w="0" w:type="dxa"/>
                    <w:left w:w="0" w:type="dxa"/>
                    <w:bottom w:w="0" w:type="dxa"/>
                    <w:right w:w="0" w:type="dxa"/>
                  </w:tcMar>
                  <w:vAlign w:val="center"/>
                </w:tcPr>
                <w:p w14:paraId="613AA969">
                  <w:pPr>
                    <w:pStyle w:val="15"/>
                    <w:bidi w:val="0"/>
                    <w:rPr>
                      <w:rFonts w:hint="default"/>
                      <w:sz w:val="15"/>
                      <w:szCs w:val="15"/>
                    </w:rPr>
                  </w:pPr>
                </w:p>
              </w:tc>
            </w:tr>
          </w:tbl>
          <w:p w14:paraId="271E9D3B">
            <w:pPr>
              <w:pStyle w:val="4"/>
              <w:bidi w:val="0"/>
              <w:rPr>
                <w:rFonts w:hint="default"/>
                <w:lang w:val="en-US" w:eastAsia="zh-CN"/>
              </w:rPr>
            </w:pPr>
            <w:r>
              <w:rPr>
                <w:rFonts w:hint="eastAsia"/>
                <w:lang w:val="en-US" w:eastAsia="zh-CN"/>
              </w:rPr>
              <w:t>1.3污染物治理措施可行性分析</w:t>
            </w:r>
          </w:p>
          <w:p w14:paraId="4CEB2490">
            <w:pPr>
              <w:rPr>
                <w:rFonts w:hint="eastAsia"/>
                <w:color w:val="auto"/>
                <w:lang w:val="en-US" w:eastAsia="zh-CN"/>
              </w:rPr>
            </w:pPr>
            <w:r>
              <w:rPr>
                <w:rFonts w:hint="eastAsia"/>
                <w:color w:val="auto"/>
                <w:lang w:val="en-US" w:eastAsia="zh-CN"/>
              </w:rPr>
              <w:t>对照《排污许可证申请与核发技术规范 农药制造工业》（HJ862-2017）中6 污染防治可行技术要求，工艺废气中涉及氯化氢的可行技术有降膜吸收、水吸收、碱吸收；罐区和装卸区废气特征污染物可行技术有选用浮顶罐、设置呼吸阀、呼吸气收集进行吸收、吸附或焚烧处理，具体见下表34。</w:t>
            </w:r>
          </w:p>
          <w:p w14:paraId="0696BCD1">
            <w:pPr>
              <w:pStyle w:val="16"/>
              <w:bidi w:val="0"/>
              <w:rPr>
                <w:rFonts w:hint="eastAsia"/>
                <w:color w:val="auto"/>
                <w:lang w:val="en-US" w:eastAsia="zh-CN"/>
              </w:rPr>
            </w:pPr>
            <w:r>
              <w:t xml:space="preserve">表 </w:t>
            </w:r>
            <w:r>
              <w:fldChar w:fldCharType="begin"/>
            </w:r>
            <w:r>
              <w:instrText xml:space="preserve"> SEQ 表 \* ARABIC </w:instrText>
            </w:r>
            <w:r>
              <w:fldChar w:fldCharType="separate"/>
            </w:r>
            <w:r>
              <w:t>34</w:t>
            </w:r>
            <w:r>
              <w:fldChar w:fldCharType="end"/>
            </w:r>
            <w:r>
              <w:rPr>
                <w:rFonts w:hint="eastAsia"/>
                <w:lang w:val="en-US" w:eastAsia="zh-CN"/>
              </w:rPr>
              <w:t xml:space="preserve">  </w:t>
            </w:r>
            <w:r>
              <w:rPr>
                <w:rFonts w:hint="eastAsia"/>
                <w:color w:val="auto"/>
                <w:lang w:val="en-US" w:eastAsia="zh-CN"/>
              </w:rPr>
              <w:t>《排污许可证申请与核发技术规范 农药制造工业》（HJ862-2017）中</w:t>
            </w:r>
          </w:p>
          <w:p w14:paraId="06F83467">
            <w:pPr>
              <w:pStyle w:val="16"/>
              <w:bidi w:val="0"/>
              <w:rPr>
                <w:rFonts w:hint="default"/>
                <w:color w:val="auto"/>
                <w:lang w:val="en-US" w:eastAsia="zh-CN"/>
              </w:rPr>
            </w:pPr>
            <w:r>
              <w:rPr>
                <w:rFonts w:hint="eastAsia"/>
                <w:color w:val="auto"/>
                <w:lang w:val="en-US" w:eastAsia="zh-CN"/>
              </w:rPr>
              <w:t>农药制造工业排污单位废气治理可行技术参照表（节选）</w:t>
            </w:r>
          </w:p>
          <w:bookmarkEnd w:id="3"/>
          <w:bookmarkEnd w:id="4"/>
          <w:tbl>
            <w:tblPr>
              <w:tblStyle w:val="12"/>
              <w:tblW w:w="794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3082"/>
              <w:gridCol w:w="3606"/>
            </w:tblGrid>
            <w:tr w14:paraId="1B198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8" w:type="dxa"/>
                  <w:tcBorders>
                    <w:tl2br w:val="nil"/>
                    <w:tr2bl w:val="nil"/>
                  </w:tcBorders>
                  <w:vAlign w:val="center"/>
                </w:tcPr>
                <w:p w14:paraId="156296FF">
                  <w:pPr>
                    <w:pStyle w:val="15"/>
                    <w:widowControl w:val="0"/>
                    <w:bidi w:val="0"/>
                    <w:jc w:val="center"/>
                    <w:rPr>
                      <w:rFonts w:hint="eastAsia"/>
                      <w:lang w:val="en-US" w:eastAsia="zh-CN"/>
                    </w:rPr>
                  </w:pPr>
                  <w:r>
                    <w:rPr>
                      <w:rFonts w:hint="eastAsia"/>
                      <w:lang w:val="en-US" w:eastAsia="zh-CN"/>
                    </w:rPr>
                    <w:t>废气种类</w:t>
                  </w:r>
                </w:p>
              </w:tc>
              <w:tc>
                <w:tcPr>
                  <w:tcW w:w="3082" w:type="dxa"/>
                  <w:tcBorders>
                    <w:tl2br w:val="nil"/>
                    <w:tr2bl w:val="nil"/>
                  </w:tcBorders>
                  <w:vAlign w:val="center"/>
                </w:tcPr>
                <w:p w14:paraId="0854B131">
                  <w:pPr>
                    <w:pStyle w:val="15"/>
                    <w:widowControl w:val="0"/>
                    <w:bidi w:val="0"/>
                    <w:jc w:val="center"/>
                    <w:rPr>
                      <w:rFonts w:hint="eastAsia"/>
                      <w:lang w:val="en-US" w:eastAsia="zh-CN"/>
                    </w:rPr>
                  </w:pPr>
                  <w:r>
                    <w:rPr>
                      <w:rFonts w:hint="eastAsia"/>
                      <w:lang w:val="en-US" w:eastAsia="zh-CN"/>
                    </w:rPr>
                    <w:t>污染物</w:t>
                  </w:r>
                </w:p>
              </w:tc>
              <w:tc>
                <w:tcPr>
                  <w:tcW w:w="3606" w:type="dxa"/>
                  <w:tcBorders>
                    <w:tl2br w:val="nil"/>
                    <w:tr2bl w:val="nil"/>
                  </w:tcBorders>
                  <w:vAlign w:val="center"/>
                </w:tcPr>
                <w:p w14:paraId="6BCEE033">
                  <w:pPr>
                    <w:pStyle w:val="15"/>
                    <w:widowControl w:val="0"/>
                    <w:bidi w:val="0"/>
                    <w:jc w:val="center"/>
                    <w:rPr>
                      <w:rFonts w:hint="eastAsia"/>
                      <w:lang w:val="en-US" w:eastAsia="zh-CN"/>
                    </w:rPr>
                  </w:pPr>
                  <w:r>
                    <w:rPr>
                      <w:rFonts w:hint="eastAsia"/>
                      <w:lang w:val="en-US" w:eastAsia="zh-CN"/>
                    </w:rPr>
                    <w:t>可行技术</w:t>
                  </w:r>
                </w:p>
              </w:tc>
            </w:tr>
            <w:tr w14:paraId="76819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8" w:type="dxa"/>
                  <w:tcBorders>
                    <w:tl2br w:val="nil"/>
                    <w:tr2bl w:val="nil"/>
                  </w:tcBorders>
                  <w:vAlign w:val="center"/>
                </w:tcPr>
                <w:p w14:paraId="29AF7DBF">
                  <w:pPr>
                    <w:pStyle w:val="15"/>
                    <w:widowControl w:val="0"/>
                    <w:bidi w:val="0"/>
                    <w:jc w:val="center"/>
                    <w:rPr>
                      <w:rFonts w:hint="eastAsia"/>
                      <w:lang w:val="en-US" w:eastAsia="zh-CN"/>
                    </w:rPr>
                  </w:pPr>
                  <w:r>
                    <w:rPr>
                      <w:rFonts w:hint="eastAsia"/>
                      <w:lang w:val="en-US" w:eastAsia="zh-CN"/>
                    </w:rPr>
                    <w:t>工艺废气</w:t>
                  </w:r>
                </w:p>
              </w:tc>
              <w:tc>
                <w:tcPr>
                  <w:tcW w:w="3082" w:type="dxa"/>
                  <w:tcBorders>
                    <w:tl2br w:val="nil"/>
                    <w:tr2bl w:val="nil"/>
                  </w:tcBorders>
                  <w:vAlign w:val="center"/>
                </w:tcPr>
                <w:p w14:paraId="105A2EDE">
                  <w:pPr>
                    <w:pStyle w:val="15"/>
                    <w:widowControl w:val="0"/>
                    <w:bidi w:val="0"/>
                    <w:jc w:val="center"/>
                  </w:pPr>
                  <w:r>
                    <w:rPr>
                      <w:rFonts w:hint="eastAsia"/>
                    </w:rPr>
                    <w:t>氯气、氯化氢、硫化氢、氰化氢、硫酸雾、氟化物</w:t>
                  </w:r>
                </w:p>
              </w:tc>
              <w:tc>
                <w:tcPr>
                  <w:tcW w:w="3606" w:type="dxa"/>
                  <w:tcBorders>
                    <w:tl2br w:val="nil"/>
                    <w:tr2bl w:val="nil"/>
                  </w:tcBorders>
                  <w:vAlign w:val="center"/>
                </w:tcPr>
                <w:p w14:paraId="49D89DA5">
                  <w:pPr>
                    <w:pStyle w:val="15"/>
                    <w:widowControl w:val="0"/>
                    <w:bidi w:val="0"/>
                    <w:jc w:val="center"/>
                  </w:pPr>
                  <w:r>
                    <w:rPr>
                      <w:rFonts w:hint="eastAsia"/>
                    </w:rPr>
                    <w:t>降膜吸收、水吸收、碱吸收</w:t>
                  </w:r>
                </w:p>
              </w:tc>
            </w:tr>
            <w:tr w14:paraId="17DDB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8" w:type="dxa"/>
                  <w:tcBorders>
                    <w:tl2br w:val="nil"/>
                    <w:tr2bl w:val="nil"/>
                  </w:tcBorders>
                  <w:vAlign w:val="center"/>
                </w:tcPr>
                <w:p w14:paraId="16E17BD8">
                  <w:pPr>
                    <w:pStyle w:val="15"/>
                    <w:widowControl w:val="0"/>
                    <w:bidi w:val="0"/>
                    <w:jc w:val="center"/>
                  </w:pPr>
                  <w:r>
                    <w:rPr>
                      <w:rFonts w:hint="eastAsia"/>
                    </w:rPr>
                    <w:t>罐区和装卸区废气</w:t>
                  </w:r>
                </w:p>
              </w:tc>
              <w:tc>
                <w:tcPr>
                  <w:tcW w:w="3082" w:type="dxa"/>
                  <w:tcBorders>
                    <w:tl2br w:val="nil"/>
                    <w:tr2bl w:val="nil"/>
                  </w:tcBorders>
                  <w:vAlign w:val="center"/>
                </w:tcPr>
                <w:p w14:paraId="4C659F43">
                  <w:pPr>
                    <w:pStyle w:val="15"/>
                    <w:widowControl w:val="0"/>
                    <w:bidi w:val="0"/>
                    <w:jc w:val="center"/>
                  </w:pPr>
                  <w:r>
                    <w:rPr>
                      <w:rFonts w:hint="eastAsia"/>
                    </w:rPr>
                    <w:t>挥发性有机物、特征污染物</w:t>
                  </w:r>
                </w:p>
              </w:tc>
              <w:tc>
                <w:tcPr>
                  <w:tcW w:w="3606" w:type="dxa"/>
                  <w:tcBorders>
                    <w:tl2br w:val="nil"/>
                    <w:tr2bl w:val="nil"/>
                  </w:tcBorders>
                  <w:vAlign w:val="center"/>
                </w:tcPr>
                <w:p w14:paraId="1DA54F1E">
                  <w:pPr>
                    <w:pStyle w:val="15"/>
                    <w:widowControl w:val="0"/>
                    <w:bidi w:val="0"/>
                    <w:jc w:val="center"/>
                  </w:pPr>
                  <w:r>
                    <w:rPr>
                      <w:rFonts w:hint="eastAsia"/>
                    </w:rPr>
                    <w:t>选用浮顶罐、设置呼吸阀、呼吸气收集进行吸收、吸附或焚烧处理</w:t>
                  </w:r>
                </w:p>
              </w:tc>
            </w:tr>
          </w:tbl>
          <w:p w14:paraId="61EED651">
            <w:pPr>
              <w:rPr>
                <w:rFonts w:hint="eastAsia"/>
                <w:color w:val="auto"/>
                <w:lang w:val="en-US" w:eastAsia="zh-CN"/>
              </w:rPr>
            </w:pPr>
            <w:r>
              <w:rPr>
                <w:rFonts w:hint="eastAsia"/>
                <w:color w:val="auto"/>
                <w:lang w:val="en-US" w:eastAsia="zh-CN"/>
              </w:rPr>
              <w:t>对照《排污许可证申请与核发技术规范 农药制造工业》（HJ862-2017）中6 污染防治可行技术要求，本项目</w:t>
            </w:r>
            <w:r>
              <w:rPr>
                <w:rFonts w:hint="eastAsia"/>
                <w:lang w:val="en-US" w:eastAsia="zh-CN"/>
              </w:rPr>
              <w:t>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盐酸储罐均采取呼吸阀，并采用集气管道对储罐大、小呼吸产生的HCl气体进行收集，治理措施TA002采用三级降膜水吸收+三级填料碱吸收+一级碱喷淋治理工艺，均属于《排污许可证申请与核发技术规范 农药制造工业》（HJ862-2017）中废气治理可行技术。</w:t>
            </w:r>
          </w:p>
          <w:p w14:paraId="36073FFC">
            <w:pPr>
              <w:pStyle w:val="4"/>
              <w:bidi w:val="0"/>
              <w:rPr>
                <w:rFonts w:hint="default"/>
                <w:lang w:val="en-US" w:eastAsia="zh-CN"/>
              </w:rPr>
            </w:pPr>
            <w:r>
              <w:rPr>
                <w:rFonts w:hint="eastAsia"/>
                <w:lang w:val="en-US" w:eastAsia="zh-CN"/>
              </w:rPr>
              <w:t>1.4排气筒高度设置合理性分析</w:t>
            </w:r>
          </w:p>
          <w:p w14:paraId="1DD8C96D">
            <w:pPr>
              <w:rPr>
                <w:rFonts w:hint="eastAsia"/>
                <w:color w:val="auto"/>
                <w:lang w:val="en-US" w:eastAsia="zh-CN"/>
              </w:rPr>
            </w:pPr>
            <w:r>
              <w:rPr>
                <w:rFonts w:hint="eastAsia"/>
                <w:color w:val="auto"/>
                <w:lang w:val="en-US" w:eastAsia="zh-CN"/>
              </w:rPr>
              <w:t>根据《农药制造工业大气污染物排放标准》（GB39727—2020）中要求：“4.7排放氯气、氰化氢、光气的排气筒高度不低于25m，其他排气筒高度不低于15m（因安全考虑或有特殊工艺要求的除外），具体高度以及与周围建筑物的相对高度关系应根据环境影响评价文件确定。”</w:t>
            </w:r>
          </w:p>
          <w:p w14:paraId="465B58EE">
            <w:pPr>
              <w:rPr>
                <w:rFonts w:hint="eastAsia"/>
                <w:color w:val="auto"/>
                <w:lang w:val="en-US" w:eastAsia="zh-CN"/>
              </w:rPr>
            </w:pPr>
            <w:r>
              <w:rPr>
                <w:rFonts w:hint="eastAsia"/>
                <w:color w:val="auto"/>
                <w:lang w:val="en-US" w:eastAsia="zh-CN"/>
              </w:rPr>
              <w:t>本项目</w:t>
            </w:r>
            <w:r>
              <w:rPr>
                <w:rFonts w:hint="eastAsia"/>
                <w:lang w:val="en-US" w:eastAsia="zh-CN"/>
              </w:rPr>
              <w:t>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盐酸储罐均采取呼吸阀，并采用集气管道对储罐大、小呼吸产生的HCl气体进行收集至现有TA002废气治理装置处理，后通过现有</w:t>
            </w:r>
            <w:r>
              <w:rPr>
                <w:rFonts w:hint="eastAsia"/>
                <w:lang w:val="en-US" w:eastAsia="zh-CN"/>
              </w:rPr>
              <w:t>1根高30m、内径0.4m排气筒DA002排放，满足</w:t>
            </w:r>
            <w:r>
              <w:rPr>
                <w:rFonts w:hint="eastAsia"/>
                <w:color w:val="auto"/>
                <w:lang w:val="en-US" w:eastAsia="zh-CN"/>
              </w:rPr>
              <w:t>《农药制造工业大气污染物排放标准》（GB39727—2020）中对排气筒最低高度的要求。</w:t>
            </w:r>
          </w:p>
          <w:p w14:paraId="6B169FDC">
            <w:pPr>
              <w:pStyle w:val="4"/>
              <w:bidi w:val="0"/>
              <w:rPr>
                <w:rFonts w:hint="eastAsia"/>
                <w:lang w:val="en-US" w:eastAsia="zh-CN"/>
              </w:rPr>
            </w:pPr>
            <w:r>
              <w:rPr>
                <w:rFonts w:hint="eastAsia"/>
                <w:lang w:val="en-US" w:eastAsia="zh-CN"/>
              </w:rPr>
              <w:t>1.5非正常工况环境影响分析</w:t>
            </w:r>
          </w:p>
          <w:p w14:paraId="0757E5DF">
            <w:pPr>
              <w:rPr>
                <w:rFonts w:hint="default"/>
                <w:lang w:val="en-US" w:eastAsia="zh-CN"/>
              </w:rPr>
            </w:pPr>
            <w:r>
              <w:rPr>
                <w:rFonts w:hint="eastAsia"/>
                <w:lang w:val="en-US" w:eastAsia="zh-CN"/>
              </w:rPr>
              <w:t>（1）非正常工况情景</w:t>
            </w:r>
          </w:p>
          <w:p w14:paraId="5F778656">
            <w:pPr>
              <w:rPr>
                <w:rFonts w:hint="eastAsia"/>
                <w:color w:val="auto"/>
                <w:lang w:val="en-US" w:eastAsia="zh-CN"/>
              </w:rPr>
            </w:pPr>
            <w:r>
              <w:rPr>
                <w:rFonts w:hint="eastAsia"/>
                <w:color w:val="auto"/>
                <w:lang w:val="en-US" w:eastAsia="zh-CN"/>
              </w:rPr>
              <w:t>本项目</w:t>
            </w:r>
            <w:r>
              <w:rPr>
                <w:rFonts w:hint="eastAsia"/>
                <w:lang w:val="en-US" w:eastAsia="zh-CN"/>
              </w:rPr>
              <w:t>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盐酸储罐非正常工况对大气环境不利影响主要为：</w:t>
            </w:r>
          </w:p>
          <w:p w14:paraId="5F6317F5">
            <w:pPr>
              <w:rPr>
                <w:rFonts w:hint="eastAsia"/>
                <w:color w:val="auto"/>
                <w:lang w:val="en-US" w:eastAsia="zh-CN"/>
              </w:rPr>
            </w:pPr>
            <w:r>
              <w:rPr>
                <w:rFonts w:hint="eastAsia"/>
                <w:color w:val="auto"/>
                <w:lang w:val="en-US" w:eastAsia="zh-CN"/>
              </w:rPr>
              <w:t>①盐酸储罐呼吸阀连接管道断裂或脱落，盐酸储罐大小呼吸产生HCl气体未收集，HCl气体以无组织形式逸散至环境空气中，非正常工况持续1h。</w:t>
            </w:r>
          </w:p>
          <w:p w14:paraId="283737F9">
            <w:pPr>
              <w:rPr>
                <w:rFonts w:hint="eastAsia"/>
                <w:color w:val="auto"/>
                <w:lang w:val="en-US" w:eastAsia="zh-CN"/>
              </w:rPr>
            </w:pPr>
            <w:r>
              <w:rPr>
                <w:rFonts w:hint="eastAsia"/>
                <w:color w:val="auto"/>
                <w:lang w:val="en-US" w:eastAsia="zh-CN"/>
              </w:rPr>
              <w:t>②盐酸储罐采取呼吸阀，并采用集气管道对储罐大、小呼吸产生的HCl气体进行收集至现有TA002废气治理装置发生故障，HCl气体去除效率为0%，非正常工况持续时间0.5h。</w:t>
            </w:r>
          </w:p>
          <w:p w14:paraId="6E872159">
            <w:pPr>
              <w:rPr>
                <w:rFonts w:hint="eastAsia"/>
                <w:color w:val="auto"/>
                <w:lang w:val="en-US" w:eastAsia="zh-CN"/>
              </w:rPr>
            </w:pPr>
            <w:r>
              <w:rPr>
                <w:rFonts w:hint="eastAsia"/>
                <w:color w:val="auto"/>
                <w:lang w:val="en-US" w:eastAsia="zh-CN"/>
              </w:rPr>
              <w:t>（2）非正常工况下废气污染物排放源强</w:t>
            </w:r>
          </w:p>
          <w:p w14:paraId="0D88AF60">
            <w:pPr>
              <w:rPr>
                <w:rFonts w:hint="eastAsia"/>
                <w:color w:val="auto"/>
                <w:lang w:val="en-US" w:eastAsia="zh-CN"/>
              </w:rPr>
            </w:pPr>
            <w:r>
              <w:rPr>
                <w:rFonts w:hint="eastAsia"/>
                <w:color w:val="auto"/>
                <w:lang w:val="en-US" w:eastAsia="zh-CN"/>
              </w:rPr>
              <w:t>本项目非正常工况下废气污染物排放源强见下表35。</w:t>
            </w:r>
          </w:p>
          <w:p w14:paraId="4A3B672D">
            <w:pPr>
              <w:pStyle w:val="16"/>
              <w:bidi w:val="0"/>
              <w:rPr>
                <w:b/>
                <w:bCs/>
                <w:spacing w:val="6"/>
                <w:sz w:val="20"/>
                <w:szCs w:val="20"/>
              </w:rPr>
            </w:pPr>
            <w:r>
              <w:t xml:space="preserve">表 </w:t>
            </w:r>
            <w:r>
              <w:fldChar w:fldCharType="begin"/>
            </w:r>
            <w:r>
              <w:instrText xml:space="preserve"> SEQ 表 \* ARABIC </w:instrText>
            </w:r>
            <w:r>
              <w:fldChar w:fldCharType="separate"/>
            </w:r>
            <w:r>
              <w:t>35</w:t>
            </w:r>
            <w:r>
              <w:fldChar w:fldCharType="end"/>
            </w:r>
            <w:r>
              <w:rPr>
                <w:rFonts w:hint="eastAsia"/>
                <w:lang w:val="en-US" w:eastAsia="zh-CN"/>
              </w:rPr>
              <w:t xml:space="preserve">  本项目</w:t>
            </w:r>
            <w:r>
              <w:rPr>
                <w:b/>
                <w:bCs/>
                <w:spacing w:val="6"/>
                <w:sz w:val="20"/>
                <w:szCs w:val="20"/>
              </w:rPr>
              <w:t>非正常工况废气排放源强一览表</w:t>
            </w:r>
          </w:p>
          <w:tbl>
            <w:tblPr>
              <w:tblStyle w:val="1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13"/>
              <w:gridCol w:w="1426"/>
              <w:gridCol w:w="485"/>
              <w:gridCol w:w="984"/>
              <w:gridCol w:w="1464"/>
              <w:gridCol w:w="927"/>
              <w:gridCol w:w="1794"/>
            </w:tblGrid>
            <w:tr w14:paraId="0DE0EC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15" w:type="pct"/>
                  <w:tcBorders>
                    <w:tl2br w:val="nil"/>
                    <w:tr2bl w:val="nil"/>
                  </w:tcBorders>
                  <w:vAlign w:val="center"/>
                </w:tcPr>
                <w:p w14:paraId="7D05F7DE">
                  <w:pPr>
                    <w:pStyle w:val="15"/>
                    <w:bidi w:val="0"/>
                    <w:jc w:val="center"/>
                  </w:pPr>
                  <w:r>
                    <w:t>污染源名称</w:t>
                  </w:r>
                </w:p>
              </w:tc>
              <w:tc>
                <w:tcPr>
                  <w:tcW w:w="903" w:type="pct"/>
                  <w:tcBorders>
                    <w:tl2br w:val="nil"/>
                    <w:tr2bl w:val="nil"/>
                  </w:tcBorders>
                  <w:vAlign w:val="center"/>
                </w:tcPr>
                <w:p w14:paraId="1BBAF8D3">
                  <w:pPr>
                    <w:pStyle w:val="15"/>
                    <w:bidi w:val="0"/>
                    <w:jc w:val="center"/>
                  </w:pPr>
                  <w:r>
                    <w:t>非正常原因</w:t>
                  </w:r>
                </w:p>
              </w:tc>
              <w:tc>
                <w:tcPr>
                  <w:tcW w:w="307" w:type="pct"/>
                  <w:tcBorders>
                    <w:tl2br w:val="nil"/>
                    <w:tr2bl w:val="nil"/>
                  </w:tcBorders>
                  <w:vAlign w:val="center"/>
                </w:tcPr>
                <w:p w14:paraId="326E61C2">
                  <w:pPr>
                    <w:pStyle w:val="15"/>
                    <w:bidi w:val="0"/>
                    <w:jc w:val="center"/>
                  </w:pPr>
                  <w:r>
                    <w:t>因子</w:t>
                  </w:r>
                </w:p>
              </w:tc>
              <w:tc>
                <w:tcPr>
                  <w:tcW w:w="623" w:type="pct"/>
                  <w:tcBorders>
                    <w:tl2br w:val="nil"/>
                    <w:tr2bl w:val="nil"/>
                  </w:tcBorders>
                  <w:vAlign w:val="center"/>
                </w:tcPr>
                <w:p w14:paraId="75D0D899">
                  <w:pPr>
                    <w:pStyle w:val="15"/>
                    <w:bidi w:val="0"/>
                    <w:jc w:val="center"/>
                  </w:pPr>
                  <w:r>
                    <w:t>非正常排放浓度</w:t>
                  </w:r>
                </w:p>
                <w:p w14:paraId="5DD5A519">
                  <w:pPr>
                    <w:pStyle w:val="15"/>
                    <w:bidi w:val="0"/>
                    <w:jc w:val="center"/>
                  </w:pPr>
                  <w:r>
                    <w:rPr>
                      <w:rFonts w:hint="eastAsia"/>
                      <w:lang w:eastAsia="zh-CN"/>
                    </w:rPr>
                    <w:t>(</w:t>
                  </w:r>
                  <w:r>
                    <w:t>mg/m</w:t>
                  </w:r>
                  <w:r>
                    <w:rPr>
                      <w:vertAlign w:val="superscript"/>
                    </w:rPr>
                    <w:t>3</w:t>
                  </w:r>
                  <w:r>
                    <w:rPr>
                      <w:rFonts w:hint="eastAsia"/>
                      <w:vertAlign w:val="superscript"/>
                      <w:lang w:eastAsia="zh-CN"/>
                    </w:rPr>
                    <w:t>)</w:t>
                  </w:r>
                </w:p>
              </w:tc>
              <w:tc>
                <w:tcPr>
                  <w:tcW w:w="927" w:type="pct"/>
                  <w:tcBorders>
                    <w:tl2br w:val="nil"/>
                    <w:tr2bl w:val="nil"/>
                  </w:tcBorders>
                  <w:vAlign w:val="center"/>
                </w:tcPr>
                <w:p w14:paraId="34FD72C2">
                  <w:pPr>
                    <w:pStyle w:val="15"/>
                    <w:bidi w:val="0"/>
                    <w:jc w:val="center"/>
                  </w:pPr>
                  <w:r>
                    <w:t>非正常排放速率（kg/h）</w:t>
                  </w:r>
                </w:p>
              </w:tc>
              <w:tc>
                <w:tcPr>
                  <w:tcW w:w="587" w:type="pct"/>
                  <w:tcBorders>
                    <w:tl2br w:val="nil"/>
                    <w:tr2bl w:val="nil"/>
                  </w:tcBorders>
                  <w:vAlign w:val="center"/>
                </w:tcPr>
                <w:p w14:paraId="496BEEF9">
                  <w:pPr>
                    <w:pStyle w:val="15"/>
                    <w:bidi w:val="0"/>
                    <w:jc w:val="center"/>
                  </w:pPr>
                  <w:r>
                    <w:t>单次持续时间h</w:t>
                  </w:r>
                </w:p>
              </w:tc>
              <w:tc>
                <w:tcPr>
                  <w:tcW w:w="1135" w:type="pct"/>
                  <w:tcBorders>
                    <w:tl2br w:val="nil"/>
                    <w:tr2bl w:val="nil"/>
                  </w:tcBorders>
                  <w:vAlign w:val="center"/>
                </w:tcPr>
                <w:p w14:paraId="17B6A8E9">
                  <w:pPr>
                    <w:pStyle w:val="15"/>
                    <w:bidi w:val="0"/>
                    <w:jc w:val="center"/>
                  </w:pPr>
                  <w:r>
                    <w:t>应对措施</w:t>
                  </w:r>
                </w:p>
              </w:tc>
            </w:tr>
            <w:tr w14:paraId="17A7B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15" w:type="pct"/>
                  <w:tcBorders>
                    <w:tl2br w:val="nil"/>
                    <w:tr2bl w:val="nil"/>
                  </w:tcBorders>
                  <w:vAlign w:val="center"/>
                </w:tcPr>
                <w:p w14:paraId="0B495A0B">
                  <w:pPr>
                    <w:pStyle w:val="15"/>
                    <w:bidi w:val="0"/>
                    <w:jc w:val="center"/>
                    <w:rPr>
                      <w:rFonts w:hint="default" w:eastAsia="宋体"/>
                      <w:lang w:val="en-US" w:eastAsia="zh-CN"/>
                    </w:rPr>
                  </w:pPr>
                  <w:r>
                    <w:rPr>
                      <w:rFonts w:hint="eastAsia"/>
                      <w:lang w:val="en-US" w:eastAsia="zh-CN"/>
                    </w:rPr>
                    <w:t>4座盐酸储罐</w:t>
                  </w:r>
                </w:p>
              </w:tc>
              <w:tc>
                <w:tcPr>
                  <w:tcW w:w="903" w:type="pct"/>
                  <w:tcBorders>
                    <w:tl2br w:val="nil"/>
                    <w:tr2bl w:val="nil"/>
                  </w:tcBorders>
                  <w:vAlign w:val="center"/>
                </w:tcPr>
                <w:p w14:paraId="50D29E39">
                  <w:pPr>
                    <w:pStyle w:val="15"/>
                    <w:bidi w:val="0"/>
                    <w:jc w:val="center"/>
                  </w:pPr>
                  <w:r>
                    <w:rPr>
                      <w:rFonts w:hint="eastAsia"/>
                      <w:color w:val="auto"/>
                      <w:lang w:val="en-US" w:eastAsia="zh-CN"/>
                    </w:rPr>
                    <w:t>呼吸阀连接管道断裂或脱落</w:t>
                  </w:r>
                </w:p>
              </w:tc>
              <w:tc>
                <w:tcPr>
                  <w:tcW w:w="307" w:type="pct"/>
                  <w:tcBorders>
                    <w:tl2br w:val="nil"/>
                    <w:tr2bl w:val="nil"/>
                  </w:tcBorders>
                  <w:vAlign w:val="center"/>
                </w:tcPr>
                <w:p w14:paraId="5498CE5C">
                  <w:pPr>
                    <w:pStyle w:val="15"/>
                    <w:bidi w:val="0"/>
                    <w:jc w:val="center"/>
                  </w:pPr>
                  <w:r>
                    <w:rPr>
                      <w:rFonts w:hint="eastAsia"/>
                      <w:color w:val="auto"/>
                      <w:lang w:val="en-US" w:eastAsia="zh-CN"/>
                    </w:rPr>
                    <w:t>HCl</w:t>
                  </w:r>
                </w:p>
              </w:tc>
              <w:tc>
                <w:tcPr>
                  <w:tcW w:w="623" w:type="pct"/>
                  <w:tcBorders>
                    <w:tl2br w:val="nil"/>
                    <w:tr2bl w:val="nil"/>
                  </w:tcBorders>
                  <w:vAlign w:val="center"/>
                </w:tcPr>
                <w:p w14:paraId="187635A8">
                  <w:pPr>
                    <w:pStyle w:val="15"/>
                    <w:bidi w:val="0"/>
                    <w:jc w:val="center"/>
                    <w:rPr>
                      <w:rFonts w:hint="eastAsia" w:eastAsia="宋体"/>
                      <w:lang w:val="en-US" w:eastAsia="zh-CN"/>
                    </w:rPr>
                  </w:pPr>
                  <w:r>
                    <w:rPr>
                      <w:rFonts w:hint="eastAsia"/>
                      <w:lang w:val="en-US" w:eastAsia="zh-CN"/>
                    </w:rPr>
                    <w:t>/</w:t>
                  </w:r>
                </w:p>
              </w:tc>
              <w:tc>
                <w:tcPr>
                  <w:tcW w:w="927" w:type="pct"/>
                  <w:tcBorders>
                    <w:tl2br w:val="nil"/>
                    <w:tr2bl w:val="nil"/>
                  </w:tcBorders>
                  <w:vAlign w:val="center"/>
                </w:tcPr>
                <w:p w14:paraId="0D81287A">
                  <w:pPr>
                    <w:pStyle w:val="15"/>
                    <w:bidi w:val="0"/>
                    <w:jc w:val="center"/>
                  </w:pPr>
                  <w:r>
                    <w:rPr>
                      <w:rFonts w:hint="eastAsia"/>
                    </w:rPr>
                    <w:t>0.0425</w:t>
                  </w:r>
                </w:p>
              </w:tc>
              <w:tc>
                <w:tcPr>
                  <w:tcW w:w="587" w:type="pct"/>
                  <w:tcBorders>
                    <w:tl2br w:val="nil"/>
                    <w:tr2bl w:val="nil"/>
                  </w:tcBorders>
                  <w:vAlign w:val="center"/>
                </w:tcPr>
                <w:p w14:paraId="2A33C3A9">
                  <w:pPr>
                    <w:pStyle w:val="15"/>
                    <w:bidi w:val="0"/>
                    <w:jc w:val="center"/>
                    <w:rPr>
                      <w:rFonts w:hint="eastAsia" w:eastAsia="宋体"/>
                      <w:lang w:val="en-US" w:eastAsia="zh-CN"/>
                    </w:rPr>
                  </w:pPr>
                  <w:r>
                    <w:rPr>
                      <w:rFonts w:hint="eastAsia"/>
                      <w:lang w:val="en-US" w:eastAsia="zh-CN"/>
                    </w:rPr>
                    <w:t>1</w:t>
                  </w:r>
                </w:p>
              </w:tc>
              <w:tc>
                <w:tcPr>
                  <w:tcW w:w="1135" w:type="pct"/>
                  <w:tcBorders>
                    <w:tl2br w:val="nil"/>
                    <w:tr2bl w:val="nil"/>
                  </w:tcBorders>
                  <w:vAlign w:val="center"/>
                </w:tcPr>
                <w:p w14:paraId="02A2DE8D">
                  <w:pPr>
                    <w:pStyle w:val="15"/>
                    <w:bidi w:val="0"/>
                    <w:jc w:val="center"/>
                    <w:rPr>
                      <w:rFonts w:hint="default" w:eastAsia="宋体"/>
                      <w:lang w:val="en-US" w:eastAsia="zh-CN"/>
                    </w:rPr>
                  </w:pPr>
                  <w:r>
                    <w:rPr>
                      <w:rFonts w:hint="eastAsia"/>
                      <w:lang w:val="en-US" w:eastAsia="zh-CN"/>
                    </w:rPr>
                    <w:t>更换收集管道，与呼吸阀接口</w:t>
                  </w:r>
                </w:p>
              </w:tc>
            </w:tr>
            <w:tr w14:paraId="52230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15" w:type="pct"/>
                  <w:tcBorders>
                    <w:tl2br w:val="nil"/>
                    <w:tr2bl w:val="nil"/>
                  </w:tcBorders>
                  <w:vAlign w:val="center"/>
                </w:tcPr>
                <w:p w14:paraId="744C4B81">
                  <w:pPr>
                    <w:pStyle w:val="15"/>
                    <w:bidi w:val="0"/>
                    <w:jc w:val="center"/>
                    <w:rPr>
                      <w:rFonts w:hint="default" w:eastAsia="宋体"/>
                      <w:lang w:val="en-US" w:eastAsia="zh-CN"/>
                    </w:rPr>
                  </w:pPr>
                  <w:r>
                    <w:rPr>
                      <w:rFonts w:hint="eastAsia"/>
                      <w:lang w:val="en-US" w:eastAsia="zh-CN"/>
                    </w:rPr>
                    <w:t>TA002</w:t>
                  </w:r>
                </w:p>
              </w:tc>
              <w:tc>
                <w:tcPr>
                  <w:tcW w:w="903" w:type="pct"/>
                  <w:tcBorders>
                    <w:tl2br w:val="nil"/>
                    <w:tr2bl w:val="nil"/>
                  </w:tcBorders>
                  <w:vAlign w:val="center"/>
                </w:tcPr>
                <w:p w14:paraId="5090D731">
                  <w:pPr>
                    <w:pStyle w:val="15"/>
                    <w:bidi w:val="0"/>
                    <w:jc w:val="center"/>
                    <w:rPr>
                      <w:rFonts w:hint="default" w:eastAsia="宋体"/>
                      <w:lang w:val="en-US" w:eastAsia="zh-CN"/>
                    </w:rPr>
                  </w:pPr>
                  <w:r>
                    <w:rPr>
                      <w:rFonts w:hint="eastAsia"/>
                      <w:lang w:val="en-US" w:eastAsia="zh-CN"/>
                    </w:rPr>
                    <w:t>废气治理措施故障</w:t>
                  </w:r>
                </w:p>
              </w:tc>
              <w:tc>
                <w:tcPr>
                  <w:tcW w:w="307" w:type="pct"/>
                  <w:tcBorders>
                    <w:tl2br w:val="nil"/>
                    <w:tr2bl w:val="nil"/>
                  </w:tcBorders>
                  <w:vAlign w:val="center"/>
                </w:tcPr>
                <w:p w14:paraId="42AFFF43">
                  <w:pPr>
                    <w:pStyle w:val="15"/>
                    <w:bidi w:val="0"/>
                    <w:jc w:val="center"/>
                  </w:pPr>
                  <w:r>
                    <w:rPr>
                      <w:rFonts w:hint="eastAsia"/>
                      <w:color w:val="auto"/>
                      <w:lang w:val="en-US" w:eastAsia="zh-CN"/>
                    </w:rPr>
                    <w:t>HCl</w:t>
                  </w:r>
                </w:p>
              </w:tc>
              <w:tc>
                <w:tcPr>
                  <w:tcW w:w="623" w:type="pct"/>
                  <w:tcBorders>
                    <w:tl2br w:val="nil"/>
                    <w:tr2bl w:val="nil"/>
                  </w:tcBorders>
                  <w:vAlign w:val="center"/>
                </w:tcPr>
                <w:p w14:paraId="51812977">
                  <w:pPr>
                    <w:pStyle w:val="15"/>
                    <w:bidi w:val="0"/>
                    <w:jc w:val="center"/>
                    <w:rPr>
                      <w:rFonts w:hint="default" w:eastAsia="宋体"/>
                      <w:lang w:val="en-US" w:eastAsia="zh-CN"/>
                    </w:rPr>
                  </w:pPr>
                  <w:r>
                    <w:rPr>
                      <w:rFonts w:hint="eastAsia"/>
                      <w:lang w:val="en-US" w:eastAsia="zh-CN"/>
                    </w:rPr>
                    <w:t>5.30</w:t>
                  </w:r>
                </w:p>
              </w:tc>
              <w:tc>
                <w:tcPr>
                  <w:tcW w:w="927" w:type="pct"/>
                  <w:tcBorders>
                    <w:tl2br w:val="nil"/>
                    <w:tr2bl w:val="nil"/>
                  </w:tcBorders>
                  <w:vAlign w:val="center"/>
                </w:tcPr>
                <w:p w14:paraId="4013A4E9">
                  <w:pPr>
                    <w:pStyle w:val="15"/>
                    <w:bidi w:val="0"/>
                    <w:jc w:val="center"/>
                    <w:rPr>
                      <w:rFonts w:hint="default" w:eastAsia="宋体"/>
                      <w:lang w:val="en-US" w:eastAsia="zh-CN"/>
                    </w:rPr>
                  </w:pPr>
                  <w:r>
                    <w:rPr>
                      <w:rFonts w:hint="eastAsia"/>
                      <w:lang w:val="en-US" w:eastAsia="zh-CN"/>
                    </w:rPr>
                    <w:t>0.053</w:t>
                  </w:r>
                </w:p>
              </w:tc>
              <w:tc>
                <w:tcPr>
                  <w:tcW w:w="587" w:type="pct"/>
                  <w:tcBorders>
                    <w:tl2br w:val="nil"/>
                    <w:tr2bl w:val="nil"/>
                  </w:tcBorders>
                  <w:vAlign w:val="center"/>
                </w:tcPr>
                <w:p w14:paraId="32CF968D">
                  <w:pPr>
                    <w:pStyle w:val="15"/>
                    <w:bidi w:val="0"/>
                    <w:jc w:val="center"/>
                    <w:rPr>
                      <w:rFonts w:hint="default" w:eastAsia="宋体"/>
                      <w:lang w:val="en-US" w:eastAsia="zh-CN"/>
                    </w:rPr>
                  </w:pPr>
                  <w:r>
                    <w:rPr>
                      <w:rFonts w:hint="eastAsia"/>
                      <w:lang w:val="en-US" w:eastAsia="zh-CN"/>
                    </w:rPr>
                    <w:t>0.5</w:t>
                  </w:r>
                </w:p>
              </w:tc>
              <w:tc>
                <w:tcPr>
                  <w:tcW w:w="1135" w:type="pct"/>
                  <w:tcBorders>
                    <w:tl2br w:val="nil"/>
                    <w:tr2bl w:val="nil"/>
                  </w:tcBorders>
                  <w:vAlign w:val="center"/>
                </w:tcPr>
                <w:p w14:paraId="77B83868">
                  <w:pPr>
                    <w:pStyle w:val="15"/>
                    <w:bidi w:val="0"/>
                    <w:jc w:val="center"/>
                  </w:pPr>
                  <w:r>
                    <w:rPr>
                      <w:rFonts w:hint="eastAsia"/>
                    </w:rPr>
                    <w:t>维修废气治理设施</w:t>
                  </w:r>
                </w:p>
              </w:tc>
            </w:tr>
          </w:tbl>
          <w:p w14:paraId="1CE4B8A3">
            <w:pPr>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非正常工况防治措施</w:t>
            </w:r>
          </w:p>
          <w:p w14:paraId="2C305A71">
            <w:pPr>
              <w:rPr>
                <w:rFonts w:hint="default"/>
                <w:lang w:val="en-US" w:eastAsia="zh-CN"/>
              </w:rPr>
            </w:pPr>
            <w:r>
              <w:rPr>
                <w:rFonts w:hint="default"/>
                <w:lang w:val="en-US" w:eastAsia="zh-CN"/>
              </w:rPr>
              <w:t>为杜绝废气非正常排放，应采取以下措施确保</w:t>
            </w:r>
            <w:r>
              <w:rPr>
                <w:rFonts w:hint="eastAsia"/>
                <w:lang w:val="en-US" w:eastAsia="zh-CN"/>
              </w:rPr>
              <w:t>盐酸储罐</w:t>
            </w:r>
            <w:r>
              <w:rPr>
                <w:rFonts w:hint="eastAsia"/>
                <w:color w:val="auto"/>
                <w:lang w:val="en-US" w:eastAsia="zh-CN"/>
              </w:rPr>
              <w:t>HCl气体</w:t>
            </w:r>
            <w:r>
              <w:rPr>
                <w:rFonts w:hint="default"/>
                <w:lang w:val="en-US" w:eastAsia="zh-CN"/>
              </w:rPr>
              <w:t>达标排放：</w:t>
            </w:r>
          </w:p>
          <w:p w14:paraId="36F0298A">
            <w:pPr>
              <w:rPr>
                <w:rFonts w:hint="default"/>
                <w:lang w:val="en-US" w:eastAsia="zh-CN"/>
              </w:rPr>
            </w:pPr>
            <w:r>
              <w:rPr>
                <w:rFonts w:hint="default"/>
                <w:lang w:val="en-US" w:eastAsia="zh-CN"/>
              </w:rPr>
              <w:t>①安排专人负责环保设备的日常维护和管理，每隔固定时间检查、汇报情况，及时发现废气处理设备的隐患，确保废气处理系统正常运行；</w:t>
            </w:r>
          </w:p>
          <w:p w14:paraId="27C022F2">
            <w:pPr>
              <w:rPr>
                <w:rFonts w:hint="default"/>
                <w:lang w:val="en-US" w:eastAsia="zh-CN"/>
              </w:rPr>
            </w:pPr>
            <w:r>
              <w:rPr>
                <w:rFonts w:hint="default"/>
                <w:lang w:val="en-US" w:eastAsia="zh-CN"/>
              </w:rPr>
              <w:t>②建立健全的环保管理机构，对环保管理人员和技术人员进行岗位培训，委托具有专业资质的环境检测单位对项目排放的各类污染物进行定期检测；</w:t>
            </w:r>
          </w:p>
          <w:p w14:paraId="7AA8D89F">
            <w:pPr>
              <w:pStyle w:val="4"/>
              <w:bidi w:val="0"/>
              <w:rPr>
                <w:rFonts w:hint="default"/>
                <w:lang w:val="en-US" w:eastAsia="zh-CN"/>
              </w:rPr>
            </w:pPr>
            <w:r>
              <w:rPr>
                <w:rFonts w:hint="eastAsia"/>
                <w:lang w:val="en-US" w:eastAsia="zh-CN"/>
              </w:rPr>
              <w:t>1.6大气污染源监测</w:t>
            </w:r>
          </w:p>
          <w:p w14:paraId="100E4E67">
            <w:pPr>
              <w:rPr>
                <w:rFonts w:hint="eastAsia"/>
                <w:lang w:val="en-US" w:eastAsia="zh-CN"/>
              </w:rPr>
            </w:pPr>
            <w:r>
              <w:rPr>
                <w:rFonts w:hint="eastAsia"/>
                <w:color w:val="auto"/>
                <w:lang w:val="en-US" w:eastAsia="zh-CN"/>
              </w:rPr>
              <w:t>本项目</w:t>
            </w:r>
            <w:r>
              <w:rPr>
                <w:rFonts w:hint="eastAsia"/>
                <w:lang w:val="en-US" w:eastAsia="zh-CN"/>
              </w:rPr>
              <w:t>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盐酸储罐为全厂储运工程中的部分扩建内容，储罐大、小呼吸产生的HCl气体进行收集至现有TA002废气治理装置处理，通过现有</w:t>
            </w:r>
            <w:r>
              <w:rPr>
                <w:rFonts w:hint="eastAsia"/>
                <w:lang w:val="en-US" w:eastAsia="zh-CN"/>
              </w:rPr>
              <w:t>1根高30m、内径0.4m排气筒DA002达标排放。</w:t>
            </w:r>
          </w:p>
          <w:p w14:paraId="72458832">
            <w:pPr>
              <w:rPr>
                <w:rFonts w:hint="eastAsia"/>
                <w:lang w:val="en-US" w:eastAsia="zh-CN"/>
              </w:rPr>
            </w:pPr>
            <w:r>
              <w:rPr>
                <w:rFonts w:hint="eastAsia"/>
              </w:rPr>
              <w:t>新疆久塔锦晨生物科技股份有限公司</w:t>
            </w:r>
            <w:r>
              <w:rPr>
                <w:rFonts w:hint="eastAsia"/>
                <w:lang w:val="en-US" w:eastAsia="zh-CN"/>
              </w:rPr>
              <w:t>已制定全厂自行监测计划，已包含本项目依托废气处理装置及排气筒。</w:t>
            </w:r>
          </w:p>
          <w:p w14:paraId="1461A0D0">
            <w:pPr>
              <w:pStyle w:val="4"/>
              <w:bidi w:val="0"/>
              <w:rPr>
                <w:rFonts w:hint="eastAsia"/>
                <w:lang w:val="en-US" w:eastAsia="zh-CN"/>
              </w:rPr>
            </w:pPr>
            <w:r>
              <w:rPr>
                <w:rFonts w:hint="eastAsia"/>
                <w:lang w:val="en-US" w:eastAsia="zh-CN"/>
              </w:rPr>
              <w:t>1.7大气环境影响分析</w:t>
            </w:r>
          </w:p>
          <w:p w14:paraId="132957E0">
            <w:pPr>
              <w:bidi w:val="0"/>
              <w:rPr>
                <w:rFonts w:hint="default"/>
                <w:lang w:val="en-US" w:eastAsia="zh-CN"/>
              </w:rPr>
            </w:pPr>
            <w:r>
              <w:rPr>
                <w:rFonts w:hint="eastAsia"/>
                <w:lang w:val="en-US" w:eastAsia="zh-CN"/>
              </w:rPr>
              <w:t>本项目针对各类废气拟采取合理可行的治理措施，项目运营期间各类废气均能做到达标排放。本次环评要求加强废气处理系统的维护，以减轻非正常工况废气排放对大气环境的影响。综上，本项目运营期各项大气污染物能够达标排放，在严格落实本次环评各项要求的前提下，对大气环境影响较小，可以接受。</w:t>
            </w:r>
          </w:p>
          <w:p w14:paraId="71BEC631">
            <w:pPr>
              <w:pStyle w:val="3"/>
              <w:bidi w:val="0"/>
              <w:rPr>
                <w:rFonts w:hint="eastAsia"/>
                <w:lang w:val="en-US" w:eastAsia="zh-CN"/>
              </w:rPr>
            </w:pPr>
            <w:r>
              <w:rPr>
                <w:rFonts w:hint="eastAsia"/>
                <w:lang w:val="en-US" w:eastAsia="zh-CN"/>
              </w:rPr>
              <w:t>2.水环境影响分析</w:t>
            </w:r>
          </w:p>
          <w:p w14:paraId="2DADC5B0">
            <w:pPr>
              <w:pStyle w:val="4"/>
              <w:bidi w:val="0"/>
              <w:rPr>
                <w:rFonts w:hint="default"/>
                <w:lang w:val="en-US" w:eastAsia="zh-CN"/>
              </w:rPr>
            </w:pPr>
            <w:r>
              <w:rPr>
                <w:rFonts w:hint="eastAsia"/>
                <w:lang w:val="en-US" w:eastAsia="zh-CN"/>
              </w:rPr>
              <w:t>2.1废水产生情况</w:t>
            </w:r>
          </w:p>
          <w:p w14:paraId="2ED09A02">
            <w:pPr>
              <w:rPr>
                <w:rFonts w:hint="eastAsia"/>
                <w:color w:val="auto"/>
                <w:lang w:val="en-US" w:eastAsia="zh-CN"/>
              </w:rPr>
            </w:pPr>
            <w:r>
              <w:rPr>
                <w:rFonts w:hint="eastAsia"/>
                <w:color w:val="auto"/>
                <w:lang w:val="en-US" w:eastAsia="zh-CN"/>
              </w:rPr>
              <w:t>本项目</w:t>
            </w:r>
            <w:r>
              <w:rPr>
                <w:rFonts w:hint="eastAsia"/>
                <w:lang w:val="en-US" w:eastAsia="zh-CN"/>
              </w:rPr>
              <w:t>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盐酸储罐不新增劳动定员，正常运营工况下无废水产生。</w:t>
            </w:r>
          </w:p>
          <w:p w14:paraId="6C1C72B4">
            <w:pPr>
              <w:pStyle w:val="4"/>
              <w:bidi w:val="0"/>
              <w:rPr>
                <w:rFonts w:hint="default"/>
                <w:lang w:val="en-US" w:eastAsia="zh-CN"/>
              </w:rPr>
            </w:pPr>
            <w:r>
              <w:rPr>
                <w:rFonts w:hint="eastAsia"/>
                <w:lang w:val="en-US" w:eastAsia="zh-CN"/>
              </w:rPr>
              <w:t>2.2水污染源监测情况</w:t>
            </w:r>
          </w:p>
          <w:p w14:paraId="78731E9A">
            <w:pPr>
              <w:rPr>
                <w:color w:val="auto"/>
              </w:rPr>
            </w:pPr>
            <w:r>
              <w:rPr>
                <w:rFonts w:hint="eastAsia"/>
              </w:rPr>
              <w:t>新疆久塔锦晨生物科技股份有限公司</w:t>
            </w:r>
            <w:r>
              <w:rPr>
                <w:rFonts w:hint="eastAsia"/>
                <w:lang w:val="en-US" w:eastAsia="zh-CN"/>
              </w:rPr>
              <w:t>已制定全厂自行监测计划。</w:t>
            </w:r>
          </w:p>
          <w:p w14:paraId="41C82A5C">
            <w:pPr>
              <w:pStyle w:val="3"/>
              <w:bidi w:val="0"/>
              <w:rPr>
                <w:rFonts w:hint="eastAsia"/>
                <w:lang w:val="en-US" w:eastAsia="zh-CN"/>
              </w:rPr>
            </w:pPr>
            <w:r>
              <w:rPr>
                <w:rFonts w:hint="eastAsia"/>
                <w:lang w:val="en-US" w:eastAsia="zh-CN"/>
              </w:rPr>
              <w:t>3.声环境影响分析及防治措施</w:t>
            </w:r>
          </w:p>
          <w:p w14:paraId="45B1C178">
            <w:pPr>
              <w:pStyle w:val="4"/>
              <w:bidi w:val="0"/>
              <w:rPr>
                <w:rFonts w:hint="default"/>
                <w:lang w:val="en-US" w:eastAsia="zh-CN"/>
              </w:rPr>
            </w:pPr>
            <w:r>
              <w:rPr>
                <w:rFonts w:hint="eastAsia"/>
                <w:lang w:val="en-US" w:eastAsia="zh-CN"/>
              </w:rPr>
              <w:t>3.1噪声源强</w:t>
            </w:r>
          </w:p>
          <w:p w14:paraId="5DF42D21">
            <w:pPr>
              <w:rPr>
                <w:rFonts w:hint="default" w:eastAsia="宋体"/>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盐酸储罐无新增噪声源，31%盐酸依托厂内酸碱罐区泵房内布设4台盐酸外输泵（2用2备），本次扩建项目无主要噪声源增加。</w:t>
            </w:r>
          </w:p>
          <w:p w14:paraId="3E6B0A21">
            <w:pPr>
              <w:pStyle w:val="4"/>
              <w:bidi w:val="0"/>
              <w:rPr>
                <w:rFonts w:hint="default"/>
                <w:lang w:val="en-US" w:eastAsia="zh-CN"/>
              </w:rPr>
            </w:pPr>
            <w:r>
              <w:rPr>
                <w:rFonts w:hint="eastAsia"/>
                <w:lang w:val="en-US" w:eastAsia="zh-CN"/>
              </w:rPr>
              <w:t>3.2声环境监测情况</w:t>
            </w:r>
          </w:p>
          <w:p w14:paraId="0627AE3E">
            <w:pPr>
              <w:rPr>
                <w:rFonts w:hint="eastAsia"/>
                <w:lang w:val="en-US" w:eastAsia="zh-CN"/>
              </w:rPr>
            </w:pPr>
            <w:r>
              <w:rPr>
                <w:rFonts w:hint="eastAsia"/>
              </w:rPr>
              <w:t>新疆久塔锦晨生物科技股份有限公司</w:t>
            </w:r>
            <w:r>
              <w:rPr>
                <w:rFonts w:hint="eastAsia"/>
                <w:lang w:val="en-US" w:eastAsia="zh-CN"/>
              </w:rPr>
              <w:t>已制定全厂自行监测计划。</w:t>
            </w:r>
          </w:p>
          <w:p w14:paraId="5F9E88C1">
            <w:pPr>
              <w:pStyle w:val="3"/>
              <w:bidi w:val="0"/>
              <w:rPr>
                <w:rFonts w:hint="eastAsia"/>
                <w:lang w:val="en-US" w:eastAsia="zh-CN"/>
              </w:rPr>
            </w:pPr>
            <w:r>
              <w:rPr>
                <w:rFonts w:hint="eastAsia"/>
                <w:lang w:val="en-US" w:eastAsia="zh-CN"/>
              </w:rPr>
              <w:t>4.固体废物影响分析及防治措施</w:t>
            </w:r>
          </w:p>
          <w:p w14:paraId="5933EF98">
            <w:pPr>
              <w:rPr>
                <w:rFonts w:hint="default"/>
                <w:lang w:val="en-US" w:eastAsia="zh-CN"/>
              </w:rPr>
            </w:pPr>
            <w:r>
              <w:rPr>
                <w:rFonts w:hint="eastAsia"/>
                <w:lang w:val="en-US" w:eastAsia="zh-CN"/>
              </w:rPr>
              <w:t>本项目扩建4座200m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盐酸储罐无新增工业固体废物及生活垃圾。</w:t>
            </w:r>
          </w:p>
          <w:p w14:paraId="5FF669CB">
            <w:pPr>
              <w:pStyle w:val="3"/>
              <w:bidi w:val="0"/>
              <w:rPr>
                <w:rFonts w:hint="eastAsia"/>
                <w:lang w:val="en-US" w:eastAsia="zh-CN"/>
              </w:rPr>
            </w:pPr>
            <w:r>
              <w:rPr>
                <w:rFonts w:hint="eastAsia"/>
                <w:lang w:val="en-US" w:eastAsia="zh-CN"/>
              </w:rPr>
              <w:t>5.地下水、土壤环境影响分析</w:t>
            </w:r>
          </w:p>
          <w:p w14:paraId="09CFA081">
            <w:pPr>
              <w:rPr>
                <w:rFonts w:hint="eastAsia"/>
                <w:color w:val="auto"/>
                <w:lang w:val="en-US" w:eastAsia="zh-CN"/>
              </w:rPr>
            </w:pPr>
            <w:r>
              <w:rPr>
                <w:rFonts w:hint="eastAsia"/>
                <w:color w:val="auto"/>
                <w:lang w:val="en-US" w:eastAsia="zh-CN"/>
              </w:rPr>
              <w:t>本项目</w:t>
            </w:r>
            <w:r>
              <w:rPr>
                <w:rFonts w:hint="eastAsia"/>
                <w:lang w:val="en-US" w:eastAsia="zh-CN"/>
              </w:rPr>
              <w:t>在现有厂区酸碱罐区内预留空地扩建4座200m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盐酸储罐，可能存在对地下水、土壤的主要污染方式是渗入型污染，造成影响的环节主要包括：厂区酸碱罐区内储罐的跑、冒、滴、漏对地下水、土壤的影响。</w:t>
            </w:r>
          </w:p>
          <w:p w14:paraId="2F5C35DA">
            <w:pPr>
              <w:rPr>
                <w:rFonts w:hint="default"/>
                <w:lang w:val="en-US" w:eastAsia="zh-CN"/>
              </w:rPr>
            </w:pPr>
            <w:r>
              <w:rPr>
                <w:rFonts w:hint="default"/>
                <w:lang w:val="en-US" w:eastAsia="zh-CN"/>
              </w:rPr>
              <w:t>针对可能发生的地下水、土壤污染，地下水、土壤污染防治措施按照“源头控制、分区防控、污染监控、应急响应”相结合的原则，从污染物的产生、入渗、扩散、应急响应全阶段进行控制。</w:t>
            </w:r>
          </w:p>
          <w:p w14:paraId="782F93FC">
            <w:pPr>
              <w:pStyle w:val="4"/>
              <w:bidi w:val="0"/>
              <w:rPr>
                <w:rFonts w:hint="eastAsia"/>
                <w:lang w:val="en-US" w:eastAsia="zh-CN"/>
              </w:rPr>
            </w:pPr>
            <w:r>
              <w:rPr>
                <w:rFonts w:hint="eastAsia"/>
                <w:lang w:val="en-US" w:eastAsia="zh-CN"/>
              </w:rPr>
              <w:t>5.1源头控制措施</w:t>
            </w:r>
          </w:p>
          <w:p w14:paraId="1BFB2094">
            <w:pPr>
              <w:rPr>
                <w:rFonts w:hint="default"/>
                <w:lang w:val="en-US" w:eastAsia="zh-CN"/>
              </w:rPr>
            </w:pPr>
            <w:r>
              <w:rPr>
                <w:rFonts w:hint="eastAsia"/>
                <w:lang w:val="en-US" w:eastAsia="zh-CN"/>
              </w:rPr>
              <w:t>本项目盐酸储罐对地下水、土壤采取的源头控制措施如下：</w:t>
            </w:r>
          </w:p>
          <w:p w14:paraId="40BDE7EF">
            <w:pPr>
              <w:rPr>
                <w:rFonts w:hint="default"/>
                <w:lang w:val="en-US" w:eastAsia="zh-CN"/>
              </w:rPr>
            </w:pPr>
            <w:r>
              <w:rPr>
                <w:rFonts w:hint="eastAsia"/>
                <w:lang w:val="en-US" w:eastAsia="zh-CN"/>
              </w:rPr>
              <w:t>①酸碱罐区内储罐、管道均采取地上布设，便于及时发现物料“跑、冒、滴、漏”并进行维修；</w:t>
            </w:r>
          </w:p>
          <w:p w14:paraId="66F51AD5">
            <w:pPr>
              <w:rPr>
                <w:rFonts w:hint="eastAsia"/>
                <w:lang w:val="en-US" w:eastAsia="zh-CN"/>
              </w:rPr>
            </w:pPr>
            <w:r>
              <w:rPr>
                <w:rFonts w:hint="eastAsia"/>
                <w:lang w:val="en-US" w:eastAsia="zh-CN"/>
              </w:rPr>
              <w:t>②应根据国家现行相关规范加强环境管理，采取防止和降低污染物跑、冒、滴、漏的措施。正常生产过程中应加强巡检及时处理污染物跑、冒、滴、漏，同时应加强对酸碱罐区防渗工程的检查，若发现防渗密封材料老化或损坏，应及时维修更换；</w:t>
            </w:r>
          </w:p>
          <w:p w14:paraId="553FCDDD">
            <w:pPr>
              <w:rPr>
                <w:rFonts w:hint="eastAsia"/>
                <w:lang w:val="en-US" w:eastAsia="zh-CN"/>
              </w:rPr>
            </w:pPr>
            <w:r>
              <w:rPr>
                <w:rFonts w:hint="eastAsia"/>
                <w:lang w:val="en-US" w:eastAsia="zh-CN"/>
              </w:rPr>
              <w:t>③酸碱罐区已设置长50m，宽32m、高1m围堰，应定期对围堰结构、密闭性能进行检修。</w:t>
            </w:r>
          </w:p>
          <w:p w14:paraId="21232BB2">
            <w:pPr>
              <w:pStyle w:val="4"/>
              <w:bidi w:val="0"/>
              <w:rPr>
                <w:rFonts w:hint="eastAsia"/>
                <w:lang w:val="en-US" w:eastAsia="zh-CN"/>
              </w:rPr>
            </w:pPr>
            <w:r>
              <w:rPr>
                <w:rFonts w:hint="eastAsia"/>
                <w:lang w:val="en-US" w:eastAsia="zh-CN"/>
              </w:rPr>
              <w:t>5.2分区防渗措施</w:t>
            </w:r>
          </w:p>
          <w:p w14:paraId="3DF7E122">
            <w:pPr>
              <w:rPr>
                <w:rFonts w:hint="eastAsia"/>
                <w:color w:val="auto"/>
                <w:lang w:val="en-US" w:eastAsia="zh-CN"/>
              </w:rPr>
            </w:pPr>
            <w:r>
              <w:rPr>
                <w:rFonts w:hint="eastAsia"/>
                <w:lang w:val="en-US" w:eastAsia="zh-CN"/>
              </w:rPr>
              <w:t>本项目为新疆久塔锦晨生物科技股份有限公司现有厂区酸碱罐区内扩建4座200m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w:t>
            </w:r>
            <w:r>
              <w:rPr>
                <w:rFonts w:hint="eastAsia"/>
                <w:lang w:val="en-US" w:eastAsia="zh-CN"/>
              </w:rPr>
              <w:t>新疆久塔锦晨生物科技股份有限公司已将酸碱罐区划为重点防渗区，酸碱罐区防渗性能满足</w:t>
            </w:r>
            <w:r>
              <w:rPr>
                <w:rFonts w:hint="default"/>
                <w:color w:val="auto"/>
                <w:lang w:val="en-US" w:eastAsia="zh-CN"/>
              </w:rPr>
              <w:t>渗透系数小于10</w:t>
            </w:r>
            <w:r>
              <w:rPr>
                <w:rFonts w:hint="default"/>
                <w:color w:val="auto"/>
                <w:vertAlign w:val="superscript"/>
                <w:lang w:val="en-US" w:eastAsia="zh-CN"/>
              </w:rPr>
              <w:t>-</w:t>
            </w:r>
            <w:r>
              <w:rPr>
                <w:rFonts w:hint="default"/>
                <w:color w:val="auto"/>
                <w:lang w:val="en-US" w:eastAsia="zh-CN"/>
              </w:rPr>
              <w:t>⁷cm/s</w:t>
            </w:r>
            <w:r>
              <w:rPr>
                <w:rFonts w:hint="eastAsia"/>
                <w:color w:val="auto"/>
                <w:lang w:val="en-US" w:eastAsia="zh-CN"/>
              </w:rPr>
              <w:t>。</w:t>
            </w:r>
          </w:p>
          <w:p w14:paraId="64871A55">
            <w:pPr>
              <w:pStyle w:val="4"/>
              <w:bidi w:val="0"/>
              <w:rPr>
                <w:rFonts w:hint="eastAsia"/>
                <w:lang w:val="en-US" w:eastAsia="zh-CN"/>
              </w:rPr>
            </w:pPr>
            <w:r>
              <w:rPr>
                <w:rFonts w:hint="eastAsia"/>
                <w:lang w:val="en-US" w:eastAsia="zh-CN"/>
              </w:rPr>
              <w:t>5.3地下水跟踪监测</w:t>
            </w:r>
          </w:p>
          <w:p w14:paraId="7D5D47B7">
            <w:pPr>
              <w:rPr>
                <w:rFonts w:hint="eastAsia"/>
                <w:lang w:val="en-US" w:eastAsia="zh-CN"/>
              </w:rPr>
            </w:pPr>
            <w:r>
              <w:rPr>
                <w:rFonts w:hint="eastAsia"/>
                <w:lang w:val="en-US" w:eastAsia="zh-CN"/>
              </w:rPr>
              <w:t>新疆久塔锦晨生物科技股份有限公司已制定地下水跟踪监测计划，具体内容见下表36。</w:t>
            </w:r>
          </w:p>
          <w:p w14:paraId="225CEB7D">
            <w:pPr>
              <w:pStyle w:val="16"/>
              <w:bidi w:val="0"/>
              <w:rPr>
                <w:color w:val="auto"/>
              </w:rPr>
            </w:pPr>
            <w:r>
              <w:t xml:space="preserve">表 </w:t>
            </w:r>
            <w:r>
              <w:fldChar w:fldCharType="begin"/>
            </w:r>
            <w:r>
              <w:instrText xml:space="preserve"> SEQ 表 \* ARABIC </w:instrText>
            </w:r>
            <w:r>
              <w:fldChar w:fldCharType="separate"/>
            </w:r>
            <w:r>
              <w:t>36</w:t>
            </w:r>
            <w:r>
              <w:fldChar w:fldCharType="end"/>
            </w:r>
            <w:r>
              <w:rPr>
                <w:rFonts w:hint="eastAsia"/>
                <w:lang w:val="en-US" w:eastAsia="zh-CN"/>
              </w:rPr>
              <w:t xml:space="preserve">  全厂</w:t>
            </w:r>
            <w:r>
              <w:rPr>
                <w:color w:val="auto"/>
              </w:rPr>
              <w:t>地下水跟踪监测井点位分布一览表</w:t>
            </w:r>
          </w:p>
          <w:tbl>
            <w:tblPr>
              <w:tblStyle w:val="1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35"/>
              <w:gridCol w:w="2727"/>
              <w:gridCol w:w="3416"/>
              <w:gridCol w:w="615"/>
            </w:tblGrid>
            <w:tr w14:paraId="51C06F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19" w:type="pct"/>
                  <w:tcBorders>
                    <w:tl2br w:val="nil"/>
                    <w:tr2bl w:val="nil"/>
                  </w:tcBorders>
                  <w:vAlign w:val="center"/>
                </w:tcPr>
                <w:p w14:paraId="563BE200">
                  <w:pPr>
                    <w:pStyle w:val="15"/>
                    <w:bidi w:val="0"/>
                    <w:jc w:val="center"/>
                    <w:rPr>
                      <w:color w:val="auto"/>
                    </w:rPr>
                  </w:pPr>
                  <w:r>
                    <w:rPr>
                      <w:color w:val="auto"/>
                    </w:rPr>
                    <w:t>监控井</w:t>
                  </w:r>
                </w:p>
              </w:tc>
              <w:tc>
                <w:tcPr>
                  <w:tcW w:w="1727" w:type="pct"/>
                  <w:tcBorders>
                    <w:tl2br w:val="nil"/>
                    <w:tr2bl w:val="nil"/>
                  </w:tcBorders>
                  <w:vAlign w:val="center"/>
                </w:tcPr>
                <w:p w14:paraId="6FB14AE4">
                  <w:pPr>
                    <w:pStyle w:val="15"/>
                    <w:bidi w:val="0"/>
                    <w:jc w:val="center"/>
                    <w:rPr>
                      <w:color w:val="auto"/>
                    </w:rPr>
                  </w:pPr>
                  <w:r>
                    <w:rPr>
                      <w:color w:val="auto"/>
                    </w:rPr>
                    <w:t>位置</w:t>
                  </w:r>
                </w:p>
              </w:tc>
              <w:tc>
                <w:tcPr>
                  <w:tcW w:w="2163" w:type="pct"/>
                  <w:tcBorders>
                    <w:tl2br w:val="nil"/>
                    <w:tr2bl w:val="nil"/>
                  </w:tcBorders>
                  <w:vAlign w:val="center"/>
                </w:tcPr>
                <w:p w14:paraId="22AAD4A8">
                  <w:pPr>
                    <w:pStyle w:val="15"/>
                    <w:bidi w:val="0"/>
                    <w:jc w:val="center"/>
                    <w:rPr>
                      <w:color w:val="auto"/>
                    </w:rPr>
                  </w:pPr>
                  <w:r>
                    <w:rPr>
                      <w:color w:val="auto"/>
                    </w:rPr>
                    <w:t>监测因子</w:t>
                  </w:r>
                </w:p>
              </w:tc>
              <w:tc>
                <w:tcPr>
                  <w:tcW w:w="389" w:type="pct"/>
                  <w:tcBorders>
                    <w:tl2br w:val="nil"/>
                    <w:tr2bl w:val="nil"/>
                  </w:tcBorders>
                  <w:vAlign w:val="center"/>
                </w:tcPr>
                <w:p w14:paraId="709170C6">
                  <w:pPr>
                    <w:pStyle w:val="15"/>
                    <w:bidi w:val="0"/>
                    <w:jc w:val="center"/>
                    <w:rPr>
                      <w:color w:val="auto"/>
                    </w:rPr>
                  </w:pPr>
                  <w:r>
                    <w:rPr>
                      <w:color w:val="auto"/>
                    </w:rPr>
                    <w:t>备注</w:t>
                  </w:r>
                </w:p>
              </w:tc>
            </w:tr>
            <w:tr w14:paraId="7C9064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19" w:type="pct"/>
                  <w:tcBorders>
                    <w:tl2br w:val="nil"/>
                    <w:tr2bl w:val="nil"/>
                  </w:tcBorders>
                  <w:vAlign w:val="center"/>
                </w:tcPr>
                <w:p w14:paraId="3EEDF1DE">
                  <w:pPr>
                    <w:pStyle w:val="15"/>
                    <w:bidi w:val="0"/>
                    <w:jc w:val="center"/>
                    <w:rPr>
                      <w:color w:val="auto"/>
                    </w:rPr>
                  </w:pPr>
                  <w:r>
                    <w:rPr>
                      <w:color w:val="auto"/>
                    </w:rPr>
                    <w:t>上游监测井</w:t>
                  </w:r>
                </w:p>
              </w:tc>
              <w:tc>
                <w:tcPr>
                  <w:tcW w:w="1727" w:type="pct"/>
                  <w:tcBorders>
                    <w:tl2br w:val="nil"/>
                    <w:tr2bl w:val="nil"/>
                  </w:tcBorders>
                  <w:vAlign w:val="center"/>
                </w:tcPr>
                <w:p w14:paraId="5C6E5457">
                  <w:pPr>
                    <w:pStyle w:val="15"/>
                    <w:bidi w:val="0"/>
                    <w:jc w:val="center"/>
                    <w:rPr>
                      <w:rFonts w:hint="default" w:ascii="Times New Roman" w:hAnsi="Times New Roman" w:cs="Times New Roman"/>
                      <w:color w:val="auto"/>
                    </w:rPr>
                  </w:pPr>
                  <w:r>
                    <w:rPr>
                      <w:rFonts w:hint="default" w:ascii="Times New Roman" w:hAnsi="Times New Roman" w:cs="Times New Roman"/>
                      <w:color w:val="auto"/>
                    </w:rPr>
                    <w:t>E</w:t>
                  </w:r>
                  <w:r>
                    <w:rPr>
                      <w:rFonts w:hint="default" w:ascii="Times New Roman" w:hAnsi="Times New Roman" w:cs="Times New Roman"/>
                      <w:color w:val="auto"/>
                      <w:kern w:val="2"/>
                      <w:sz w:val="21"/>
                      <w:szCs w:val="21"/>
                      <w:highlight w:val="none"/>
                      <w:lang w:val="en-US" w:eastAsia="zh-CN" w:bidi="ar-SA"/>
                    </w:rPr>
                    <w:t xml:space="preserve">84.881572; </w:t>
                  </w:r>
                  <w:r>
                    <w:rPr>
                      <w:rFonts w:hint="default" w:ascii="Times New Roman" w:hAnsi="Times New Roman" w:cs="Times New Roman"/>
                      <w:color w:val="auto"/>
                    </w:rPr>
                    <w:t>N</w:t>
                  </w:r>
                  <w:r>
                    <w:rPr>
                      <w:rFonts w:hint="default" w:ascii="Times New Roman" w:hAnsi="Times New Roman" w:cs="Times New Roman"/>
                      <w:color w:val="auto"/>
                      <w:kern w:val="2"/>
                      <w:sz w:val="21"/>
                      <w:szCs w:val="21"/>
                      <w:highlight w:val="none"/>
                      <w:lang w:val="en-US" w:eastAsia="zh-CN" w:bidi="ar-SA"/>
                    </w:rPr>
                    <w:t>44.840382</w:t>
                  </w:r>
                </w:p>
              </w:tc>
              <w:tc>
                <w:tcPr>
                  <w:tcW w:w="2163" w:type="pct"/>
                  <w:vMerge w:val="restart"/>
                  <w:tcBorders>
                    <w:tl2br w:val="nil"/>
                    <w:tr2bl w:val="nil"/>
                  </w:tcBorders>
                  <w:vAlign w:val="center"/>
                </w:tcPr>
                <w:p w14:paraId="535C9ACC">
                  <w:pPr>
                    <w:pStyle w:val="15"/>
                    <w:bidi w:val="0"/>
                    <w:jc w:val="center"/>
                    <w:rPr>
                      <w:color w:val="auto"/>
                    </w:rPr>
                  </w:pPr>
                  <w:r>
                    <w:rPr>
                      <w:color w:val="auto"/>
                    </w:rPr>
                    <w:t>pH值、色度、全盐量、悬浮物、化学</w:t>
                  </w:r>
                </w:p>
                <w:p w14:paraId="1FFC603C">
                  <w:pPr>
                    <w:pStyle w:val="15"/>
                    <w:bidi w:val="0"/>
                    <w:jc w:val="center"/>
                    <w:rPr>
                      <w:color w:val="auto"/>
                    </w:rPr>
                  </w:pPr>
                  <w:r>
                    <w:rPr>
                      <w:color w:val="auto"/>
                    </w:rPr>
                    <w:t>需氧量、氨氮、硫化物、氯化物</w:t>
                  </w:r>
                  <w:r>
                    <w:rPr>
                      <w:rFonts w:hint="eastAsia"/>
                      <w:color w:val="auto"/>
                      <w:lang w:eastAsia="zh-CN"/>
                    </w:rPr>
                    <w:t>（</w:t>
                  </w:r>
                  <w:r>
                    <w:rPr>
                      <w:color w:val="auto"/>
                    </w:rPr>
                    <w:t>以Cl</w:t>
                  </w:r>
                  <w:r>
                    <w:rPr>
                      <w:color w:val="auto"/>
                      <w:vertAlign w:val="superscript"/>
                    </w:rPr>
                    <w:t>-</w:t>
                  </w:r>
                  <w:r>
                    <w:rPr>
                      <w:color w:val="auto"/>
                    </w:rPr>
                    <w:t>计</w:t>
                  </w:r>
                  <w:r>
                    <w:rPr>
                      <w:rFonts w:hint="eastAsia"/>
                      <w:color w:val="auto"/>
                      <w:lang w:eastAsia="zh-CN"/>
                    </w:rPr>
                    <w:t>）</w:t>
                  </w:r>
                  <w:r>
                    <w:rPr>
                      <w:color w:val="auto"/>
                    </w:rPr>
                    <w:t>、硫酸盐</w:t>
                  </w:r>
                  <w:r>
                    <w:rPr>
                      <w:rFonts w:hint="eastAsia"/>
                      <w:color w:val="auto"/>
                      <w:lang w:eastAsia="zh-CN"/>
                    </w:rPr>
                    <w:t>（</w:t>
                  </w:r>
                  <w:r>
                    <w:rPr>
                      <w:color w:val="auto"/>
                    </w:rPr>
                    <w:t>以SO</w:t>
                  </w:r>
                  <w:r>
                    <w:rPr>
                      <w:color w:val="auto"/>
                      <w:vertAlign w:val="subscript"/>
                    </w:rPr>
                    <w:t>4</w:t>
                  </w:r>
                  <w:r>
                    <w:rPr>
                      <w:color w:val="auto"/>
                      <w:vertAlign w:val="superscript"/>
                    </w:rPr>
                    <w:t>2-</w:t>
                  </w:r>
                  <w:r>
                    <w:rPr>
                      <w:color w:val="auto"/>
                    </w:rPr>
                    <w:t>计</w:t>
                  </w:r>
                  <w:r>
                    <w:rPr>
                      <w:rFonts w:hint="eastAsia"/>
                      <w:color w:val="auto"/>
                      <w:lang w:eastAsia="zh-CN"/>
                    </w:rPr>
                    <w:t>）</w:t>
                  </w:r>
                  <w:r>
                    <w:rPr>
                      <w:color w:val="auto"/>
                    </w:rPr>
                    <w:t>、石油</w:t>
                  </w:r>
                </w:p>
                <w:p w14:paraId="04BD5417">
                  <w:pPr>
                    <w:pStyle w:val="15"/>
                    <w:bidi w:val="0"/>
                    <w:jc w:val="center"/>
                    <w:rPr>
                      <w:color w:val="auto"/>
                    </w:rPr>
                  </w:pPr>
                  <w:r>
                    <w:rPr>
                      <w:color w:val="auto"/>
                    </w:rPr>
                    <w:t>类、挥发酚、苯系物、二甲苯、可吸</w:t>
                  </w:r>
                </w:p>
                <w:p w14:paraId="0B06D5FC">
                  <w:pPr>
                    <w:pStyle w:val="15"/>
                    <w:bidi w:val="0"/>
                    <w:jc w:val="center"/>
                    <w:rPr>
                      <w:color w:val="auto"/>
                    </w:rPr>
                  </w:pPr>
                  <w:r>
                    <w:rPr>
                      <w:color w:val="auto"/>
                    </w:rPr>
                    <w:t>附有机卤化物</w:t>
                  </w:r>
                </w:p>
              </w:tc>
              <w:tc>
                <w:tcPr>
                  <w:tcW w:w="389" w:type="pct"/>
                  <w:tcBorders>
                    <w:tl2br w:val="nil"/>
                    <w:tr2bl w:val="nil"/>
                  </w:tcBorders>
                  <w:vAlign w:val="center"/>
                </w:tcPr>
                <w:p w14:paraId="0DEDFA97">
                  <w:pPr>
                    <w:pStyle w:val="15"/>
                    <w:bidi w:val="0"/>
                    <w:jc w:val="center"/>
                    <w:rPr>
                      <w:rFonts w:hint="eastAsia" w:eastAsia="宋体"/>
                      <w:color w:val="auto"/>
                      <w:lang w:val="en-US" w:eastAsia="zh-CN"/>
                    </w:rPr>
                  </w:pPr>
                  <w:r>
                    <w:rPr>
                      <w:rFonts w:hint="eastAsia"/>
                      <w:color w:val="auto"/>
                      <w:lang w:val="en-US" w:eastAsia="zh-CN"/>
                    </w:rPr>
                    <w:t>自建</w:t>
                  </w:r>
                </w:p>
              </w:tc>
            </w:tr>
            <w:tr w14:paraId="5FFB61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19" w:type="pct"/>
                  <w:tcBorders>
                    <w:tl2br w:val="nil"/>
                    <w:tr2bl w:val="nil"/>
                  </w:tcBorders>
                  <w:vAlign w:val="center"/>
                </w:tcPr>
                <w:p w14:paraId="64681ADF">
                  <w:pPr>
                    <w:pStyle w:val="15"/>
                    <w:bidi w:val="0"/>
                    <w:jc w:val="center"/>
                    <w:rPr>
                      <w:color w:val="auto"/>
                    </w:rPr>
                  </w:pPr>
                  <w:r>
                    <w:rPr>
                      <w:color w:val="auto"/>
                    </w:rPr>
                    <w:t>厂区监测井</w:t>
                  </w:r>
                </w:p>
              </w:tc>
              <w:tc>
                <w:tcPr>
                  <w:tcW w:w="1727" w:type="pct"/>
                  <w:tcBorders>
                    <w:tl2br w:val="nil"/>
                    <w:tr2bl w:val="nil"/>
                  </w:tcBorders>
                  <w:vAlign w:val="center"/>
                </w:tcPr>
                <w:p w14:paraId="75CCBDFD">
                  <w:pPr>
                    <w:pStyle w:val="15"/>
                    <w:bidi w:val="0"/>
                    <w:jc w:val="center"/>
                    <w:rPr>
                      <w:rFonts w:hint="default" w:ascii="Times New Roman" w:hAnsi="Times New Roman" w:cs="Times New Roman"/>
                      <w:color w:val="auto"/>
                    </w:rPr>
                  </w:pPr>
                  <w:r>
                    <w:rPr>
                      <w:rFonts w:hint="default" w:ascii="Times New Roman" w:hAnsi="Times New Roman" w:cs="Times New Roman"/>
                      <w:color w:val="auto"/>
                    </w:rPr>
                    <w:t>E</w:t>
                  </w:r>
                  <w:r>
                    <w:rPr>
                      <w:rFonts w:hint="default" w:ascii="Times New Roman" w:hAnsi="Times New Roman" w:cs="Times New Roman"/>
                      <w:color w:val="auto"/>
                      <w:kern w:val="2"/>
                      <w:sz w:val="21"/>
                      <w:szCs w:val="21"/>
                      <w:highlight w:val="none"/>
                      <w:lang w:val="en-US" w:eastAsia="zh-CN" w:bidi="ar-SA"/>
                    </w:rPr>
                    <w:t xml:space="preserve">84.881358; </w:t>
                  </w:r>
                  <w:r>
                    <w:rPr>
                      <w:rFonts w:hint="default" w:ascii="Times New Roman" w:hAnsi="Times New Roman" w:cs="Times New Roman"/>
                      <w:color w:val="auto"/>
                    </w:rPr>
                    <w:t>N</w:t>
                  </w:r>
                  <w:r>
                    <w:rPr>
                      <w:rFonts w:hint="default" w:ascii="Times New Roman" w:hAnsi="Times New Roman" w:cs="Times New Roman"/>
                      <w:color w:val="auto"/>
                      <w:kern w:val="2"/>
                      <w:sz w:val="21"/>
                      <w:szCs w:val="21"/>
                      <w:highlight w:val="none"/>
                      <w:lang w:val="en-US" w:eastAsia="zh-CN" w:bidi="ar-SA"/>
                    </w:rPr>
                    <w:t>44.844073</w:t>
                  </w:r>
                </w:p>
              </w:tc>
              <w:tc>
                <w:tcPr>
                  <w:tcW w:w="2163" w:type="pct"/>
                  <w:vMerge w:val="continue"/>
                  <w:tcBorders>
                    <w:tl2br w:val="nil"/>
                    <w:tr2bl w:val="nil"/>
                  </w:tcBorders>
                  <w:vAlign w:val="center"/>
                </w:tcPr>
                <w:p w14:paraId="74305AAC">
                  <w:pPr>
                    <w:pStyle w:val="15"/>
                    <w:bidi w:val="0"/>
                    <w:jc w:val="center"/>
                    <w:rPr>
                      <w:color w:val="auto"/>
                    </w:rPr>
                  </w:pPr>
                </w:p>
              </w:tc>
              <w:tc>
                <w:tcPr>
                  <w:tcW w:w="389" w:type="pct"/>
                  <w:tcBorders>
                    <w:tl2br w:val="nil"/>
                    <w:tr2bl w:val="nil"/>
                  </w:tcBorders>
                  <w:vAlign w:val="center"/>
                </w:tcPr>
                <w:p w14:paraId="18417601">
                  <w:pPr>
                    <w:pStyle w:val="15"/>
                    <w:bidi w:val="0"/>
                    <w:jc w:val="center"/>
                    <w:rPr>
                      <w:color w:val="auto"/>
                    </w:rPr>
                  </w:pPr>
                  <w:r>
                    <w:rPr>
                      <w:rFonts w:hint="eastAsia"/>
                      <w:color w:val="auto"/>
                      <w:lang w:val="en-US" w:eastAsia="zh-CN"/>
                    </w:rPr>
                    <w:t>自建</w:t>
                  </w:r>
                </w:p>
              </w:tc>
            </w:tr>
            <w:tr w14:paraId="4B9393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19" w:type="pct"/>
                  <w:tcBorders>
                    <w:tl2br w:val="nil"/>
                    <w:tr2bl w:val="nil"/>
                  </w:tcBorders>
                  <w:vAlign w:val="center"/>
                </w:tcPr>
                <w:p w14:paraId="68156347">
                  <w:pPr>
                    <w:pStyle w:val="15"/>
                    <w:bidi w:val="0"/>
                    <w:jc w:val="center"/>
                    <w:rPr>
                      <w:color w:val="auto"/>
                    </w:rPr>
                  </w:pPr>
                  <w:r>
                    <w:rPr>
                      <w:color w:val="auto"/>
                    </w:rPr>
                    <w:t>下游监测井</w:t>
                  </w:r>
                </w:p>
              </w:tc>
              <w:tc>
                <w:tcPr>
                  <w:tcW w:w="1727" w:type="pct"/>
                  <w:tcBorders>
                    <w:tl2br w:val="nil"/>
                    <w:tr2bl w:val="nil"/>
                  </w:tcBorders>
                  <w:vAlign w:val="center"/>
                </w:tcPr>
                <w:p w14:paraId="31A382F9">
                  <w:pPr>
                    <w:pStyle w:val="15"/>
                    <w:bidi w:val="0"/>
                    <w:jc w:val="center"/>
                    <w:rPr>
                      <w:rFonts w:hint="default" w:ascii="Times New Roman" w:hAnsi="Times New Roman" w:cs="Times New Roman"/>
                      <w:color w:val="auto"/>
                    </w:rPr>
                  </w:pPr>
                  <w:r>
                    <w:rPr>
                      <w:rFonts w:hint="default" w:ascii="Times New Roman" w:hAnsi="Times New Roman" w:cs="Times New Roman"/>
                      <w:color w:val="auto"/>
                    </w:rPr>
                    <w:t>E</w:t>
                  </w:r>
                  <w:r>
                    <w:rPr>
                      <w:rFonts w:hint="default" w:ascii="Times New Roman" w:hAnsi="Times New Roman" w:cs="Times New Roman"/>
                      <w:color w:val="auto"/>
                      <w:kern w:val="2"/>
                      <w:sz w:val="21"/>
                      <w:szCs w:val="21"/>
                      <w:highlight w:val="none"/>
                      <w:lang w:val="en-US" w:eastAsia="zh-CN" w:bidi="ar-SA"/>
                    </w:rPr>
                    <w:t xml:space="preserve">84.876086; </w:t>
                  </w:r>
                  <w:r>
                    <w:rPr>
                      <w:rFonts w:hint="default" w:ascii="Times New Roman" w:hAnsi="Times New Roman" w:cs="Times New Roman"/>
                      <w:color w:val="auto"/>
                    </w:rPr>
                    <w:t>N</w:t>
                  </w:r>
                  <w:r>
                    <w:rPr>
                      <w:rFonts w:hint="default" w:ascii="Times New Roman" w:hAnsi="Times New Roman" w:cs="Times New Roman"/>
                      <w:color w:val="auto"/>
                      <w:kern w:val="2"/>
                      <w:sz w:val="21"/>
                      <w:szCs w:val="21"/>
                      <w:highlight w:val="none"/>
                      <w:lang w:val="en-US" w:eastAsia="zh-CN" w:bidi="ar-SA"/>
                    </w:rPr>
                    <w:t>44.846095</w:t>
                  </w:r>
                </w:p>
              </w:tc>
              <w:tc>
                <w:tcPr>
                  <w:tcW w:w="2163" w:type="pct"/>
                  <w:vMerge w:val="continue"/>
                  <w:tcBorders>
                    <w:tl2br w:val="nil"/>
                    <w:tr2bl w:val="nil"/>
                  </w:tcBorders>
                  <w:vAlign w:val="center"/>
                </w:tcPr>
                <w:p w14:paraId="51C14DC2">
                  <w:pPr>
                    <w:pStyle w:val="15"/>
                    <w:bidi w:val="0"/>
                    <w:jc w:val="center"/>
                    <w:rPr>
                      <w:color w:val="auto"/>
                    </w:rPr>
                  </w:pPr>
                </w:p>
              </w:tc>
              <w:tc>
                <w:tcPr>
                  <w:tcW w:w="389" w:type="pct"/>
                  <w:tcBorders>
                    <w:tl2br w:val="nil"/>
                    <w:tr2bl w:val="nil"/>
                  </w:tcBorders>
                  <w:vAlign w:val="center"/>
                </w:tcPr>
                <w:p w14:paraId="5F81F626">
                  <w:pPr>
                    <w:pStyle w:val="15"/>
                    <w:bidi w:val="0"/>
                    <w:jc w:val="center"/>
                    <w:rPr>
                      <w:color w:val="auto"/>
                    </w:rPr>
                  </w:pPr>
                  <w:r>
                    <w:rPr>
                      <w:rFonts w:hint="eastAsia"/>
                      <w:color w:val="auto"/>
                      <w:lang w:val="en-US" w:eastAsia="zh-CN"/>
                    </w:rPr>
                    <w:t>自建</w:t>
                  </w:r>
                </w:p>
              </w:tc>
            </w:tr>
          </w:tbl>
          <w:p w14:paraId="7C05C176">
            <w:pPr>
              <w:pStyle w:val="3"/>
              <w:bidi w:val="0"/>
              <w:rPr>
                <w:rFonts w:hint="eastAsia"/>
                <w:lang w:val="en-US" w:eastAsia="zh-CN"/>
              </w:rPr>
            </w:pPr>
            <w:r>
              <w:rPr>
                <w:rFonts w:hint="eastAsia"/>
                <w:lang w:val="en-US" w:eastAsia="zh-CN"/>
              </w:rPr>
              <w:t>6.环境风险</w:t>
            </w:r>
          </w:p>
          <w:p w14:paraId="76786208">
            <w:pPr>
              <w:rPr>
                <w:rFonts w:hint="eastAsia"/>
                <w:color w:val="auto"/>
                <w:lang w:val="en-US" w:eastAsia="zh-CN"/>
              </w:rPr>
            </w:pPr>
            <w:r>
              <w:rPr>
                <w:rFonts w:hint="eastAsia"/>
                <w:lang w:val="en-US" w:eastAsia="zh-CN"/>
              </w:rPr>
              <w:t>本项目为新疆久塔锦晨生物科技股份有限公司现有厂区酸碱罐区内扩建4座200m</w:t>
            </w:r>
            <w:r>
              <w:rPr>
                <w:rFonts w:hint="eastAsia"/>
                <w:vertAlign w:val="superscript"/>
                <w:lang w:val="en-US" w:eastAsia="zh-CN"/>
              </w:rPr>
              <w:t>3</w:t>
            </w:r>
            <w:r>
              <w:rPr>
                <w:rFonts w:hint="eastAsia"/>
                <w:lang w:val="en-US" w:eastAsia="zh-CN"/>
              </w:rPr>
              <w:t>立式固定顶</w:t>
            </w:r>
            <w:r>
              <w:rPr>
                <w:color w:val="auto"/>
                <w:lang w:val="zh-CN"/>
              </w:rPr>
              <w:t>玻璃钢</w:t>
            </w:r>
            <w:r>
              <w:rPr>
                <w:rFonts w:hint="eastAsia"/>
                <w:vertAlign w:val="baseline"/>
                <w:lang w:val="en-US" w:eastAsia="zh-CN"/>
              </w:rPr>
              <w:t>31%</w:t>
            </w:r>
            <w:r>
              <w:rPr>
                <w:rFonts w:hint="eastAsia"/>
                <w:color w:val="auto"/>
                <w:lang w:val="en-US" w:eastAsia="zh-CN"/>
              </w:rPr>
              <w:t>盐酸储罐，涉及环境风险物质为31%盐酸。</w:t>
            </w:r>
          </w:p>
          <w:p w14:paraId="7F3D0C80">
            <w:pPr>
              <w:bidi w:val="0"/>
              <w:rPr>
                <w:rFonts w:hint="default"/>
                <w:lang w:val="en-US" w:eastAsia="zh-CN"/>
              </w:rPr>
            </w:pPr>
            <w:r>
              <w:rPr>
                <w:rFonts w:hint="default"/>
                <w:lang w:val="en-US" w:eastAsia="zh-CN"/>
              </w:rPr>
              <w:t>本项目危险化学品最大储存量超过《建设项目环境风险评价技术导则》（HJ169-2018）附录B中危险物质临界量（Q&gt;1），因此设置了环境风险专项评价风险。环境影响分析及保护措施详见环境风险专项评价。环境风险评价结论如下：</w:t>
            </w:r>
          </w:p>
          <w:p w14:paraId="16FC59FE">
            <w:pPr>
              <w:bidi w:val="0"/>
              <w:rPr>
                <w:rFonts w:hint="default"/>
                <w:lang w:val="en-US" w:eastAsia="zh-CN"/>
              </w:rPr>
            </w:pPr>
            <w:r>
              <w:rPr>
                <w:rFonts w:hint="default"/>
                <w:lang w:val="en-US" w:eastAsia="zh-CN"/>
              </w:rPr>
              <w:t>经风险源调查可知，该项目的风险物质主要为盐酸。经生产设施的风险识别可知，该项目的风险可能发生的单元为储罐。经环境风险潜势判断，该项目环境风险潜势综合</w:t>
            </w:r>
            <w:r>
              <w:rPr>
                <w:rFonts w:hint="eastAsia"/>
                <w:lang w:val="en-US" w:eastAsia="zh-CN"/>
              </w:rPr>
              <w:t>等级</w:t>
            </w:r>
            <w:r>
              <w:rPr>
                <w:rFonts w:hint="default"/>
                <w:lang w:val="en-US" w:eastAsia="zh-CN"/>
              </w:rPr>
              <w:t>为“Ⅲ ”</w:t>
            </w:r>
            <w:r>
              <w:rPr>
                <w:rFonts w:hint="eastAsia"/>
                <w:lang w:val="en-US" w:eastAsia="zh-CN"/>
              </w:rPr>
              <w:t>，</w:t>
            </w:r>
            <w:r>
              <w:rPr>
                <w:rFonts w:hint="default"/>
                <w:lang w:val="en-US" w:eastAsia="zh-CN"/>
              </w:rPr>
              <w:t xml:space="preserve"> 环境风险评价等级为二级评价。</w:t>
            </w:r>
          </w:p>
          <w:p w14:paraId="08CDD022">
            <w:pPr>
              <w:bidi w:val="0"/>
              <w:rPr>
                <w:rFonts w:hint="default"/>
                <w:lang w:val="en-US" w:eastAsia="zh-CN"/>
              </w:rPr>
            </w:pPr>
            <w:r>
              <w:rPr>
                <w:rFonts w:hint="default"/>
                <w:lang w:val="en-US" w:eastAsia="zh-CN"/>
              </w:rPr>
              <w:t>本报告要求企业从进储存等多方面积极采取防护措施，加强风险管理，制定有效的应急预案，通过相应的技术手段降低风险发生概率，一旦风险事故发生后，及时采取风险防范措施及应急预案，可以使风险事故对环境的危害得到有效控制，将事故风险控制在可以接受的范围内。因此本项目的建设符合风险防范措施要求。</w:t>
            </w:r>
          </w:p>
          <w:p w14:paraId="08059FAB">
            <w:pPr>
              <w:rPr>
                <w:rFonts w:hint="default"/>
                <w:lang w:val="en-US" w:eastAsia="zh-CN"/>
              </w:rPr>
            </w:pPr>
          </w:p>
        </w:tc>
      </w:tr>
    </w:tbl>
    <w:p w14:paraId="4F6ECAF8">
      <w:pPr>
        <w:pStyle w:val="2"/>
        <w:bidi w:val="0"/>
      </w:pPr>
      <w:r>
        <w:t>五、环境保护措施监督检查清单</w:t>
      </w: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0"/>
        <w:gridCol w:w="1859"/>
        <w:gridCol w:w="1448"/>
        <w:gridCol w:w="1683"/>
        <w:gridCol w:w="2019"/>
      </w:tblGrid>
      <w:tr w14:paraId="0D70C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top w:val="single" w:color="000000" w:sz="6" w:space="0"/>
              <w:left w:val="single" w:color="000000" w:sz="6" w:space="0"/>
              <w:tl2br w:val="single" w:color="000000" w:sz="4" w:space="0"/>
            </w:tcBorders>
            <w:vAlign w:val="center"/>
          </w:tcPr>
          <w:p w14:paraId="25D7EF96">
            <w:pPr>
              <w:pStyle w:val="15"/>
              <w:bidi w:val="0"/>
              <w:jc w:val="right"/>
            </w:pPr>
            <w:r>
              <w:t>内容</w:t>
            </w:r>
          </w:p>
          <w:p w14:paraId="2CB14662">
            <w:pPr>
              <w:pStyle w:val="15"/>
              <w:bidi w:val="0"/>
              <w:jc w:val="center"/>
            </w:pPr>
          </w:p>
          <w:p w14:paraId="6DBC51B4">
            <w:pPr>
              <w:pStyle w:val="15"/>
              <w:bidi w:val="0"/>
              <w:jc w:val="center"/>
            </w:pPr>
          </w:p>
          <w:p w14:paraId="3E17DA48">
            <w:pPr>
              <w:pStyle w:val="15"/>
              <w:bidi w:val="0"/>
              <w:jc w:val="left"/>
            </w:pPr>
            <w:r>
              <w:t>要素</w:t>
            </w:r>
          </w:p>
        </w:tc>
        <w:tc>
          <w:tcPr>
            <w:tcW w:w="1117" w:type="pct"/>
            <w:tcBorders>
              <w:top w:val="single" w:color="000000" w:sz="6" w:space="0"/>
            </w:tcBorders>
            <w:vAlign w:val="center"/>
          </w:tcPr>
          <w:p w14:paraId="29EB974E">
            <w:pPr>
              <w:pStyle w:val="15"/>
              <w:bidi w:val="0"/>
              <w:jc w:val="center"/>
            </w:pPr>
            <w:r>
              <w:t>排放口</w:t>
            </w:r>
            <w:r>
              <w:rPr>
                <w:rFonts w:hint="eastAsia"/>
                <w:lang w:eastAsia="zh-CN"/>
              </w:rPr>
              <w:t>（</w:t>
            </w:r>
            <w:r>
              <w:t>编号、名称</w:t>
            </w:r>
            <w:r>
              <w:rPr>
                <w:rFonts w:hint="eastAsia"/>
                <w:lang w:eastAsia="zh-CN"/>
              </w:rPr>
              <w:t>）</w:t>
            </w:r>
            <w:r>
              <w:t>/污染源</w:t>
            </w:r>
          </w:p>
        </w:tc>
        <w:tc>
          <w:tcPr>
            <w:tcW w:w="870" w:type="pct"/>
            <w:tcBorders>
              <w:top w:val="single" w:color="000000" w:sz="6" w:space="0"/>
            </w:tcBorders>
            <w:vAlign w:val="center"/>
          </w:tcPr>
          <w:p w14:paraId="23415159">
            <w:pPr>
              <w:pStyle w:val="15"/>
              <w:bidi w:val="0"/>
              <w:jc w:val="center"/>
            </w:pPr>
            <w:r>
              <w:t>污染物项目</w:t>
            </w:r>
          </w:p>
        </w:tc>
        <w:tc>
          <w:tcPr>
            <w:tcW w:w="1011" w:type="pct"/>
            <w:tcBorders>
              <w:top w:val="single" w:color="000000" w:sz="6" w:space="0"/>
            </w:tcBorders>
            <w:vAlign w:val="center"/>
          </w:tcPr>
          <w:p w14:paraId="186AA54C">
            <w:pPr>
              <w:pStyle w:val="15"/>
              <w:bidi w:val="0"/>
              <w:jc w:val="center"/>
            </w:pPr>
            <w:r>
              <w:t>环境保护措施</w:t>
            </w:r>
          </w:p>
        </w:tc>
        <w:tc>
          <w:tcPr>
            <w:tcW w:w="1212" w:type="pct"/>
            <w:tcBorders>
              <w:top w:val="single" w:color="000000" w:sz="6" w:space="0"/>
              <w:right w:val="single" w:color="000000" w:sz="6" w:space="0"/>
            </w:tcBorders>
            <w:vAlign w:val="center"/>
          </w:tcPr>
          <w:p w14:paraId="337E5E6A">
            <w:pPr>
              <w:pStyle w:val="15"/>
              <w:bidi w:val="0"/>
              <w:jc w:val="center"/>
            </w:pPr>
            <w:r>
              <w:t>执行标准</w:t>
            </w:r>
          </w:p>
        </w:tc>
      </w:tr>
      <w:tr w14:paraId="76B5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09CB3662">
            <w:pPr>
              <w:pStyle w:val="15"/>
              <w:bidi w:val="0"/>
              <w:jc w:val="center"/>
            </w:pPr>
            <w:r>
              <w:t>大气环境</w:t>
            </w:r>
          </w:p>
        </w:tc>
        <w:tc>
          <w:tcPr>
            <w:tcW w:w="1117" w:type="pct"/>
            <w:vAlign w:val="center"/>
          </w:tcPr>
          <w:p w14:paraId="640CF558">
            <w:pPr>
              <w:pStyle w:val="15"/>
              <w:bidi w:val="0"/>
              <w:jc w:val="center"/>
            </w:pPr>
            <w:r>
              <w:t>盐酸储罐（挥发）</w:t>
            </w:r>
          </w:p>
        </w:tc>
        <w:tc>
          <w:tcPr>
            <w:tcW w:w="870" w:type="pct"/>
            <w:vAlign w:val="center"/>
          </w:tcPr>
          <w:p w14:paraId="6DE99E71">
            <w:pPr>
              <w:pStyle w:val="15"/>
              <w:bidi w:val="0"/>
              <w:jc w:val="center"/>
            </w:pPr>
            <w:r>
              <w:t>氯化氢</w:t>
            </w:r>
          </w:p>
        </w:tc>
        <w:tc>
          <w:tcPr>
            <w:tcW w:w="1011" w:type="pct"/>
            <w:vAlign w:val="center"/>
          </w:tcPr>
          <w:p w14:paraId="2E26A3CD">
            <w:pPr>
              <w:pStyle w:val="15"/>
              <w:bidi w:val="0"/>
              <w:jc w:val="center"/>
            </w:pPr>
            <w:r>
              <w:rPr>
                <w:rFonts w:hint="eastAsia"/>
                <w:lang w:val="en-US" w:eastAsia="zh-CN"/>
              </w:rPr>
              <w:t>呼吸阀连接收集管道，输送至厂区现有TA002（三级降膜水吸收+三级填料碱吸收+一级碱喷淋）废气处理装置处理</w:t>
            </w:r>
            <w:r>
              <w:t>效率</w:t>
            </w:r>
          </w:p>
          <w:p w14:paraId="2F77E906">
            <w:pPr>
              <w:pStyle w:val="15"/>
              <w:bidi w:val="0"/>
              <w:jc w:val="center"/>
            </w:pPr>
            <w:r>
              <w:t>≥</w:t>
            </w:r>
            <w:r>
              <w:rPr>
                <w:rFonts w:hint="eastAsia"/>
                <w:lang w:val="en-US" w:eastAsia="zh-CN"/>
              </w:rPr>
              <w:t>7</w:t>
            </w:r>
            <w:r>
              <w:t>0%</w:t>
            </w:r>
          </w:p>
        </w:tc>
        <w:tc>
          <w:tcPr>
            <w:tcW w:w="1212" w:type="pct"/>
            <w:tcBorders>
              <w:right w:val="single" w:color="000000" w:sz="6" w:space="0"/>
            </w:tcBorders>
            <w:vAlign w:val="center"/>
          </w:tcPr>
          <w:p w14:paraId="77BA2E0B">
            <w:pPr>
              <w:pStyle w:val="15"/>
              <w:bidi w:val="0"/>
              <w:jc w:val="center"/>
            </w:pPr>
            <w:r>
              <w:t>《</w:t>
            </w:r>
            <w:r>
              <w:rPr>
                <w:rFonts w:hint="eastAsia"/>
                <w:lang w:eastAsia="zh-CN"/>
              </w:rPr>
              <w:t>农药制造工业大气污染物排放标准</w:t>
            </w:r>
            <w:r>
              <w:rPr>
                <w:rFonts w:hint="eastAsia"/>
                <w:color w:val="auto"/>
                <w:lang w:val="en-US" w:eastAsia="zh-CN"/>
              </w:rPr>
              <w:t>》（GB39727—2020）中表1大气污染物排放限值</w:t>
            </w:r>
          </w:p>
        </w:tc>
      </w:tr>
      <w:tr w14:paraId="4447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45A6B185">
            <w:pPr>
              <w:pStyle w:val="15"/>
              <w:bidi w:val="0"/>
              <w:jc w:val="center"/>
            </w:pPr>
            <w:r>
              <w:t>地表水环境</w:t>
            </w:r>
          </w:p>
        </w:tc>
        <w:tc>
          <w:tcPr>
            <w:tcW w:w="1117" w:type="pct"/>
            <w:vAlign w:val="center"/>
          </w:tcPr>
          <w:p w14:paraId="7F495B1B">
            <w:pPr>
              <w:pStyle w:val="15"/>
              <w:bidi w:val="0"/>
              <w:jc w:val="center"/>
              <w:rPr>
                <w:rFonts w:hint="eastAsia" w:eastAsia="宋体"/>
                <w:lang w:val="en-US" w:eastAsia="zh-CN"/>
              </w:rPr>
            </w:pPr>
            <w:r>
              <w:rPr>
                <w:rFonts w:hint="eastAsia"/>
                <w:lang w:val="en-US" w:eastAsia="zh-CN"/>
              </w:rPr>
              <w:t>/</w:t>
            </w:r>
          </w:p>
        </w:tc>
        <w:tc>
          <w:tcPr>
            <w:tcW w:w="870" w:type="pct"/>
            <w:vAlign w:val="center"/>
          </w:tcPr>
          <w:p w14:paraId="36935293">
            <w:pPr>
              <w:pStyle w:val="15"/>
              <w:bidi w:val="0"/>
              <w:jc w:val="center"/>
              <w:rPr>
                <w:rFonts w:hint="eastAsia" w:eastAsia="宋体"/>
                <w:lang w:val="en-US" w:eastAsia="zh-CN"/>
              </w:rPr>
            </w:pPr>
            <w:r>
              <w:rPr>
                <w:rFonts w:hint="eastAsia"/>
                <w:lang w:val="en-US" w:eastAsia="zh-CN"/>
              </w:rPr>
              <w:t>/</w:t>
            </w:r>
          </w:p>
        </w:tc>
        <w:tc>
          <w:tcPr>
            <w:tcW w:w="1011" w:type="pct"/>
            <w:vAlign w:val="center"/>
          </w:tcPr>
          <w:p w14:paraId="25489CB0">
            <w:pPr>
              <w:pStyle w:val="15"/>
              <w:bidi w:val="0"/>
              <w:jc w:val="center"/>
              <w:rPr>
                <w:rFonts w:hint="eastAsia" w:eastAsia="宋体"/>
                <w:lang w:val="en-US" w:eastAsia="zh-CN"/>
              </w:rPr>
            </w:pPr>
            <w:r>
              <w:rPr>
                <w:rFonts w:hint="eastAsia"/>
                <w:lang w:val="en-US" w:eastAsia="zh-CN"/>
              </w:rPr>
              <w:t>/</w:t>
            </w:r>
          </w:p>
        </w:tc>
        <w:tc>
          <w:tcPr>
            <w:tcW w:w="1212" w:type="pct"/>
            <w:tcBorders>
              <w:right w:val="single" w:color="000000" w:sz="6" w:space="0"/>
            </w:tcBorders>
            <w:vAlign w:val="center"/>
          </w:tcPr>
          <w:p w14:paraId="32F99ED6">
            <w:pPr>
              <w:pStyle w:val="15"/>
              <w:bidi w:val="0"/>
              <w:jc w:val="center"/>
              <w:rPr>
                <w:rFonts w:hint="eastAsia" w:eastAsia="宋体"/>
                <w:lang w:val="en-US" w:eastAsia="zh-CN"/>
              </w:rPr>
            </w:pPr>
            <w:r>
              <w:rPr>
                <w:rFonts w:hint="eastAsia"/>
                <w:lang w:val="en-US" w:eastAsia="zh-CN"/>
              </w:rPr>
              <w:t>/</w:t>
            </w:r>
          </w:p>
        </w:tc>
      </w:tr>
      <w:tr w14:paraId="4AEEC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044D8B16">
            <w:pPr>
              <w:pStyle w:val="15"/>
              <w:bidi w:val="0"/>
              <w:jc w:val="center"/>
            </w:pPr>
            <w:r>
              <w:t>声环境</w:t>
            </w:r>
          </w:p>
        </w:tc>
        <w:tc>
          <w:tcPr>
            <w:tcW w:w="1117" w:type="pct"/>
            <w:vAlign w:val="center"/>
          </w:tcPr>
          <w:p w14:paraId="6E5C09AC">
            <w:pPr>
              <w:pStyle w:val="15"/>
              <w:bidi w:val="0"/>
              <w:jc w:val="center"/>
              <w:rPr>
                <w:rFonts w:hint="default" w:eastAsia="宋体"/>
                <w:lang w:val="en-US" w:eastAsia="zh-CN"/>
              </w:rPr>
            </w:pPr>
            <w:r>
              <w:rPr>
                <w:rFonts w:hint="eastAsia"/>
                <w:lang w:val="en-US" w:eastAsia="zh-CN"/>
              </w:rPr>
              <w:t>/</w:t>
            </w:r>
          </w:p>
        </w:tc>
        <w:tc>
          <w:tcPr>
            <w:tcW w:w="870" w:type="pct"/>
            <w:vAlign w:val="center"/>
          </w:tcPr>
          <w:p w14:paraId="1E0180F3">
            <w:pPr>
              <w:pStyle w:val="15"/>
              <w:bidi w:val="0"/>
              <w:jc w:val="center"/>
              <w:rPr>
                <w:rFonts w:hint="eastAsia" w:eastAsia="宋体"/>
                <w:lang w:val="en-US" w:eastAsia="zh-CN"/>
              </w:rPr>
            </w:pPr>
            <w:r>
              <w:rPr>
                <w:rFonts w:hint="eastAsia"/>
                <w:lang w:val="en-US" w:eastAsia="zh-CN"/>
              </w:rPr>
              <w:t>/</w:t>
            </w:r>
          </w:p>
        </w:tc>
        <w:tc>
          <w:tcPr>
            <w:tcW w:w="1011" w:type="pct"/>
            <w:vAlign w:val="center"/>
          </w:tcPr>
          <w:p w14:paraId="462E13A3">
            <w:pPr>
              <w:pStyle w:val="15"/>
              <w:bidi w:val="0"/>
              <w:jc w:val="center"/>
              <w:rPr>
                <w:rFonts w:hint="eastAsia" w:eastAsia="宋体"/>
                <w:lang w:val="en-US" w:eastAsia="zh-CN"/>
              </w:rPr>
            </w:pPr>
            <w:r>
              <w:rPr>
                <w:rFonts w:hint="eastAsia"/>
                <w:lang w:val="en-US" w:eastAsia="zh-CN"/>
              </w:rPr>
              <w:t>/</w:t>
            </w:r>
          </w:p>
        </w:tc>
        <w:tc>
          <w:tcPr>
            <w:tcW w:w="1212" w:type="pct"/>
            <w:tcBorders>
              <w:right w:val="single" w:color="000000" w:sz="6" w:space="0"/>
            </w:tcBorders>
            <w:vAlign w:val="center"/>
          </w:tcPr>
          <w:p w14:paraId="336CBA43">
            <w:pPr>
              <w:pStyle w:val="15"/>
              <w:bidi w:val="0"/>
              <w:jc w:val="center"/>
              <w:rPr>
                <w:rFonts w:hint="eastAsia" w:eastAsia="宋体"/>
                <w:lang w:val="en-US" w:eastAsia="zh-CN"/>
              </w:rPr>
            </w:pPr>
            <w:r>
              <w:rPr>
                <w:rFonts w:hint="eastAsia"/>
                <w:lang w:val="en-US" w:eastAsia="zh-CN"/>
              </w:rPr>
              <w:t>/</w:t>
            </w:r>
          </w:p>
        </w:tc>
      </w:tr>
      <w:tr w14:paraId="1147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2E75067B">
            <w:pPr>
              <w:pStyle w:val="15"/>
              <w:bidi w:val="0"/>
              <w:jc w:val="center"/>
            </w:pPr>
            <w:r>
              <w:t>固体废物</w:t>
            </w:r>
          </w:p>
        </w:tc>
        <w:tc>
          <w:tcPr>
            <w:tcW w:w="4211" w:type="pct"/>
            <w:gridSpan w:val="4"/>
            <w:tcBorders>
              <w:right w:val="single" w:color="000000" w:sz="6" w:space="0"/>
            </w:tcBorders>
            <w:vAlign w:val="center"/>
          </w:tcPr>
          <w:p w14:paraId="1B33DD6A">
            <w:pPr>
              <w:pStyle w:val="15"/>
              <w:bidi w:val="0"/>
              <w:jc w:val="center"/>
              <w:rPr>
                <w:rFonts w:hint="eastAsia" w:eastAsia="宋体"/>
                <w:lang w:eastAsia="zh-CN"/>
              </w:rPr>
            </w:pPr>
            <w:r>
              <w:rPr>
                <w:rFonts w:hint="eastAsia"/>
                <w:lang w:val="en-US" w:eastAsia="zh-CN"/>
              </w:rPr>
              <w:t>/</w:t>
            </w:r>
          </w:p>
        </w:tc>
      </w:tr>
      <w:tr w14:paraId="695D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4288F029">
            <w:pPr>
              <w:pStyle w:val="15"/>
              <w:bidi w:val="0"/>
              <w:jc w:val="center"/>
            </w:pPr>
            <w:r>
              <w:t>土壤及地下水污染防治措施</w:t>
            </w:r>
          </w:p>
        </w:tc>
        <w:tc>
          <w:tcPr>
            <w:tcW w:w="4211" w:type="pct"/>
            <w:gridSpan w:val="4"/>
            <w:tcBorders>
              <w:right w:val="single" w:color="000000" w:sz="6" w:space="0"/>
            </w:tcBorders>
            <w:vAlign w:val="center"/>
          </w:tcPr>
          <w:p w14:paraId="22919793">
            <w:pPr>
              <w:pStyle w:val="15"/>
              <w:bidi w:val="0"/>
              <w:jc w:val="center"/>
            </w:pPr>
            <w:r>
              <w:t>地上罐区：地面铺设高密度聚乙烯膜防渗层，厚度不小于1.5mm，膜上膜下设置保护层，保护层采用长丝无纺土工布，膜下保护层以上设置砂石层，厚度不小于200mm，渗透性能等效粘土防渗层为6m，防渗层渗透系数为10</w:t>
            </w:r>
            <w:r>
              <w:rPr>
                <w:rFonts w:hint="eastAsia"/>
                <w:vertAlign w:val="superscript"/>
                <w:lang w:val="en-US" w:eastAsia="zh-CN"/>
              </w:rPr>
              <w:t>-</w:t>
            </w:r>
            <w:r>
              <w:rPr>
                <w:vertAlign w:val="superscript"/>
              </w:rPr>
              <w:t>10</w:t>
            </w:r>
            <w:r>
              <w:t>cm/s。罐区周围设置具有强防渗性的围堰和集水沟，接缝处等细部构造应采取防渗止水处理。地面和四周铺设具有防腐性的材料或涂刷环氧漆等，防止盐酸腐蚀罐区。</w:t>
            </w:r>
          </w:p>
        </w:tc>
      </w:tr>
      <w:tr w14:paraId="0D42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42F8B2A5">
            <w:pPr>
              <w:pStyle w:val="15"/>
              <w:bidi w:val="0"/>
              <w:jc w:val="center"/>
            </w:pPr>
            <w:r>
              <w:t>生态保护措施</w:t>
            </w:r>
          </w:p>
        </w:tc>
        <w:tc>
          <w:tcPr>
            <w:tcW w:w="4211" w:type="pct"/>
            <w:gridSpan w:val="4"/>
            <w:tcBorders>
              <w:right w:val="single" w:color="000000" w:sz="6" w:space="0"/>
            </w:tcBorders>
            <w:vAlign w:val="center"/>
          </w:tcPr>
          <w:p w14:paraId="1997DED5">
            <w:pPr>
              <w:pStyle w:val="15"/>
              <w:bidi w:val="0"/>
              <w:jc w:val="center"/>
            </w:pPr>
            <w:r>
              <w:t>/</w:t>
            </w:r>
          </w:p>
        </w:tc>
      </w:tr>
      <w:tr w14:paraId="063E4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8" w:type="pct"/>
            <w:tcBorders>
              <w:left w:val="single" w:color="000000" w:sz="6" w:space="0"/>
            </w:tcBorders>
            <w:vAlign w:val="center"/>
          </w:tcPr>
          <w:p w14:paraId="7163FD3D">
            <w:pPr>
              <w:pStyle w:val="15"/>
              <w:bidi w:val="0"/>
              <w:jc w:val="center"/>
            </w:pPr>
            <w:r>
              <w:t>环境风险防范措施</w:t>
            </w:r>
          </w:p>
        </w:tc>
        <w:tc>
          <w:tcPr>
            <w:tcW w:w="4211" w:type="pct"/>
            <w:gridSpan w:val="4"/>
            <w:tcBorders>
              <w:right w:val="single" w:color="000000" w:sz="6" w:space="0"/>
            </w:tcBorders>
            <w:vAlign w:val="center"/>
          </w:tcPr>
          <w:p w14:paraId="5253A4F0">
            <w:pPr>
              <w:pStyle w:val="15"/>
              <w:bidi w:val="0"/>
              <w:jc w:val="center"/>
              <w:rPr>
                <w:rFonts w:hint="eastAsia"/>
                <w:lang w:val="en-US" w:eastAsia="zh-CN"/>
              </w:rPr>
            </w:pPr>
            <w:r>
              <w:t>①</w:t>
            </w:r>
            <w:r>
              <w:rPr>
                <w:rFonts w:hint="eastAsia"/>
                <w:lang w:val="en-US" w:eastAsia="zh-CN"/>
              </w:rPr>
              <w:t>酸碱罐区已设置长50m，宽32m、高1m围堰；</w:t>
            </w:r>
          </w:p>
          <w:p w14:paraId="73A91142">
            <w:pPr>
              <w:pStyle w:val="15"/>
              <w:bidi w:val="0"/>
              <w:jc w:val="center"/>
              <w:rPr>
                <w:rFonts w:hint="default"/>
                <w:lang w:val="en-US" w:eastAsia="zh-CN"/>
              </w:rPr>
            </w:pPr>
            <w:r>
              <w:rPr>
                <w:rFonts w:hint="eastAsia"/>
                <w:lang w:val="en-US" w:eastAsia="zh-CN"/>
              </w:rPr>
              <w:t>②厂区已设置4572m</w:t>
            </w:r>
            <w:r>
              <w:rPr>
                <w:rFonts w:hint="eastAsia"/>
                <w:vertAlign w:val="superscript"/>
                <w:lang w:val="en-US" w:eastAsia="zh-CN"/>
              </w:rPr>
              <w:t>3</w:t>
            </w:r>
            <w:r>
              <w:rPr>
                <w:rFonts w:hint="eastAsia"/>
                <w:lang w:val="en-US" w:eastAsia="zh-CN"/>
              </w:rPr>
              <w:t>事故水池。</w:t>
            </w:r>
          </w:p>
        </w:tc>
      </w:tr>
      <w:tr w14:paraId="0F8F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10" w:type="dxa"/>
            <w:tcBorders>
              <w:left w:val="single" w:color="000000" w:sz="6" w:space="0"/>
              <w:bottom w:val="single" w:color="000000" w:sz="6" w:space="0"/>
            </w:tcBorders>
            <w:vAlign w:val="center"/>
          </w:tcPr>
          <w:p w14:paraId="099D6E79">
            <w:pPr>
              <w:pStyle w:val="15"/>
              <w:bidi w:val="0"/>
              <w:jc w:val="center"/>
            </w:pPr>
            <w:r>
              <w:t>其他环境</w:t>
            </w:r>
          </w:p>
          <w:p w14:paraId="0D0DC9DC">
            <w:pPr>
              <w:pStyle w:val="15"/>
              <w:bidi w:val="0"/>
              <w:jc w:val="center"/>
            </w:pPr>
            <w:r>
              <w:t>管理要求</w:t>
            </w:r>
          </w:p>
        </w:tc>
        <w:tc>
          <w:tcPr>
            <w:tcW w:w="7009" w:type="dxa"/>
            <w:gridSpan w:val="4"/>
            <w:tcBorders>
              <w:bottom w:val="single" w:color="000000" w:sz="6" w:space="0"/>
              <w:right w:val="single" w:color="000000" w:sz="6" w:space="0"/>
            </w:tcBorders>
            <w:vAlign w:val="center"/>
          </w:tcPr>
          <w:p w14:paraId="52DFCD7A">
            <w:pPr>
              <w:pStyle w:val="15"/>
              <w:bidi w:val="0"/>
              <w:jc w:val="center"/>
              <w:rPr>
                <w:rFonts w:hint="eastAsia"/>
                <w:lang w:val="en-US" w:eastAsia="zh-CN"/>
              </w:rPr>
            </w:pPr>
            <w:r>
              <w:t>/</w:t>
            </w:r>
          </w:p>
        </w:tc>
      </w:tr>
    </w:tbl>
    <w:p w14:paraId="3465EE7B"/>
    <w:p w14:paraId="2BCDE880">
      <w:pPr>
        <w:pStyle w:val="2"/>
        <w:bidi w:val="0"/>
        <w:rPr>
          <w:rFonts w:hint="eastAsia"/>
        </w:rPr>
      </w:pPr>
      <w:r>
        <w:rPr>
          <w:rFonts w:hint="eastAsia"/>
        </w:rPr>
        <w:t>六、结论</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42AD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785398A3">
            <w:pPr>
              <w:bidi w:val="0"/>
            </w:pPr>
            <w:r>
              <w:t>本项目的建设符合国家产业政策以及</w:t>
            </w:r>
            <w:r>
              <w:rPr>
                <w:rFonts w:hint="eastAsia"/>
                <w:lang w:val="en-US" w:eastAsia="zh-CN"/>
              </w:rPr>
              <w:t>胡杨河经济技术开发区</w:t>
            </w:r>
            <w:r>
              <w:t>规划要求，选址符合当地总体规划，贯彻了“清洁生产、总量控制和达标排放”的原则。本项目确保在</w:t>
            </w:r>
            <w:r>
              <w:rPr>
                <w:rFonts w:hint="eastAsia"/>
              </w:rPr>
              <w:t>运营</w:t>
            </w:r>
            <w:r>
              <w:rPr>
                <w:rFonts w:hint="eastAsia"/>
                <w:lang w:eastAsia="zh-CN"/>
              </w:rPr>
              <w:t>期间</w:t>
            </w:r>
            <w:r>
              <w:t>严格按照本报告表中所提出的污染防治对策</w:t>
            </w:r>
            <w:r>
              <w:rPr>
                <w:rFonts w:hint="eastAsia"/>
                <w:lang w:eastAsia="zh-CN"/>
              </w:rPr>
              <w:t>，在</w:t>
            </w:r>
            <w:r>
              <w:t>加强内部环境管理</w:t>
            </w:r>
            <w:r>
              <w:rPr>
                <w:rFonts w:hint="eastAsia"/>
                <w:lang w:eastAsia="zh-CN"/>
              </w:rPr>
              <w:t>，在</w:t>
            </w:r>
            <w:r>
              <w:t>实现环境保护措施的有效运行的前提下，严格执行“三同时”制度，从环境影响的角度来看，本项目</w:t>
            </w:r>
            <w:r>
              <w:rPr>
                <w:rFonts w:hint="eastAsia"/>
                <w:lang w:val="en-US" w:eastAsia="zh-CN"/>
              </w:rPr>
              <w:t>酸碱罐区内预留空地扩建4座200m</w:t>
            </w:r>
            <w:r>
              <w:rPr>
                <w:rFonts w:hint="eastAsia"/>
                <w:vertAlign w:val="superscript"/>
                <w:lang w:val="en-US" w:eastAsia="zh-CN"/>
              </w:rPr>
              <w:t>3</w:t>
            </w:r>
            <w:r>
              <w:rPr>
                <w:rFonts w:hint="eastAsia"/>
                <w:lang w:val="en-US" w:eastAsia="zh-CN"/>
              </w:rPr>
              <w:t>立式固定顶</w:t>
            </w:r>
            <w:r>
              <w:rPr>
                <w:lang w:val="zh-CN"/>
              </w:rPr>
              <w:t>玻璃钢</w:t>
            </w:r>
            <w:r>
              <w:rPr>
                <w:rFonts w:hint="eastAsia"/>
                <w:lang w:val="en-US" w:eastAsia="zh-CN"/>
              </w:rPr>
              <w:t>31%盐酸储罐</w:t>
            </w:r>
            <w:r>
              <w:t>是可行的。</w:t>
            </w:r>
          </w:p>
          <w:p w14:paraId="13DB1397">
            <w:pPr>
              <w:bidi w:val="0"/>
            </w:pPr>
          </w:p>
          <w:p w14:paraId="62394642">
            <w:pPr>
              <w:bidi w:val="0"/>
            </w:pPr>
          </w:p>
          <w:p w14:paraId="6DD5856B">
            <w:pPr>
              <w:bidi w:val="0"/>
            </w:pPr>
          </w:p>
          <w:p w14:paraId="23558065">
            <w:pPr>
              <w:bidi w:val="0"/>
            </w:pPr>
          </w:p>
          <w:p w14:paraId="583D8299">
            <w:pPr>
              <w:bidi w:val="0"/>
            </w:pPr>
          </w:p>
          <w:p w14:paraId="21AF2C76">
            <w:pPr>
              <w:bidi w:val="0"/>
            </w:pPr>
          </w:p>
          <w:p w14:paraId="5695C477">
            <w:pPr>
              <w:bidi w:val="0"/>
            </w:pPr>
          </w:p>
          <w:p w14:paraId="0B9E5DC6">
            <w:pPr>
              <w:bidi w:val="0"/>
            </w:pPr>
          </w:p>
          <w:p w14:paraId="7A1E9131">
            <w:pPr>
              <w:bidi w:val="0"/>
            </w:pPr>
          </w:p>
          <w:p w14:paraId="30A3EE61">
            <w:pPr>
              <w:bidi w:val="0"/>
            </w:pPr>
          </w:p>
          <w:p w14:paraId="0725C8D4">
            <w:pPr>
              <w:bidi w:val="0"/>
            </w:pPr>
          </w:p>
          <w:p w14:paraId="08BD46E3">
            <w:pPr>
              <w:bidi w:val="0"/>
            </w:pPr>
          </w:p>
          <w:p w14:paraId="01B52F95">
            <w:pPr>
              <w:bidi w:val="0"/>
            </w:pPr>
          </w:p>
          <w:p w14:paraId="68E25A86">
            <w:pPr>
              <w:bidi w:val="0"/>
            </w:pPr>
          </w:p>
          <w:p w14:paraId="6D08DA8C">
            <w:pPr>
              <w:bidi w:val="0"/>
            </w:pPr>
          </w:p>
          <w:p w14:paraId="1C2043E3">
            <w:pPr>
              <w:bidi w:val="0"/>
            </w:pPr>
          </w:p>
          <w:p w14:paraId="626C5A5C">
            <w:pPr>
              <w:bidi w:val="0"/>
            </w:pPr>
          </w:p>
          <w:p w14:paraId="63C19530">
            <w:pPr>
              <w:bidi w:val="0"/>
            </w:pPr>
          </w:p>
          <w:p w14:paraId="4087C357">
            <w:pPr>
              <w:bidi w:val="0"/>
            </w:pPr>
          </w:p>
          <w:p w14:paraId="31C3345E">
            <w:pPr>
              <w:bidi w:val="0"/>
            </w:pPr>
          </w:p>
          <w:p w14:paraId="28F30C81">
            <w:pPr>
              <w:bidi w:val="0"/>
            </w:pPr>
          </w:p>
          <w:p w14:paraId="6BB27A80">
            <w:pPr>
              <w:bidi w:val="0"/>
            </w:pPr>
          </w:p>
          <w:p w14:paraId="4BF75C74">
            <w:pPr>
              <w:ind w:firstLine="420"/>
              <w:rPr>
                <w:rFonts w:ascii="Times New Roman" w:hAnsi="Times New Roman" w:cs="Times New Roman"/>
              </w:rPr>
            </w:pPr>
          </w:p>
        </w:tc>
      </w:tr>
    </w:tbl>
    <w:p w14:paraId="474746D4"/>
    <w:p w14:paraId="09757ED9">
      <w:pPr>
        <w:pStyle w:val="10"/>
        <w:adjustRightInd w:val="0"/>
        <w:snapToGrid w:val="0"/>
        <w:spacing w:before="0" w:beforeAutospacing="0" w:after="0" w:afterAutospacing="0" w:line="648" w:lineRule="auto"/>
        <w:outlineLvl w:val="0"/>
        <w:rPr>
          <w:rFonts w:ascii="Times New Roman" w:hAnsi="Times New Roman"/>
          <w:snapToGrid w:val="0"/>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8F8CC4D">
      <w:pPr>
        <w:pStyle w:val="10"/>
        <w:adjustRightInd w:val="0"/>
        <w:snapToGrid w:val="0"/>
        <w:spacing w:before="0" w:beforeAutospacing="0" w:after="0" w:afterAutospacing="0" w:line="648" w:lineRule="auto"/>
        <w:outlineLvl w:val="0"/>
        <w:rPr>
          <w:rFonts w:ascii="Times New Roman" w:hAnsi="Times New Roman"/>
          <w:snapToGrid w:val="0"/>
          <w:sz w:val="32"/>
          <w:szCs w:val="32"/>
        </w:rPr>
      </w:pPr>
      <w:r>
        <w:rPr>
          <w:rFonts w:ascii="Times New Roman" w:hAnsi="Times New Roman"/>
          <w:snapToGrid w:val="0"/>
          <w:sz w:val="32"/>
          <w:szCs w:val="32"/>
        </w:rPr>
        <w:t>附表</w:t>
      </w:r>
    </w:p>
    <w:p w14:paraId="2C3A45FF">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ascii="Times New Roman" w:hAnsi="Times New Roman"/>
          <w:snapToGrid w:val="0"/>
          <w:sz w:val="38"/>
          <w:szCs w:val="38"/>
        </w:rPr>
      </w:pPr>
      <w:r>
        <w:rPr>
          <w:rFonts w:ascii="Times New Roman" w:hAnsi="Times New Roman"/>
          <w:snapToGrid w:val="0"/>
          <w:sz w:val="38"/>
          <w:szCs w:val="38"/>
        </w:rPr>
        <w:t>建设项目污染物排放量汇总表</w:t>
      </w:r>
    </w:p>
    <w:tbl>
      <w:tblPr>
        <w:tblStyle w:val="1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161"/>
        <w:gridCol w:w="1655"/>
        <w:gridCol w:w="1276"/>
        <w:gridCol w:w="1701"/>
        <w:gridCol w:w="1559"/>
        <w:gridCol w:w="1761"/>
        <w:gridCol w:w="1641"/>
        <w:gridCol w:w="1144"/>
      </w:tblGrid>
      <w:tr w14:paraId="76D12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0" w:type="dxa"/>
            <w:tcBorders>
              <w:tl2br w:val="single" w:color="auto" w:sz="4" w:space="0"/>
            </w:tcBorders>
            <w:tcMar>
              <w:left w:w="28" w:type="dxa"/>
              <w:right w:w="28" w:type="dxa"/>
            </w:tcMar>
            <w:vAlign w:val="center"/>
          </w:tcPr>
          <w:p w14:paraId="040A3C15">
            <w:pPr>
              <w:pStyle w:val="15"/>
              <w:bidi w:val="0"/>
            </w:pPr>
            <w:r>
              <w:rPr>
                <w:rFonts w:hint="eastAsia"/>
                <w:lang w:val="en-US" w:eastAsia="zh-CN"/>
              </w:rPr>
              <w:t xml:space="preserve">      </w:t>
            </w:r>
            <w:r>
              <w:t>项目</w:t>
            </w:r>
          </w:p>
          <w:p w14:paraId="17AFA243">
            <w:pPr>
              <w:pStyle w:val="15"/>
              <w:bidi w:val="0"/>
            </w:pPr>
            <w:r>
              <w:t>分类</w:t>
            </w:r>
          </w:p>
        </w:tc>
        <w:tc>
          <w:tcPr>
            <w:tcW w:w="2161" w:type="dxa"/>
            <w:tcMar>
              <w:left w:w="28" w:type="dxa"/>
              <w:right w:w="28" w:type="dxa"/>
            </w:tcMar>
            <w:vAlign w:val="center"/>
          </w:tcPr>
          <w:p w14:paraId="47F09365">
            <w:pPr>
              <w:pStyle w:val="15"/>
              <w:bidi w:val="0"/>
            </w:pPr>
            <w:r>
              <w:t>污染物名称</w:t>
            </w:r>
          </w:p>
        </w:tc>
        <w:tc>
          <w:tcPr>
            <w:tcW w:w="1655" w:type="dxa"/>
            <w:tcMar>
              <w:left w:w="28" w:type="dxa"/>
              <w:right w:w="28" w:type="dxa"/>
            </w:tcMar>
            <w:vAlign w:val="center"/>
          </w:tcPr>
          <w:p w14:paraId="7353663A">
            <w:pPr>
              <w:pStyle w:val="15"/>
              <w:bidi w:val="0"/>
            </w:pPr>
            <w:r>
              <w:t>现有工程</w:t>
            </w:r>
          </w:p>
          <w:p w14:paraId="6185A56C">
            <w:pPr>
              <w:pStyle w:val="15"/>
              <w:bidi w:val="0"/>
            </w:pPr>
            <w:r>
              <w:t>排放量（固体废物产生量）</w:t>
            </w:r>
            <w:r>
              <w:fldChar w:fldCharType="begin"/>
            </w:r>
            <w:r>
              <w:instrText xml:space="preserve"> = 1 \* GB3 \* MERGEFORMAT </w:instrText>
            </w:r>
            <w:r>
              <w:fldChar w:fldCharType="separate"/>
            </w:r>
            <w:r>
              <w:rPr>
                <w:rFonts w:hint="eastAsia"/>
              </w:rPr>
              <w:t>①</w:t>
            </w:r>
            <w:r>
              <w:fldChar w:fldCharType="end"/>
            </w:r>
          </w:p>
        </w:tc>
        <w:tc>
          <w:tcPr>
            <w:tcW w:w="1276" w:type="dxa"/>
            <w:tcMar>
              <w:left w:w="28" w:type="dxa"/>
              <w:right w:w="28" w:type="dxa"/>
            </w:tcMar>
            <w:vAlign w:val="center"/>
          </w:tcPr>
          <w:p w14:paraId="5F27FEDE">
            <w:pPr>
              <w:pStyle w:val="15"/>
              <w:bidi w:val="0"/>
            </w:pPr>
            <w:r>
              <w:t>现有工程</w:t>
            </w:r>
          </w:p>
          <w:p w14:paraId="1C69744D">
            <w:pPr>
              <w:pStyle w:val="15"/>
              <w:bidi w:val="0"/>
            </w:pPr>
            <w:r>
              <w:t>许可排放量</w:t>
            </w:r>
          </w:p>
          <w:p w14:paraId="149F65CC">
            <w:pPr>
              <w:pStyle w:val="15"/>
              <w:bidi w:val="0"/>
            </w:pPr>
            <w:r>
              <w:fldChar w:fldCharType="begin"/>
            </w:r>
            <w:r>
              <w:instrText xml:space="preserve"> = 2 \* GB3 \* MERGEFORMAT </w:instrText>
            </w:r>
            <w:r>
              <w:fldChar w:fldCharType="separate"/>
            </w:r>
            <w:r>
              <w:rPr>
                <w:rFonts w:hint="eastAsia"/>
              </w:rPr>
              <w:t>②</w:t>
            </w:r>
            <w:r>
              <w:fldChar w:fldCharType="end"/>
            </w:r>
          </w:p>
        </w:tc>
        <w:tc>
          <w:tcPr>
            <w:tcW w:w="1701" w:type="dxa"/>
            <w:tcMar>
              <w:left w:w="28" w:type="dxa"/>
              <w:right w:w="28" w:type="dxa"/>
            </w:tcMar>
            <w:vAlign w:val="center"/>
          </w:tcPr>
          <w:p w14:paraId="421102F3">
            <w:pPr>
              <w:pStyle w:val="15"/>
              <w:bidi w:val="0"/>
            </w:pPr>
            <w:r>
              <w:t>在建工程</w:t>
            </w:r>
          </w:p>
          <w:p w14:paraId="21AAF4D4">
            <w:pPr>
              <w:pStyle w:val="15"/>
              <w:bidi w:val="0"/>
            </w:pPr>
            <w:r>
              <w:t>排放量（固体废物产生量）</w:t>
            </w:r>
            <w:r>
              <w:fldChar w:fldCharType="begin"/>
            </w:r>
            <w:r>
              <w:instrText xml:space="preserve"> = 3 \* GB3 \* MERGEFORMAT </w:instrText>
            </w:r>
            <w:r>
              <w:fldChar w:fldCharType="separate"/>
            </w:r>
            <w:r>
              <w:rPr>
                <w:rFonts w:hint="eastAsia"/>
              </w:rPr>
              <w:t>③</w:t>
            </w:r>
            <w:r>
              <w:fldChar w:fldCharType="end"/>
            </w:r>
          </w:p>
        </w:tc>
        <w:tc>
          <w:tcPr>
            <w:tcW w:w="1559" w:type="dxa"/>
            <w:tcMar>
              <w:left w:w="28" w:type="dxa"/>
              <w:right w:w="28" w:type="dxa"/>
            </w:tcMar>
            <w:vAlign w:val="center"/>
          </w:tcPr>
          <w:p w14:paraId="367F269C">
            <w:pPr>
              <w:pStyle w:val="15"/>
              <w:bidi w:val="0"/>
            </w:pPr>
            <w:r>
              <w:t>本项目</w:t>
            </w:r>
          </w:p>
          <w:p w14:paraId="46F8EDFC">
            <w:pPr>
              <w:pStyle w:val="15"/>
              <w:bidi w:val="0"/>
            </w:pPr>
            <w:r>
              <w:t>排放量（固体废物产生量）</w:t>
            </w:r>
            <w:r>
              <w:fldChar w:fldCharType="begin"/>
            </w:r>
            <w:r>
              <w:instrText xml:space="preserve"> = 4 \* GB3 \* MERGEFORMAT </w:instrText>
            </w:r>
            <w:r>
              <w:fldChar w:fldCharType="separate"/>
            </w:r>
            <w:r>
              <w:rPr>
                <w:rFonts w:hint="eastAsia"/>
              </w:rPr>
              <w:t>④</w:t>
            </w:r>
            <w:r>
              <w:fldChar w:fldCharType="end"/>
            </w:r>
          </w:p>
        </w:tc>
        <w:tc>
          <w:tcPr>
            <w:tcW w:w="1761" w:type="dxa"/>
            <w:tcMar>
              <w:left w:w="28" w:type="dxa"/>
              <w:right w:w="28" w:type="dxa"/>
            </w:tcMar>
            <w:vAlign w:val="center"/>
          </w:tcPr>
          <w:p w14:paraId="56CEC90B">
            <w:pPr>
              <w:pStyle w:val="15"/>
              <w:bidi w:val="0"/>
            </w:pPr>
            <w:r>
              <w:t>以新带老削减量</w:t>
            </w:r>
          </w:p>
          <w:p w14:paraId="5603856F">
            <w:pPr>
              <w:pStyle w:val="15"/>
              <w:bidi w:val="0"/>
            </w:pPr>
            <w:r>
              <w:t>（新建项目不填）</w:t>
            </w:r>
            <w:r>
              <w:fldChar w:fldCharType="begin"/>
            </w:r>
            <w:r>
              <w:instrText xml:space="preserve"> = 5 \* GB3 \* MERGEFORMAT </w:instrText>
            </w:r>
            <w:r>
              <w:fldChar w:fldCharType="separate"/>
            </w:r>
            <w:r>
              <w:rPr>
                <w:rFonts w:hint="eastAsia"/>
              </w:rPr>
              <w:t>⑤</w:t>
            </w:r>
            <w:r>
              <w:fldChar w:fldCharType="end"/>
            </w:r>
          </w:p>
        </w:tc>
        <w:tc>
          <w:tcPr>
            <w:tcW w:w="1641" w:type="dxa"/>
            <w:tcMar>
              <w:left w:w="28" w:type="dxa"/>
              <w:right w:w="28" w:type="dxa"/>
            </w:tcMar>
            <w:vAlign w:val="center"/>
          </w:tcPr>
          <w:p w14:paraId="6022D661">
            <w:pPr>
              <w:pStyle w:val="15"/>
              <w:bidi w:val="0"/>
            </w:pPr>
            <w:r>
              <w:t>本项目建成后</w:t>
            </w:r>
          </w:p>
          <w:p w14:paraId="33872606">
            <w:pPr>
              <w:pStyle w:val="15"/>
              <w:bidi w:val="0"/>
            </w:pPr>
            <w:r>
              <w:t>全厂排放量（固体废物产生量）</w:t>
            </w:r>
            <w:r>
              <w:fldChar w:fldCharType="begin"/>
            </w:r>
            <w:r>
              <w:instrText xml:space="preserve"> = 6 \* GB3 \* MERGEFORMAT </w:instrText>
            </w:r>
            <w:r>
              <w:fldChar w:fldCharType="separate"/>
            </w:r>
            <w:r>
              <w:rPr>
                <w:rFonts w:hint="eastAsia"/>
              </w:rPr>
              <w:t>⑥</w:t>
            </w:r>
            <w:r>
              <w:fldChar w:fldCharType="end"/>
            </w:r>
          </w:p>
        </w:tc>
        <w:tc>
          <w:tcPr>
            <w:tcW w:w="1144" w:type="dxa"/>
            <w:tcMar>
              <w:left w:w="28" w:type="dxa"/>
              <w:right w:w="28" w:type="dxa"/>
            </w:tcMar>
            <w:vAlign w:val="center"/>
          </w:tcPr>
          <w:p w14:paraId="62CA8566">
            <w:pPr>
              <w:pStyle w:val="15"/>
              <w:bidi w:val="0"/>
            </w:pPr>
            <w:r>
              <w:t>变化量</w:t>
            </w:r>
          </w:p>
          <w:p w14:paraId="0E6C965D">
            <w:pPr>
              <w:pStyle w:val="15"/>
              <w:bidi w:val="0"/>
            </w:pPr>
            <w:r>
              <w:fldChar w:fldCharType="begin"/>
            </w:r>
            <w:r>
              <w:instrText xml:space="preserve"> = 7 \* GB3 \* MERGEFORMAT </w:instrText>
            </w:r>
            <w:r>
              <w:fldChar w:fldCharType="separate"/>
            </w:r>
            <w:r>
              <w:rPr>
                <w:rFonts w:hint="eastAsia"/>
              </w:rPr>
              <w:t>⑦</w:t>
            </w:r>
            <w:r>
              <w:fldChar w:fldCharType="end"/>
            </w:r>
          </w:p>
        </w:tc>
      </w:tr>
      <w:tr w14:paraId="243B4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0" w:type="dxa"/>
            <w:vAlign w:val="center"/>
          </w:tcPr>
          <w:p w14:paraId="51ECE261">
            <w:pPr>
              <w:pStyle w:val="15"/>
              <w:bidi w:val="0"/>
            </w:pPr>
            <w:r>
              <w:t>废气</w:t>
            </w:r>
          </w:p>
        </w:tc>
        <w:tc>
          <w:tcPr>
            <w:tcW w:w="2161" w:type="dxa"/>
            <w:vAlign w:val="center"/>
          </w:tcPr>
          <w:p w14:paraId="07B5846D">
            <w:pPr>
              <w:pStyle w:val="15"/>
              <w:bidi w:val="0"/>
              <w:rPr>
                <w:rFonts w:hint="eastAsia"/>
                <w:lang w:eastAsia="zh-CN"/>
              </w:rPr>
            </w:pPr>
            <w:r>
              <w:rPr>
                <w:rFonts w:hint="eastAsia"/>
                <w:lang w:val="en-US" w:eastAsia="zh-CN"/>
              </w:rPr>
              <w:t>氯化氢</w:t>
            </w:r>
          </w:p>
        </w:tc>
        <w:tc>
          <w:tcPr>
            <w:tcW w:w="1655" w:type="dxa"/>
            <w:vAlign w:val="center"/>
          </w:tcPr>
          <w:p w14:paraId="59A5ED43">
            <w:pPr>
              <w:pStyle w:val="15"/>
              <w:bidi w:val="0"/>
              <w:rPr>
                <w:rFonts w:hint="default"/>
                <w:lang w:val="en-US" w:eastAsia="zh-CN"/>
              </w:rPr>
            </w:pPr>
            <w:r>
              <w:rPr>
                <w:rFonts w:hint="eastAsia"/>
                <w:lang w:val="en-US" w:eastAsia="zh-CN"/>
              </w:rPr>
              <w:t>0.09</w:t>
            </w:r>
          </w:p>
        </w:tc>
        <w:tc>
          <w:tcPr>
            <w:tcW w:w="1276" w:type="dxa"/>
            <w:vAlign w:val="center"/>
          </w:tcPr>
          <w:p w14:paraId="4D8C0EDD">
            <w:pPr>
              <w:pStyle w:val="15"/>
              <w:bidi w:val="0"/>
            </w:pPr>
            <w:r>
              <w:t>/</w:t>
            </w:r>
          </w:p>
        </w:tc>
        <w:tc>
          <w:tcPr>
            <w:tcW w:w="1701" w:type="dxa"/>
            <w:vAlign w:val="center"/>
          </w:tcPr>
          <w:p w14:paraId="112300DD">
            <w:pPr>
              <w:pStyle w:val="15"/>
              <w:bidi w:val="0"/>
            </w:pPr>
            <w:r>
              <w:t>/</w:t>
            </w:r>
          </w:p>
        </w:tc>
        <w:tc>
          <w:tcPr>
            <w:tcW w:w="1559" w:type="dxa"/>
            <w:vAlign w:val="center"/>
          </w:tcPr>
          <w:p w14:paraId="06E4EA31">
            <w:pPr>
              <w:pStyle w:val="15"/>
              <w:bidi w:val="0"/>
              <w:rPr>
                <w:rFonts w:hint="default"/>
                <w:lang w:val="en-US" w:eastAsia="zh-CN"/>
              </w:rPr>
            </w:pPr>
            <w:r>
              <w:rPr>
                <w:rFonts w:hint="eastAsia"/>
                <w:lang w:val="en-US" w:eastAsia="zh-CN"/>
              </w:rPr>
              <w:t>0.1</w:t>
            </w:r>
          </w:p>
        </w:tc>
        <w:tc>
          <w:tcPr>
            <w:tcW w:w="1761" w:type="dxa"/>
            <w:vAlign w:val="center"/>
          </w:tcPr>
          <w:p w14:paraId="16F90D5B">
            <w:pPr>
              <w:pStyle w:val="15"/>
              <w:bidi w:val="0"/>
            </w:pPr>
            <w:r>
              <w:t>/</w:t>
            </w:r>
          </w:p>
        </w:tc>
        <w:tc>
          <w:tcPr>
            <w:tcW w:w="1641" w:type="dxa"/>
            <w:vAlign w:val="center"/>
          </w:tcPr>
          <w:p w14:paraId="6B820E55">
            <w:pPr>
              <w:pStyle w:val="15"/>
              <w:bidi w:val="0"/>
              <w:rPr>
                <w:rFonts w:hint="default"/>
                <w:lang w:val="en-US"/>
              </w:rPr>
            </w:pPr>
            <w:r>
              <w:rPr>
                <w:rFonts w:hint="eastAsia"/>
                <w:lang w:val="en-US" w:eastAsia="zh-CN"/>
              </w:rPr>
              <w:t>0.19</w:t>
            </w:r>
          </w:p>
        </w:tc>
        <w:tc>
          <w:tcPr>
            <w:tcW w:w="1144" w:type="dxa"/>
            <w:vAlign w:val="center"/>
          </w:tcPr>
          <w:p w14:paraId="776CCE82">
            <w:pPr>
              <w:pStyle w:val="15"/>
              <w:bidi w:val="0"/>
              <w:rPr>
                <w:rFonts w:hint="default"/>
                <w:lang w:val="en-US"/>
              </w:rPr>
            </w:pPr>
            <w:r>
              <w:rPr>
                <w:rFonts w:hint="eastAsia"/>
                <w:lang w:val="en-US" w:eastAsia="zh-CN"/>
              </w:rPr>
              <w:t>+0.1</w:t>
            </w:r>
          </w:p>
        </w:tc>
      </w:tr>
      <w:tr w14:paraId="25C18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0" w:type="dxa"/>
            <w:vMerge w:val="restart"/>
            <w:vAlign w:val="center"/>
          </w:tcPr>
          <w:p w14:paraId="502FD3B4">
            <w:pPr>
              <w:pStyle w:val="15"/>
              <w:bidi w:val="0"/>
            </w:pPr>
            <w:r>
              <w:t>废水</w:t>
            </w:r>
          </w:p>
        </w:tc>
        <w:tc>
          <w:tcPr>
            <w:tcW w:w="2161" w:type="dxa"/>
            <w:vAlign w:val="center"/>
          </w:tcPr>
          <w:p w14:paraId="55D9810C">
            <w:pPr>
              <w:pStyle w:val="15"/>
              <w:bidi w:val="0"/>
            </w:pPr>
            <w:r>
              <w:t>COD</w:t>
            </w:r>
          </w:p>
        </w:tc>
        <w:tc>
          <w:tcPr>
            <w:tcW w:w="1655" w:type="dxa"/>
            <w:vAlign w:val="center"/>
          </w:tcPr>
          <w:p w14:paraId="14388F57">
            <w:pPr>
              <w:pStyle w:val="15"/>
              <w:bidi w:val="0"/>
            </w:pPr>
            <w:r>
              <w:t>/</w:t>
            </w:r>
          </w:p>
        </w:tc>
        <w:tc>
          <w:tcPr>
            <w:tcW w:w="1276" w:type="dxa"/>
            <w:vAlign w:val="center"/>
          </w:tcPr>
          <w:p w14:paraId="58DFB83F">
            <w:pPr>
              <w:pStyle w:val="15"/>
              <w:bidi w:val="0"/>
            </w:pPr>
            <w:r>
              <w:t>/</w:t>
            </w:r>
          </w:p>
        </w:tc>
        <w:tc>
          <w:tcPr>
            <w:tcW w:w="1701" w:type="dxa"/>
            <w:vAlign w:val="center"/>
          </w:tcPr>
          <w:p w14:paraId="19AC3935">
            <w:pPr>
              <w:pStyle w:val="15"/>
              <w:bidi w:val="0"/>
            </w:pPr>
            <w:r>
              <w:t>/</w:t>
            </w:r>
          </w:p>
        </w:tc>
        <w:tc>
          <w:tcPr>
            <w:tcW w:w="1559" w:type="dxa"/>
            <w:vAlign w:val="center"/>
          </w:tcPr>
          <w:p w14:paraId="7F1B6471">
            <w:pPr>
              <w:pStyle w:val="15"/>
              <w:bidi w:val="0"/>
            </w:pPr>
            <w:r>
              <w:t>/</w:t>
            </w:r>
          </w:p>
        </w:tc>
        <w:tc>
          <w:tcPr>
            <w:tcW w:w="1761" w:type="dxa"/>
            <w:vAlign w:val="center"/>
          </w:tcPr>
          <w:p w14:paraId="58E93A1C">
            <w:pPr>
              <w:pStyle w:val="15"/>
              <w:bidi w:val="0"/>
            </w:pPr>
            <w:r>
              <w:t>/</w:t>
            </w:r>
          </w:p>
        </w:tc>
        <w:tc>
          <w:tcPr>
            <w:tcW w:w="1641" w:type="dxa"/>
            <w:vAlign w:val="center"/>
          </w:tcPr>
          <w:p w14:paraId="06673624">
            <w:pPr>
              <w:pStyle w:val="15"/>
              <w:bidi w:val="0"/>
            </w:pPr>
            <w:r>
              <w:t>/</w:t>
            </w:r>
          </w:p>
        </w:tc>
        <w:tc>
          <w:tcPr>
            <w:tcW w:w="1144" w:type="dxa"/>
            <w:vAlign w:val="center"/>
          </w:tcPr>
          <w:p w14:paraId="4094C11E">
            <w:pPr>
              <w:pStyle w:val="15"/>
              <w:bidi w:val="0"/>
            </w:pPr>
            <w:r>
              <w:t>/</w:t>
            </w:r>
          </w:p>
        </w:tc>
      </w:tr>
      <w:tr w14:paraId="3BE1E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0" w:type="dxa"/>
            <w:vMerge w:val="continue"/>
            <w:vAlign w:val="center"/>
          </w:tcPr>
          <w:p w14:paraId="0C190AF4">
            <w:pPr>
              <w:pStyle w:val="15"/>
              <w:bidi w:val="0"/>
            </w:pPr>
          </w:p>
        </w:tc>
        <w:tc>
          <w:tcPr>
            <w:tcW w:w="2161" w:type="dxa"/>
            <w:vAlign w:val="center"/>
          </w:tcPr>
          <w:p w14:paraId="37C5E8F7">
            <w:pPr>
              <w:pStyle w:val="15"/>
              <w:bidi w:val="0"/>
            </w:pPr>
            <w:r>
              <w:t>NH</w:t>
            </w:r>
            <w:r>
              <w:rPr>
                <w:vertAlign w:val="subscript"/>
              </w:rPr>
              <w:t>3</w:t>
            </w:r>
            <w:r>
              <w:t>-N</w:t>
            </w:r>
          </w:p>
        </w:tc>
        <w:tc>
          <w:tcPr>
            <w:tcW w:w="1655" w:type="dxa"/>
            <w:vAlign w:val="center"/>
          </w:tcPr>
          <w:p w14:paraId="3E8719A8">
            <w:pPr>
              <w:pStyle w:val="15"/>
              <w:bidi w:val="0"/>
            </w:pPr>
            <w:r>
              <w:t>/</w:t>
            </w:r>
          </w:p>
        </w:tc>
        <w:tc>
          <w:tcPr>
            <w:tcW w:w="1276" w:type="dxa"/>
            <w:vAlign w:val="center"/>
          </w:tcPr>
          <w:p w14:paraId="5FF01846">
            <w:pPr>
              <w:pStyle w:val="15"/>
              <w:bidi w:val="0"/>
            </w:pPr>
            <w:r>
              <w:t>/</w:t>
            </w:r>
          </w:p>
        </w:tc>
        <w:tc>
          <w:tcPr>
            <w:tcW w:w="1701" w:type="dxa"/>
            <w:vAlign w:val="center"/>
          </w:tcPr>
          <w:p w14:paraId="18E011E5">
            <w:pPr>
              <w:pStyle w:val="15"/>
              <w:bidi w:val="0"/>
            </w:pPr>
            <w:r>
              <w:t>/</w:t>
            </w:r>
          </w:p>
        </w:tc>
        <w:tc>
          <w:tcPr>
            <w:tcW w:w="1559" w:type="dxa"/>
            <w:vAlign w:val="center"/>
          </w:tcPr>
          <w:p w14:paraId="671B3736">
            <w:pPr>
              <w:pStyle w:val="15"/>
              <w:bidi w:val="0"/>
            </w:pPr>
            <w:r>
              <w:t>/</w:t>
            </w:r>
          </w:p>
        </w:tc>
        <w:tc>
          <w:tcPr>
            <w:tcW w:w="1761" w:type="dxa"/>
            <w:vAlign w:val="center"/>
          </w:tcPr>
          <w:p w14:paraId="1A21F53A">
            <w:pPr>
              <w:pStyle w:val="15"/>
              <w:bidi w:val="0"/>
            </w:pPr>
            <w:r>
              <w:t>/</w:t>
            </w:r>
          </w:p>
        </w:tc>
        <w:tc>
          <w:tcPr>
            <w:tcW w:w="1641" w:type="dxa"/>
            <w:vAlign w:val="center"/>
          </w:tcPr>
          <w:p w14:paraId="23C9670C">
            <w:pPr>
              <w:pStyle w:val="15"/>
              <w:bidi w:val="0"/>
            </w:pPr>
            <w:r>
              <w:t>/</w:t>
            </w:r>
          </w:p>
        </w:tc>
        <w:tc>
          <w:tcPr>
            <w:tcW w:w="1144" w:type="dxa"/>
            <w:vAlign w:val="center"/>
          </w:tcPr>
          <w:p w14:paraId="0082FAF3">
            <w:pPr>
              <w:pStyle w:val="15"/>
              <w:bidi w:val="0"/>
            </w:pPr>
            <w:r>
              <w:t>/</w:t>
            </w:r>
          </w:p>
        </w:tc>
      </w:tr>
      <w:tr w14:paraId="33EEB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90" w:type="dxa"/>
            <w:vMerge w:val="continue"/>
            <w:vAlign w:val="center"/>
          </w:tcPr>
          <w:p w14:paraId="64CBDB64">
            <w:pPr>
              <w:pStyle w:val="15"/>
              <w:bidi w:val="0"/>
            </w:pPr>
          </w:p>
        </w:tc>
        <w:tc>
          <w:tcPr>
            <w:tcW w:w="2161" w:type="dxa"/>
            <w:vAlign w:val="center"/>
          </w:tcPr>
          <w:p w14:paraId="7BAC68D6">
            <w:pPr>
              <w:pStyle w:val="15"/>
              <w:bidi w:val="0"/>
            </w:pPr>
            <w:r>
              <w:t>TP</w:t>
            </w:r>
          </w:p>
        </w:tc>
        <w:tc>
          <w:tcPr>
            <w:tcW w:w="1655" w:type="dxa"/>
            <w:vAlign w:val="center"/>
          </w:tcPr>
          <w:p w14:paraId="203ECDF5">
            <w:pPr>
              <w:pStyle w:val="15"/>
              <w:bidi w:val="0"/>
            </w:pPr>
            <w:r>
              <w:t>/</w:t>
            </w:r>
          </w:p>
        </w:tc>
        <w:tc>
          <w:tcPr>
            <w:tcW w:w="1276" w:type="dxa"/>
            <w:vAlign w:val="center"/>
          </w:tcPr>
          <w:p w14:paraId="246FFF5B">
            <w:pPr>
              <w:pStyle w:val="15"/>
              <w:bidi w:val="0"/>
            </w:pPr>
            <w:r>
              <w:t>/</w:t>
            </w:r>
          </w:p>
        </w:tc>
        <w:tc>
          <w:tcPr>
            <w:tcW w:w="1701" w:type="dxa"/>
            <w:vAlign w:val="center"/>
          </w:tcPr>
          <w:p w14:paraId="77A4073E">
            <w:pPr>
              <w:pStyle w:val="15"/>
              <w:bidi w:val="0"/>
            </w:pPr>
            <w:r>
              <w:t>/</w:t>
            </w:r>
          </w:p>
        </w:tc>
        <w:tc>
          <w:tcPr>
            <w:tcW w:w="1559" w:type="dxa"/>
            <w:vAlign w:val="center"/>
          </w:tcPr>
          <w:p w14:paraId="6AB6D6C6">
            <w:pPr>
              <w:pStyle w:val="15"/>
              <w:bidi w:val="0"/>
            </w:pPr>
            <w:r>
              <w:t>/</w:t>
            </w:r>
          </w:p>
        </w:tc>
        <w:tc>
          <w:tcPr>
            <w:tcW w:w="1761" w:type="dxa"/>
            <w:vAlign w:val="center"/>
          </w:tcPr>
          <w:p w14:paraId="035A5083">
            <w:pPr>
              <w:pStyle w:val="15"/>
              <w:bidi w:val="0"/>
            </w:pPr>
            <w:r>
              <w:t>/</w:t>
            </w:r>
          </w:p>
        </w:tc>
        <w:tc>
          <w:tcPr>
            <w:tcW w:w="1641" w:type="dxa"/>
            <w:vAlign w:val="center"/>
          </w:tcPr>
          <w:p w14:paraId="3ACF5841">
            <w:pPr>
              <w:pStyle w:val="15"/>
              <w:bidi w:val="0"/>
            </w:pPr>
            <w:r>
              <w:t>/</w:t>
            </w:r>
          </w:p>
        </w:tc>
        <w:tc>
          <w:tcPr>
            <w:tcW w:w="1144" w:type="dxa"/>
            <w:vAlign w:val="center"/>
          </w:tcPr>
          <w:p w14:paraId="3F7984F6">
            <w:pPr>
              <w:pStyle w:val="15"/>
              <w:bidi w:val="0"/>
            </w:pPr>
            <w:r>
              <w:t>/</w:t>
            </w:r>
          </w:p>
        </w:tc>
      </w:tr>
      <w:tr w14:paraId="5BAA8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0" w:type="dxa"/>
            <w:vAlign w:val="center"/>
          </w:tcPr>
          <w:p w14:paraId="6A7FCC7A">
            <w:pPr>
              <w:pStyle w:val="15"/>
              <w:bidi w:val="0"/>
            </w:pPr>
            <w:r>
              <w:t>一般工业固体废物</w:t>
            </w:r>
          </w:p>
        </w:tc>
        <w:tc>
          <w:tcPr>
            <w:tcW w:w="2161" w:type="dxa"/>
            <w:vAlign w:val="center"/>
          </w:tcPr>
          <w:p w14:paraId="43D450BE">
            <w:pPr>
              <w:pStyle w:val="15"/>
              <w:bidi w:val="0"/>
              <w:rPr>
                <w:rFonts w:hint="eastAsia"/>
                <w:lang w:val="en-US" w:eastAsia="zh-CN"/>
              </w:rPr>
            </w:pPr>
            <w:r>
              <w:rPr>
                <w:rFonts w:hint="eastAsia"/>
                <w:lang w:val="en-US" w:eastAsia="zh-CN"/>
              </w:rPr>
              <w:t>/</w:t>
            </w:r>
          </w:p>
        </w:tc>
        <w:tc>
          <w:tcPr>
            <w:tcW w:w="1655" w:type="dxa"/>
            <w:vAlign w:val="center"/>
          </w:tcPr>
          <w:p w14:paraId="432A5C7E">
            <w:pPr>
              <w:pStyle w:val="15"/>
              <w:bidi w:val="0"/>
            </w:pPr>
            <w:r>
              <w:t>/</w:t>
            </w:r>
          </w:p>
        </w:tc>
        <w:tc>
          <w:tcPr>
            <w:tcW w:w="1276" w:type="dxa"/>
            <w:vAlign w:val="center"/>
          </w:tcPr>
          <w:p w14:paraId="4B2B34F3">
            <w:pPr>
              <w:pStyle w:val="15"/>
              <w:bidi w:val="0"/>
            </w:pPr>
            <w:r>
              <w:t>/</w:t>
            </w:r>
          </w:p>
        </w:tc>
        <w:tc>
          <w:tcPr>
            <w:tcW w:w="1701" w:type="dxa"/>
            <w:vAlign w:val="center"/>
          </w:tcPr>
          <w:p w14:paraId="539B2CB0">
            <w:pPr>
              <w:pStyle w:val="15"/>
              <w:bidi w:val="0"/>
            </w:pPr>
            <w:r>
              <w:t>/</w:t>
            </w:r>
          </w:p>
        </w:tc>
        <w:tc>
          <w:tcPr>
            <w:tcW w:w="1559" w:type="dxa"/>
            <w:vAlign w:val="center"/>
          </w:tcPr>
          <w:p w14:paraId="030E30AF">
            <w:pPr>
              <w:pStyle w:val="15"/>
              <w:bidi w:val="0"/>
            </w:pPr>
            <w:r>
              <w:rPr>
                <w:rFonts w:hint="eastAsia"/>
                <w:lang w:val="en-US" w:eastAsia="zh-CN"/>
              </w:rPr>
              <w:t>/</w:t>
            </w:r>
          </w:p>
        </w:tc>
        <w:tc>
          <w:tcPr>
            <w:tcW w:w="1761" w:type="dxa"/>
            <w:vAlign w:val="center"/>
          </w:tcPr>
          <w:p w14:paraId="526E6DC2">
            <w:pPr>
              <w:pStyle w:val="15"/>
              <w:bidi w:val="0"/>
            </w:pPr>
            <w:r>
              <w:t>/</w:t>
            </w:r>
          </w:p>
        </w:tc>
        <w:tc>
          <w:tcPr>
            <w:tcW w:w="1641" w:type="dxa"/>
            <w:vAlign w:val="center"/>
          </w:tcPr>
          <w:p w14:paraId="7175908E">
            <w:pPr>
              <w:pStyle w:val="15"/>
              <w:bidi w:val="0"/>
              <w:rPr>
                <w:rFonts w:hint="default"/>
                <w:lang w:val="en-US"/>
              </w:rPr>
            </w:pPr>
            <w:r>
              <w:rPr>
                <w:rFonts w:hint="eastAsia"/>
                <w:lang w:val="en-US" w:eastAsia="zh-CN"/>
              </w:rPr>
              <w:t>/</w:t>
            </w:r>
          </w:p>
        </w:tc>
        <w:tc>
          <w:tcPr>
            <w:tcW w:w="1144" w:type="dxa"/>
            <w:vAlign w:val="center"/>
          </w:tcPr>
          <w:p w14:paraId="463789B4">
            <w:pPr>
              <w:pStyle w:val="15"/>
              <w:bidi w:val="0"/>
              <w:rPr>
                <w:rFonts w:hint="eastAsia"/>
                <w:lang w:val="en-US" w:eastAsia="zh-CN"/>
              </w:rPr>
            </w:pPr>
            <w:r>
              <w:rPr>
                <w:rFonts w:hint="eastAsia"/>
                <w:lang w:val="en-US" w:eastAsia="zh-CN"/>
              </w:rPr>
              <w:t>/</w:t>
            </w:r>
          </w:p>
        </w:tc>
      </w:tr>
      <w:tr w14:paraId="354AC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0" w:type="dxa"/>
            <w:vAlign w:val="center"/>
          </w:tcPr>
          <w:p w14:paraId="4E7E6DE1">
            <w:pPr>
              <w:pStyle w:val="15"/>
              <w:bidi w:val="0"/>
            </w:pPr>
            <w:r>
              <w:t>危险废物</w:t>
            </w:r>
          </w:p>
        </w:tc>
        <w:tc>
          <w:tcPr>
            <w:tcW w:w="2161" w:type="dxa"/>
            <w:vAlign w:val="center"/>
          </w:tcPr>
          <w:p w14:paraId="634A3D15">
            <w:pPr>
              <w:pStyle w:val="15"/>
              <w:bidi w:val="0"/>
              <w:rPr>
                <w:rFonts w:hint="eastAsia"/>
                <w:lang w:val="en-US" w:eastAsia="zh-CN"/>
              </w:rPr>
            </w:pPr>
            <w:r>
              <w:rPr>
                <w:rFonts w:hint="eastAsia"/>
                <w:lang w:val="en-US" w:eastAsia="zh-CN"/>
              </w:rPr>
              <w:t>/</w:t>
            </w:r>
          </w:p>
        </w:tc>
        <w:tc>
          <w:tcPr>
            <w:tcW w:w="1655" w:type="dxa"/>
            <w:vAlign w:val="center"/>
          </w:tcPr>
          <w:p w14:paraId="3216417F">
            <w:pPr>
              <w:pStyle w:val="15"/>
              <w:bidi w:val="0"/>
            </w:pPr>
            <w:r>
              <w:t>/</w:t>
            </w:r>
          </w:p>
        </w:tc>
        <w:tc>
          <w:tcPr>
            <w:tcW w:w="1276" w:type="dxa"/>
            <w:vAlign w:val="center"/>
          </w:tcPr>
          <w:p w14:paraId="1ADB6A13">
            <w:pPr>
              <w:pStyle w:val="15"/>
              <w:bidi w:val="0"/>
            </w:pPr>
            <w:r>
              <w:t>/</w:t>
            </w:r>
          </w:p>
        </w:tc>
        <w:tc>
          <w:tcPr>
            <w:tcW w:w="1701" w:type="dxa"/>
            <w:vAlign w:val="center"/>
          </w:tcPr>
          <w:p w14:paraId="6E811292">
            <w:pPr>
              <w:pStyle w:val="15"/>
              <w:bidi w:val="0"/>
            </w:pPr>
            <w:r>
              <w:t>/</w:t>
            </w:r>
          </w:p>
        </w:tc>
        <w:tc>
          <w:tcPr>
            <w:tcW w:w="1559" w:type="dxa"/>
            <w:vAlign w:val="center"/>
          </w:tcPr>
          <w:p w14:paraId="68B269AA">
            <w:pPr>
              <w:pStyle w:val="15"/>
              <w:bidi w:val="0"/>
              <w:rPr>
                <w:rFonts w:hint="eastAsia"/>
                <w:lang w:val="en-US" w:eastAsia="zh-CN"/>
              </w:rPr>
            </w:pPr>
            <w:r>
              <w:rPr>
                <w:rFonts w:hint="eastAsia"/>
                <w:lang w:val="en-US" w:eastAsia="zh-CN"/>
              </w:rPr>
              <w:t>/</w:t>
            </w:r>
          </w:p>
        </w:tc>
        <w:tc>
          <w:tcPr>
            <w:tcW w:w="1761" w:type="dxa"/>
            <w:vAlign w:val="center"/>
          </w:tcPr>
          <w:p w14:paraId="1F8C9E10">
            <w:pPr>
              <w:pStyle w:val="15"/>
              <w:bidi w:val="0"/>
              <w:rPr>
                <w:rFonts w:hint="eastAsia"/>
                <w:lang w:val="en-US" w:eastAsia="zh-CN"/>
              </w:rPr>
            </w:pPr>
            <w:r>
              <w:rPr>
                <w:rFonts w:hint="eastAsia"/>
                <w:lang w:val="en-US" w:eastAsia="zh-CN"/>
              </w:rPr>
              <w:t>/</w:t>
            </w:r>
          </w:p>
        </w:tc>
        <w:tc>
          <w:tcPr>
            <w:tcW w:w="1641" w:type="dxa"/>
            <w:vAlign w:val="center"/>
          </w:tcPr>
          <w:p w14:paraId="70989697">
            <w:pPr>
              <w:pStyle w:val="15"/>
              <w:bidi w:val="0"/>
              <w:rPr>
                <w:rFonts w:hint="eastAsia"/>
                <w:lang w:val="en-US" w:eastAsia="zh-CN"/>
              </w:rPr>
            </w:pPr>
            <w:r>
              <w:rPr>
                <w:rFonts w:hint="eastAsia"/>
                <w:lang w:val="en-US" w:eastAsia="zh-CN"/>
              </w:rPr>
              <w:t>/</w:t>
            </w:r>
          </w:p>
        </w:tc>
        <w:tc>
          <w:tcPr>
            <w:tcW w:w="1144" w:type="dxa"/>
            <w:vAlign w:val="center"/>
          </w:tcPr>
          <w:p w14:paraId="28D60356">
            <w:pPr>
              <w:pStyle w:val="15"/>
              <w:bidi w:val="0"/>
              <w:rPr>
                <w:rFonts w:hint="eastAsia"/>
                <w:lang w:val="en-US" w:eastAsia="zh-CN"/>
              </w:rPr>
            </w:pPr>
            <w:r>
              <w:rPr>
                <w:rFonts w:hint="eastAsia"/>
                <w:lang w:val="en-US" w:eastAsia="zh-CN"/>
              </w:rPr>
              <w:t>/</w:t>
            </w:r>
          </w:p>
        </w:tc>
      </w:tr>
      <w:tr w14:paraId="0BE45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1" w:type="dxa"/>
            <w:gridSpan w:val="2"/>
            <w:vAlign w:val="center"/>
          </w:tcPr>
          <w:p w14:paraId="4B1CF205">
            <w:pPr>
              <w:pStyle w:val="15"/>
              <w:bidi w:val="0"/>
              <w:rPr>
                <w:rFonts w:hint="default"/>
                <w:lang w:val="en-US" w:eastAsia="zh-CN"/>
              </w:rPr>
            </w:pPr>
            <w:r>
              <w:rPr>
                <w:rFonts w:hint="eastAsia"/>
                <w:lang w:val="en-US" w:eastAsia="zh-CN"/>
              </w:rPr>
              <w:t>生活垃圾</w:t>
            </w:r>
          </w:p>
        </w:tc>
        <w:tc>
          <w:tcPr>
            <w:tcW w:w="1655" w:type="dxa"/>
            <w:vAlign w:val="center"/>
          </w:tcPr>
          <w:p w14:paraId="681E05D0">
            <w:pPr>
              <w:pStyle w:val="15"/>
              <w:bidi w:val="0"/>
            </w:pPr>
            <w:r>
              <w:t>/</w:t>
            </w:r>
          </w:p>
        </w:tc>
        <w:tc>
          <w:tcPr>
            <w:tcW w:w="1276" w:type="dxa"/>
            <w:vAlign w:val="center"/>
          </w:tcPr>
          <w:p w14:paraId="27E3ED31">
            <w:pPr>
              <w:pStyle w:val="15"/>
              <w:bidi w:val="0"/>
            </w:pPr>
            <w:r>
              <w:t>/</w:t>
            </w:r>
          </w:p>
        </w:tc>
        <w:tc>
          <w:tcPr>
            <w:tcW w:w="1701" w:type="dxa"/>
            <w:vAlign w:val="center"/>
          </w:tcPr>
          <w:p w14:paraId="0DB8A318">
            <w:pPr>
              <w:pStyle w:val="15"/>
              <w:bidi w:val="0"/>
            </w:pPr>
            <w:r>
              <w:t>/</w:t>
            </w:r>
          </w:p>
        </w:tc>
        <w:tc>
          <w:tcPr>
            <w:tcW w:w="1559" w:type="dxa"/>
            <w:vAlign w:val="center"/>
          </w:tcPr>
          <w:p w14:paraId="19DBB6A8">
            <w:pPr>
              <w:pStyle w:val="15"/>
              <w:bidi w:val="0"/>
              <w:rPr>
                <w:rFonts w:hint="default"/>
                <w:lang w:val="en-US" w:eastAsia="zh-CN"/>
              </w:rPr>
            </w:pPr>
            <w:r>
              <w:rPr>
                <w:rFonts w:hint="eastAsia"/>
                <w:lang w:val="en-US" w:eastAsia="zh-CN"/>
              </w:rPr>
              <w:t>/</w:t>
            </w:r>
          </w:p>
        </w:tc>
        <w:tc>
          <w:tcPr>
            <w:tcW w:w="1761" w:type="dxa"/>
            <w:vAlign w:val="center"/>
          </w:tcPr>
          <w:p w14:paraId="7A311EE6">
            <w:pPr>
              <w:pStyle w:val="15"/>
              <w:bidi w:val="0"/>
            </w:pPr>
            <w:r>
              <w:t>/</w:t>
            </w:r>
          </w:p>
        </w:tc>
        <w:tc>
          <w:tcPr>
            <w:tcW w:w="1641" w:type="dxa"/>
            <w:vAlign w:val="center"/>
          </w:tcPr>
          <w:p w14:paraId="47E799BD">
            <w:pPr>
              <w:pStyle w:val="15"/>
              <w:bidi w:val="0"/>
              <w:rPr>
                <w:rFonts w:hint="default"/>
                <w:lang w:val="en-US" w:eastAsia="zh-CN"/>
              </w:rPr>
            </w:pPr>
            <w:r>
              <w:rPr>
                <w:rFonts w:hint="eastAsia"/>
                <w:lang w:val="en-US" w:eastAsia="zh-CN"/>
              </w:rPr>
              <w:t>/</w:t>
            </w:r>
          </w:p>
        </w:tc>
        <w:tc>
          <w:tcPr>
            <w:tcW w:w="1144" w:type="dxa"/>
            <w:vAlign w:val="center"/>
          </w:tcPr>
          <w:p w14:paraId="1A46D0A7">
            <w:pPr>
              <w:pStyle w:val="15"/>
              <w:bidi w:val="0"/>
            </w:pPr>
            <w:r>
              <w:rPr>
                <w:rFonts w:hint="eastAsia"/>
                <w:lang w:val="en-US" w:eastAsia="zh-CN"/>
              </w:rPr>
              <w:t>/</w:t>
            </w:r>
          </w:p>
        </w:tc>
      </w:tr>
    </w:tbl>
    <w:p w14:paraId="262B32BA">
      <w:pPr>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p w14:paraId="7E35A26D">
      <w:pPr>
        <w:rPr>
          <w:rFonts w:hint="eastAsia" w:ascii="Times New Roman"/>
          <w:snapToGrid w:val="0"/>
          <w:spacing w:val="-6"/>
          <w:kern w:val="21"/>
          <w:szCs w:val="21"/>
          <w:lang w:val="en-US" w:eastAsia="zh-CN"/>
        </w:rPr>
      </w:pPr>
    </w:p>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0BE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800FC">
                          <w:pPr>
                            <w:pStyle w:val="8"/>
                            <w:keepNext w:val="0"/>
                            <w:keepLines w:val="0"/>
                            <w:pageBreakBefore w:val="0"/>
                            <w:widowControl/>
                            <w:kinsoku/>
                            <w:wordWrap w:val="0"/>
                            <w:overflowPunct/>
                            <w:topLinePunct/>
                            <w:bidi w:val="0"/>
                            <w:adjustRightInd w:val="0"/>
                            <w:snapToGrid w:val="0"/>
                            <w:ind w:firstLine="0" w:firstLineChars="0"/>
                            <w:textAlignment w:val="baseline"/>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6800FC">
                    <w:pPr>
                      <w:pStyle w:val="8"/>
                      <w:keepNext w:val="0"/>
                      <w:keepLines w:val="0"/>
                      <w:pageBreakBefore w:val="0"/>
                      <w:widowControl/>
                      <w:kinsoku/>
                      <w:wordWrap w:val="0"/>
                      <w:overflowPunct/>
                      <w:topLinePunct/>
                      <w:bidi w:val="0"/>
                      <w:adjustRightInd w:val="0"/>
                      <w:snapToGrid w:val="0"/>
                      <w:ind w:firstLine="0" w:firstLineChars="0"/>
                      <w:textAlignment w:val="baseline"/>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57285"/>
    <w:multiLevelType w:val="singleLevel"/>
    <w:tmpl w:val="C3D57285"/>
    <w:lvl w:ilvl="0" w:tentative="0">
      <w:start w:val="3"/>
      <w:numFmt w:val="decimal"/>
      <w:lvlText w:val="%1."/>
      <w:lvlJc w:val="left"/>
      <w:pPr>
        <w:tabs>
          <w:tab w:val="left" w:pos="312"/>
        </w:tabs>
      </w:pPr>
    </w:lvl>
  </w:abstractNum>
  <w:abstractNum w:abstractNumId="1">
    <w:nsid w:val="F055DC9C"/>
    <w:multiLevelType w:val="singleLevel"/>
    <w:tmpl w:val="F055DC9C"/>
    <w:lvl w:ilvl="0" w:tentative="0">
      <w:start w:val="1"/>
      <w:numFmt w:val="decimal"/>
      <w:lvlText w:val="%1."/>
      <w:lvlJc w:val="left"/>
      <w:pPr>
        <w:tabs>
          <w:tab w:val="left" w:pos="312"/>
        </w:tabs>
      </w:pPr>
    </w:lvl>
  </w:abstractNum>
  <w:abstractNum w:abstractNumId="2">
    <w:nsid w:val="356C20FC"/>
    <w:multiLevelType w:val="singleLevel"/>
    <w:tmpl w:val="356C20FC"/>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C186E"/>
    <w:rsid w:val="00B30535"/>
    <w:rsid w:val="044177F6"/>
    <w:rsid w:val="0B0F3C97"/>
    <w:rsid w:val="0DD443E6"/>
    <w:rsid w:val="0E863FAF"/>
    <w:rsid w:val="24C51723"/>
    <w:rsid w:val="2B012F7F"/>
    <w:rsid w:val="2EC41B6D"/>
    <w:rsid w:val="5AA31152"/>
    <w:rsid w:val="621C186E"/>
    <w:rsid w:val="7812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wordWrap w:val="0"/>
      <w:topLinePunct/>
      <w:autoSpaceDE/>
      <w:autoSpaceDN/>
      <w:adjustRightInd w:val="0"/>
      <w:snapToGrid w:val="0"/>
      <w:spacing w:line="360" w:lineRule="auto"/>
      <w:ind w:firstLine="1456" w:firstLineChars="200"/>
      <w:jc w:val="left"/>
      <w:textAlignment w:val="baseline"/>
    </w:pPr>
    <w:rPr>
      <w:rFonts w:ascii="Times New Roman" w:hAnsi="Times New Roman" w:eastAsia="宋体" w:cs="Times New Roman"/>
      <w:snapToGrid w:val="0"/>
      <w:color w:val="000000"/>
      <w:kern w:val="0"/>
      <w:sz w:val="24"/>
      <w:szCs w:val="24"/>
      <w:lang w:val="en-US" w:eastAsia="en-US" w:bidi="ar-SA"/>
    </w:rPr>
  </w:style>
  <w:style w:type="paragraph" w:styleId="2">
    <w:name w:val="heading 1"/>
    <w:basedOn w:val="1"/>
    <w:next w:val="1"/>
    <w:qFormat/>
    <w:uiPriority w:val="0"/>
    <w:pPr>
      <w:keepNext/>
      <w:pageBreakBefore/>
      <w:spacing w:before="0" w:beforeAutospacing="0" w:after="0" w:afterAutospacing="0"/>
      <w:ind w:firstLine="0" w:firstLineChars="0"/>
      <w:jc w:val="center"/>
      <w:outlineLvl w:val="0"/>
    </w:pPr>
    <w:rPr>
      <w:rFonts w:cs="Times New Roman"/>
      <w:b/>
      <w:color w:val="auto"/>
      <w:sz w:val="30"/>
      <w:szCs w:val="30"/>
      <w:highlight w:val="none"/>
    </w:rPr>
  </w:style>
  <w:style w:type="paragraph" w:styleId="3">
    <w:name w:val="heading 2"/>
    <w:basedOn w:val="1"/>
    <w:next w:val="1"/>
    <w:unhideWhenUsed/>
    <w:qFormat/>
    <w:uiPriority w:val="0"/>
    <w:pPr>
      <w:ind w:firstLine="0" w:firstLineChars="0"/>
      <w:outlineLvl w:val="1"/>
    </w:pPr>
    <w:rPr>
      <w:b/>
      <w:bCs/>
      <w:sz w:val="28"/>
      <w:szCs w:val="28"/>
    </w:rPr>
  </w:style>
  <w:style w:type="paragraph" w:styleId="4">
    <w:name w:val="heading 3"/>
    <w:basedOn w:val="1"/>
    <w:next w:val="1"/>
    <w:unhideWhenUsed/>
    <w:qFormat/>
    <w:uiPriority w:val="0"/>
    <w:pPr>
      <w:ind w:firstLine="0" w:firstLineChars="0"/>
      <w:outlineLvl w:val="2"/>
    </w:pPr>
    <w:rPr>
      <w:b/>
      <w:bCs/>
      <w:lang w:eastAsia="zh-CN"/>
    </w:rPr>
  </w:style>
  <w:style w:type="paragraph" w:styleId="5">
    <w:name w:val="heading 4"/>
    <w:basedOn w:val="1"/>
    <w:next w:val="1"/>
    <w:qFormat/>
    <w:uiPriority w:val="0"/>
    <w:pPr>
      <w:ind w:firstLine="0" w:firstLineChars="0"/>
      <w:outlineLvl w:val="3"/>
    </w:pPr>
    <w:rPr>
      <w:b/>
      <w:bCs/>
      <w:lang w:eastAsia="zh-CN"/>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7">
    <w:name w:val="caption"/>
    <w:basedOn w:val="1"/>
    <w:next w:val="1"/>
    <w:unhideWhenUsed/>
    <w:qFormat/>
    <w:uiPriority w:val="0"/>
    <w:rPr>
      <w:rFonts w:ascii="Arial" w:hAnsi="Arial" w:eastAsia="黑体"/>
      <w:sz w:val="20"/>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header"/>
    <w:basedOn w:val="1"/>
    <w:next w:val="1"/>
    <w:link w:val="20"/>
    <w:qFormat/>
    <w:uiPriority w:val="0"/>
    <w:pPr>
      <w:pBdr>
        <w:bottom w:val="single" w:color="auto" w:sz="6" w:space="1"/>
      </w:pBdr>
      <w:tabs>
        <w:tab w:val="center" w:pos="4153"/>
        <w:tab w:val="right" w:pos="8306"/>
      </w:tabs>
      <w:snapToGrid w:val="0"/>
      <w:jc w:val="center"/>
    </w:pPr>
    <w:rPr>
      <w:kern w:val="0"/>
      <w:sz w:val="18"/>
      <w:szCs w:val="20"/>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表格"/>
    <w:next w:val="1"/>
    <w:autoRedefine/>
    <w:qFormat/>
    <w:uiPriority w:val="0"/>
    <w:pPr>
      <w:spacing w:afterAutospacing="0" w:line="240" w:lineRule="auto"/>
      <w:ind w:left="0" w:firstLine="0" w:firstLineChars="0"/>
      <w:jc w:val="center"/>
    </w:pPr>
    <w:rPr>
      <w:rFonts w:ascii="Times New Roman" w:hAnsi="Times New Roman" w:eastAsia="宋体" w:cs="Times New Roman"/>
      <w:sz w:val="21"/>
      <w:szCs w:val="21"/>
    </w:rPr>
  </w:style>
  <w:style w:type="paragraph" w:customStyle="1" w:styleId="16">
    <w:name w:val="表头"/>
    <w:basedOn w:val="1"/>
    <w:next w:val="1"/>
    <w:uiPriority w:val="0"/>
    <w:pPr>
      <w:spacing w:before="50" w:beforeLines="50" w:line="240" w:lineRule="auto"/>
      <w:ind w:firstLine="0" w:firstLineChars="0"/>
      <w:jc w:val="center"/>
    </w:pPr>
    <w:rPr>
      <w:b/>
      <w:bCs/>
      <w:color w:val="auto"/>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图注"/>
    <w:basedOn w:val="1"/>
    <w:uiPriority w:val="0"/>
    <w:pPr>
      <w:spacing w:after="50" w:afterLines="50" w:line="240" w:lineRule="auto"/>
      <w:ind w:firstLine="0" w:firstLineChars="0"/>
      <w:jc w:val="center"/>
    </w:pPr>
    <w:rPr>
      <w:b/>
      <w:bCs/>
      <w:sz w:val="21"/>
      <w:szCs w:val="21"/>
    </w:rPr>
  </w:style>
  <w:style w:type="paragraph" w:customStyle="1" w:styleId="19">
    <w:name w:val="公式"/>
    <w:basedOn w:val="1"/>
    <w:uiPriority w:val="0"/>
    <w:pPr>
      <w:spacing w:line="360" w:lineRule="auto"/>
      <w:ind w:firstLine="0" w:firstLineChars="0"/>
      <w:jc w:val="center"/>
    </w:pPr>
    <w:rPr>
      <w:rFonts w:hint="eastAsia"/>
      <w:spacing w:val="-6"/>
      <w:sz w:val="28"/>
      <w:szCs w:val="28"/>
      <w:lang w:eastAsia="zh-CN"/>
    </w:rPr>
  </w:style>
  <w:style w:type="character" w:customStyle="1" w:styleId="20">
    <w:name w:val="页眉 Char"/>
    <w:link w:val="9"/>
    <w:uiPriority w:val="0"/>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02f1d28e-ceef-431a-95e1-0e7e4a3a6927</errorID>
      <errorWord>"</errorWord>
      <group>L1_Format</group>
      <groupName>格式问题</groupName>
      <ability>L2_HalfPunc</ability>
      <abilityName>全半角检查</abilityName>
      <candidateList/>
      <explain>文本全半角错误。</explain>
      <paraID>5563801D</paraID>
      <start>15</start>
      <end>16</end>
      <status>ignored</status>
      <modifiedWord/>
      <trackRevisions>false</trackRevisions>
    </reviewItem>
    <reviewItem>
      <errorID>0e22d342-99d8-413b-9d15-0630b3b6abf6</errorID>
      <errorWord>"</errorWord>
      <group>L1_Format</group>
      <groupName>格式问题</groupName>
      <ability>L2_HalfPunc</ability>
      <abilityName>全半角检查</abilityName>
      <candidateList/>
      <explain>文本全半角错误。</explain>
      <paraID>5563801D</paraID>
      <start>31</start>
      <end>32</end>
      <status>ignored</status>
      <modifiedWord/>
      <trackRevisions>false</trackRevisions>
    </reviewItem>
    <reviewItem>
      <errorID>3a7679a9-8b1f-4664-934d-577bc41cccdc</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40389502</paraID>
      <start>0</start>
      <end>4</end>
      <status>modified</status>
      <modifiedWord>无须设置</modifiedWord>
      <trackRevisions>false</trackRevisions>
    </reviewItem>
    <reviewItem>
      <errorID>c9dfabb6-46d6-42c0-8eda-7f603ca0832f</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6FB85157</paraID>
      <start>0</start>
      <end>4</end>
      <status>modified</status>
      <modifiedWord>无须设置</modifiedWord>
      <trackRevisions>false</trackRevisions>
    </reviewItem>
    <reviewItem>
      <errorID>5866ede3-03ac-4072-b8f6-d00993568c84</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5322CC04</paraID>
      <start>0</start>
      <end>4</end>
      <status>modified</status>
      <modifiedWord>无须设置</modifiedWord>
      <trackRevisions>false</trackRevisions>
    </reviewItem>
    <reviewItem>
      <errorID>a88d3bba-77ce-46c0-aef1-6efc7e83d4d4</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62AA6BF3</paraID>
      <start>0</start>
      <end>4</end>
      <status>modified</status>
      <modifiedWord>无须设置</modifiedWord>
      <trackRevisions>false</trackRevisions>
    </reviewItem>
    <reviewItem>
      <errorID>414c4feb-c647-42ca-ae2d-fede08800a75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6DEE4D57</paraID>
      <start>25</start>
      <end>26</end>
      <status>modified</status>
      <modifiedWord>—</modifiedWord>
      <trackRevisions>false</trackRevisions>
    </reviewItem>
    <reviewItem>
      <errorID>df998ed1-c937-46d9-a689-8e749a90a8d7</errorID>
      <errorWord>：/</errorWord>
      <group>L1_Punc</group>
      <groupName>标点问题</groupName>
      <ability>L2_Punc</ability>
      <abilityName>标点符号检查</abilityName>
      <candidateList>
        <item>：</item>
      </candidateList>
      <explain/>
      <paraID>795EAE22</paraID>
      <start>4</start>
      <end>5</end>
      <status>modified</status>
      <modifiedWord>：</modifiedWord>
      <trackRevisions>false</trackRevisions>
    </reviewItem>
    <reviewItem>
      <errorID>0d732464-7fe9-4e02-91f8-3711b7f407a9</errorID>
      <errorWord>：/</errorWord>
      <group>L1_Punc</group>
      <groupName>标点问题</groupName>
      <ability>L2_Punc</ability>
      <abilityName>标点符号检查</abilityName>
      <candidateList>
        <item>：</item>
      </candidateList>
      <explain/>
      <paraID>14ABC8D5</paraID>
      <start>4</start>
      <end>5</end>
      <status>modified</status>
      <modifiedWord>：</modifiedWord>
      <trackRevisions>false</trackRevisions>
    </reviewItem>
    <reviewItem>
      <errorID>96cfde3c-df5d-4189-94e9-e65aff1a9279</errorID>
      <errorWord>(</errorWord>
      <group>L1_Format</group>
      <groupName>格式问题</groupName>
      <ability>L2_HalfPunc</ability>
      <abilityName>全半角检查</abilityName>
      <candidateList>
        <item>（</item>
      </candidateList>
      <explain>文本全半角错误。</explain>
      <paraID>11213178</paraID>
      <start>24</start>
      <end>25</end>
      <status>modified</status>
      <modifiedWord>（</modifiedWord>
      <trackRevisions>false</trackRevisions>
    </reviewItem>
    <reviewItem>
      <errorID>78f7c1d9-c830-4774-8b2d-47d7c2a2d5a8</errorID>
      <errorWord>一</errorWord>
      <group>L1_Word</group>
      <groupName>字词问题</groupName>
      <ability>L2_Typo</ability>
      <abilityName>字词错误</abilityName>
      <candidateList>
        <item>—</item>
      </candidateList>
      <explain/>
      <paraID>11213178</paraID>
      <start>29</start>
      <end>30</end>
      <status>modified</status>
      <modifiedWord>—</modifiedWord>
      <trackRevisions>false</trackRevisions>
    </reviewItem>
    <reviewItem>
      <errorID>d57ff30d-e750-44df-a8b7-0ae7a29aa6f5</errorID>
      <errorWord>)</errorWord>
      <group>L1_Format</group>
      <groupName>格式问题</groupName>
      <ability>L2_HalfPunc</ability>
      <abilityName>全半角检查</abilityName>
      <candidateList>
        <item>）</item>
      </candidateList>
      <explain>文本全半角错误。</explain>
      <paraID>11213178</paraID>
      <start>34</start>
      <end>35</end>
      <status>modified</status>
      <modifiedWord>）</modifiedWord>
      <trackRevisions>false</trackRevisions>
    </reviewItem>
    <reviewItem>
      <errorID>6328b3e4-73b3-469e-80aa-aaed64201633</errorID>
      <errorWord>[2025]8号</errorWord>
      <group>L1_Knowledge</group>
      <groupName>知识性问题</groupName>
      <ability>L2_Knowledge</ability>
      <abilityName>其他知识</abilityName>
      <candidateList>
        <item>〔2025〕8号</item>
      </candidateList>
      <explain>发文字号格式错误。</explain>
      <paraID>68B13BB9</paraID>
      <start>8</start>
      <end>16</end>
      <status>modified</status>
      <modifiedWord>〔2025〕8号</modifiedWord>
      <trackRevisions>false</trackRevisions>
    </reviewItem>
    <reviewItem>
      <errorID>964c652d-16ec-496c-b167-a8a3671dabb1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6AA5017D</paraID>
      <start>27</start>
      <end>28</end>
      <status>modified</status>
      <modifiedWord>—</modifiedWord>
      <trackRevisions>false</trackRevisions>
    </reviewItem>
    <reviewItem>
      <errorID>45037243-dedf-4b65-a4c7-f8a7896964f6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40214C5F</paraID>
      <start>27</start>
      <end>28</end>
      <status>modified</status>
      <modifiedWord>—</modifiedWord>
      <trackRevisions>false</trackRevisions>
    </reviewItem>
    <reviewItem>
      <errorID>db03c9d3-d0c8-4554-9e54-6cab84a0c126</errorID>
      <errorWord>(</errorWord>
      <group>L1_Format</group>
      <groupName>格式问题</groupName>
      <ability>L2_HalfPunc</ability>
      <abilityName>全半角检查</abilityName>
      <candidateList>
        <item>（</item>
      </candidateList>
      <explain>文本全半角错误。</explain>
      <paraID>354BFDE7</paraID>
      <start>29</start>
      <end>30</end>
      <status>modified</status>
      <modifiedWord>（</modifiedWord>
      <trackRevisions>false</trackRevisions>
    </reviewItem>
    <reviewItem>
      <errorID>bb03b257-ebf3-4553-8fdc-5d8702928bae</errorID>
      <errorWord>一</errorWord>
      <group>L1_Word</group>
      <groupName>字词问题</groupName>
      <ability>L2_Typo</ability>
      <abilityName>字词错误</abilityName>
      <candidateList>
        <item>—</item>
      </candidateList>
      <explain/>
      <paraID>354BFDE7</paraID>
      <start>34</start>
      <end>35</end>
      <status>modified</status>
      <modifiedWord>—</modifiedWord>
      <trackRevisions>false</trackRevisions>
    </reviewItem>
    <reviewItem>
      <errorID>87eceaa2-8de3-45b1-bd59-269f509d07b5</errorID>
      <errorWord>)</errorWord>
      <group>L1_Format</group>
      <groupName>格式问题</groupName>
      <ability>L2_HalfPunc</ability>
      <abilityName>全半角检查</abilityName>
      <candidateList>
        <item>）</item>
      </candidateList>
      <explain>文本全半角错误。</explain>
      <paraID>354BFDE7</paraID>
      <start>40</start>
      <end>41</end>
      <status>modified</status>
      <modifiedWord>）</modifiedWord>
      <trackRevisions>false</trackRevisions>
    </reviewItem>
    <reviewItem>
      <errorID>6111cc36-4a46-4253-a8d4-58d5094aae62</errorID>
      <errorWord>(</errorWord>
      <group>L1_Format</group>
      <groupName>格式问题</groupName>
      <ability>L2_HalfPunc</ability>
      <abilityName>全半角检查</abilityName>
      <candidateList>
        <item>（</item>
      </candidateList>
      <explain>文本全半角错误。</explain>
      <paraID> 5F37DA6</paraID>
      <start>29</start>
      <end>30</end>
      <status>modified</status>
      <modifiedWord>（</modifiedWord>
      <trackRevisions>false</trackRevisions>
    </reviewItem>
    <reviewItem>
      <errorID>9d6f123b-3a12-4466-b6a2-41b5d2b51ac6</errorID>
      <errorWord>一</errorWord>
      <group>L1_Word</group>
      <groupName>字词问题</groupName>
      <ability>L2_Typo</ability>
      <abilityName>字词错误</abilityName>
      <candidateList>
        <item>—</item>
      </candidateList>
      <explain/>
      <paraID> 5F37DA6</paraID>
      <start>34</start>
      <end>35</end>
      <status>modified</status>
      <modifiedWord>—</modifiedWord>
      <trackRevisions>false</trackRevisions>
    </reviewItem>
    <reviewItem>
      <errorID>363365e1-2303-43dd-abe5-cf47cc490804</errorID>
      <errorWord>)</errorWord>
      <group>L1_Format</group>
      <groupName>格式问题</groupName>
      <ability>L2_HalfPunc</ability>
      <abilityName>全半角检查</abilityName>
      <candidateList>
        <item>）</item>
      </candidateList>
      <explain>文本全半角错误。</explain>
      <paraID> 5F37DA6</paraID>
      <start>40</start>
      <end>41</end>
      <status>modified</status>
      <modifiedWord>）</modifiedWord>
      <trackRevisions>false</trackRevisions>
    </reviewItem>
    <reviewItem>
      <errorID>619f7ce1-14bb-46ff-bc48-18b83918a643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467B0FA3</paraID>
      <start>23</start>
      <end>24</end>
      <status>modified</status>
      <modifiedWord>—</modifiedWord>
      <trackRevisions>false</trackRevisions>
    </reviewItem>
    <reviewItem>
      <errorID>b2d052d6-912a-4b62-8da6-45fb4ce8551c</errorID>
      <errorWord>技术开发</errorWord>
      <group>L1_Word</group>
      <groupName>字词问题</groupName>
      <ability>L2_Typo</ability>
      <abilityName>字词错误</abilityName>
      <candidateList>
        <item>技术开发区</item>
      </candidateList>
      <explain/>
      <paraID>74B2324C</paraID>
      <start>8</start>
      <end>13</end>
      <status>modified</status>
      <modifiedWord>技术开发区</modifiedWord>
      <trackRevisions>false</trackRevisions>
    </reviewItem>
    <reviewItem>
      <errorID>eac66c3d-2f94-4030-a72e-c16e0aac7348</errorID>
      <errorWord>“</errorWord>
      <group>L1_Punc</group>
      <groupName>标点问题</groupName>
      <ability>L2_Punc</ability>
      <abilityName>标点符号检查</abilityName>
      <candidateList>
        <item/>
      </candidateList>
      <explain/>
      <paraID>79C7739B</paraID>
      <start>114</start>
      <end>114</end>
      <status>modified</status>
      <modifiedWord/>
      <trackRevisions>false</trackRevisions>
    </reviewItem>
    <reviewItem>
      <errorID>d775bd62-39ff-43e4-8a03-f76ac9e7be95</errorID>
      <errorWord>主导产业</errorWord>
      <group>L1_Word</group>
      <groupName>字词问题</groupName>
      <ability>L2_Typo</ability>
      <abilityName>字词错误</abilityName>
      <candidateList>
        <item>产业为主导</item>
      </candidateList>
      <explain/>
      <paraID>79C7739B</paraID>
      <start>126</start>
      <end>130</end>
      <status>ignored</status>
      <modifiedWord/>
      <trackRevisions>false</trackRevisions>
    </reviewItem>
    <reviewItem>
      <errorID>9ad9cf42-cd30-42f8-a881-1af9b04d6b00</errorID>
      <errorWord>精细化工</errorWord>
      <group>L1_Word</group>
      <groupName>字词问题</groupName>
      <ability>L2_Typo</ability>
      <abilityName>字词错误</abilityName>
      <candidateList>
        <item>以精细化工</item>
      </candidateList>
      <explain/>
      <paraID>271B2E01</paraID>
      <start>117</start>
      <end>121</end>
      <status>ignored</status>
      <modifiedWord/>
      <trackRevisions>false</trackRevisions>
    </reviewItem>
    <reviewItem>
      <errorID>3ec19e56-f8f2-41ad-9450-0cf2113d3f7c</errorID>
      <errorWord>；</errorWord>
      <group>L1_Word</group>
      <groupName>字词问题</groupName>
      <ability>L2_Typo</ability>
      <abilityName>字词错误</abilityName>
      <candidateList>
        <item>，以</item>
      </candidateList>
      <explain/>
      <paraID>271B2E01</paraID>
      <start>130</start>
      <end>131</end>
      <status>ignored</status>
      <modifiedWord/>
      <trackRevisions>false</trackRevisions>
    </reviewItem>
    <reviewItem>
      <errorID>188ea462-6324-4f23-9604-73c5761b6a04</errorID>
      <errorWord>；</errorWord>
      <group>L1_Punc</group>
      <groupName>标点问题</groupName>
      <ability>L2_Punc</ability>
      <abilityName>标点符号检查</abilityName>
      <candidateList>
        <item>，</item>
      </candidateList>
      <explain/>
      <paraID>271B2E01</paraID>
      <start>146</start>
      <end>147</end>
      <status>ignored</status>
      <modifiedWord/>
      <trackRevisions>false</trackRevisions>
    </reviewItem>
    <reviewItem>
      <errorID>1ed19afa-0fd0-453d-acf2-3b2c523524f9</errorID>
      <errorWord>件</errorWord>
      <group>L1_Word</group>
      <groupName>字词问题</groupName>
      <ability>L2_Typo</ability>
      <abilityName>字词错误</abilityName>
      <candidateList>
        <item>件等</item>
      </candidateList>
      <explain/>
      <paraID>271B2E01</paraID>
      <start>170</start>
      <end>171</end>
      <status>ignored</status>
      <modifiedWord/>
      <trackRevisions>false</trackRevisions>
    </reviewItem>
    <reviewItem>
      <errorID>217c98c2-d35c-4f28-af51-7dd801036473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1FD04EB5</paraID>
      <start>30</start>
      <end>31</end>
      <status>modified</status>
      <modifiedWord>—</modifiedWord>
      <trackRevisions>false</trackRevisions>
    </reviewItem>
    <reviewItem>
      <errorID>a38d7735-dca9-4f5a-b2d7-7ecf51c596ff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3ABFEB50</paraID>
      <start>120</start>
      <end>121</end>
      <status>modified</status>
      <modifiedWord>—</modifiedWord>
      <trackRevisions>false</trackRevisions>
    </reviewItem>
    <reviewItem>
      <errorID>f5a70ec9-7cf8-4a76-b48a-21b4e43b4a3a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77BA0BCA</paraID>
      <start>23</start>
      <end>24</end>
      <status>modified</status>
      <modifiedWord>—</modifiedWord>
      <trackRevisions>false</trackRevisions>
    </reviewItem>
    <reviewItem>
      <errorID>c37b66af-df12-45c5-9260-aef3eb3015e9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2932C536</paraID>
      <start>23</start>
      <end>24</end>
      <status>modified</status>
      <modifiedWord>—</modifiedWord>
      <trackRevisions>false</trackRevisions>
    </reviewItem>
    <reviewItem>
      <errorID>5949bf9d-3544-488b-8a96-86fbd3397194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7C7AD17E</paraID>
      <start>46</start>
      <end>47</end>
      <status>modified</status>
      <modifiedWord>—</modifiedWord>
      <trackRevisions>false</trackRevisions>
    </reviewItem>
    <reviewItem>
      <errorID>5889d671-fa56-4bd6-a7a3-7e2ed27518fc</errorID>
      <errorWord>〔2021）8号</errorWord>
      <group>L1_Knowledge</group>
      <groupName>知识性问题</groupName>
      <ability>L2_Knowledge</ability>
      <abilityName>其他知识</abilityName>
      <candidateList>
        <item>〔2021〕8号</item>
      </candidateList>
      <explain>发文字号格式错误。</explain>
      <paraID>4371C02B</paraID>
      <start>174</start>
      <end>182</end>
      <status>modified</status>
      <modifiedWord>〔2021〕8号</modifiedWord>
      <trackRevisions>false</trackRevisions>
    </reviewItem>
    <reviewItem>
      <errorID>cf2da633-2dc9-4212-9505-472c9ebfa711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4371C02B</paraID>
      <start>182</start>
      <end>183</end>
      <status>ignored</status>
      <modifiedWord/>
      <trackRevisions>false</trackRevisions>
    </reviewItem>
    <reviewItem>
      <errorID>37bf7d0a-69f6-4d81-974c-bbdcd386e730</errorID>
      <errorWord>实现</errorWord>
      <group>L1_Word</group>
      <groupName>字词问题</groupName>
      <ability>L2_Typo</ability>
      <abilityName>字词错误</abilityName>
      <candidateList>
        <item>实行</item>
      </candidateList>
      <explain>〈动〉用行动来实现（纲领、政策、计划等）：～改革｜～承包责任制。</explain>
      <paraID>4371C02B</paraID>
      <start>328</start>
      <end>330</end>
      <status>ignored</status>
      <modifiedWord/>
      <trackRevisions>false</trackRevisions>
    </reviewItem>
    <reviewItem>
      <errorID>af129d26-b6f2-4b18-bb03-359e3101c66b</errorID>
      <errorWord>衔接</errorWord>
      <group>L1_Punc</group>
      <groupName>标点问题</groupName>
      <ability>L2_Punc</ability>
      <abilityName>标点符号检查</abilityName>
      <candidateList>
        <item>，衔接</item>
      </candidateList>
      <explain/>
      <paraID>5C291A82</paraID>
      <start>135</start>
      <end>137</end>
      <status>ignored</status>
      <modifiedWord/>
      <trackRevisions>false</trackRevisions>
    </reviewItem>
    <reviewItem>
      <errorID>950a400f-6383-4e78-a046-a6052c569995</errorID>
      <errorWord>从</errorWord>
      <group>L1_Punc</group>
      <groupName>标点问题</groupName>
      <ability>L2_Punc</ability>
      <abilityName>标点符号检查</abilityName>
      <candidateList>
        <item>，从</item>
      </candidateList>
      <explain/>
      <paraID>5C291A82</paraID>
      <start>220</start>
      <end>221</end>
      <status>ignored</status>
      <modifiedWord/>
      <trackRevisions>false</trackRevisions>
    </reviewItem>
    <reviewItem>
      <errorID>5e6c599c-f5b1-4f31-9d0b-1d7d365e33b4</errorID>
      <errorWord>达标排放</errorWord>
      <group>L1_Punc</group>
      <groupName>标点问题</groupName>
      <ability>L2_Punc</ability>
      <abilityName>标点符号检查</abilityName>
      <candidateList>
        <item>达标排放。</item>
      </candidateList>
      <explain/>
      <paraID> 790DF04</paraID>
      <start>50</start>
      <end>55</end>
      <status>modified</status>
      <modifiedWord>达标排放。</modifiedWord>
      <trackRevisions>false</trackRevisions>
    </reviewItem>
    <reviewItem>
      <errorID>34c0297e-567f-4ecb-a8d2-968c45c2b9f8</errorID>
      <errorWord>上线</errorWord>
      <group>L1_Word</group>
      <groupName>字词问题</groupName>
      <ability>L2_Typo</ability>
      <abilityName>字词错误</abilityName>
      <candidateList>
        <item>上限</item>
      </candidateList>
      <explain/>
      <paraID>20E0D237</paraID>
      <start>273</start>
      <end>275</end>
      <status>ignored</status>
      <modifiedWord/>
      <trackRevisions>false</trackRevisions>
    </reviewItem>
    <reviewItem>
      <errorID>a9f807d0-f380-4093-a3d0-813eac6ccf52</errorID>
      <errorWord>指标，土地</errorWord>
      <group>L1_Grammar</group>
      <groupName>语法问题</groupName>
      <ability>L2_Grammar</ability>
      <abilityName>语法错误</abilityName>
      <candidateList>
        <item>指标</item>
      </candidateList>
      <explain/>
      <paraID>20E0D237</paraID>
      <start>275</start>
      <end>280</end>
      <status>ignored</status>
      <modifiedWord/>
      <trackRevisions>false</trackRevisions>
    </reviewItem>
    <reviewItem>
      <errorID>3a14d9d7-e018-490b-9767-9b5a3ec3c59e</errorID>
      <errorWord>项目项目</errorWord>
      <group>L1_Word</group>
      <groupName>字词问题</groupName>
      <ability>L2_Typo</ability>
      <abilityName>字词错误</abilityName>
      <candidateList>
        <item>项目</item>
      </candidateList>
      <explain>〈名〉事物分成的门类：服务～｜体育～｜建设～。</explain>
      <paraID>3910CD72</paraID>
      <start>18</start>
      <end>20</end>
      <status>modified</status>
      <modifiedWord>项目</modifiedWord>
      <trackRevisions>false</trackRevisions>
    </reviewItem>
    <reviewItem>
      <errorID>691ca426-0abe-4f59-87a9-e9ab5fc7266a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35A8AF6E</paraID>
      <start>96</start>
      <end>97</end>
      <status>modified</status>
      <modifiedWord>—</modifiedWord>
      <trackRevisions>false</trackRevisions>
    </reviewItem>
    <reviewItem>
      <errorID>f9735061-3515-4fc5-b85a-6112a0943c31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5A41DD98</paraID>
      <start>31</start>
      <end>32</end>
      <status>modified</status>
      <modifiedWord>—</modifiedWord>
      <trackRevisions>false</trackRevisions>
    </reviewItem>
    <reviewItem>
      <errorID>36aa2253-780f-493c-a426-a01e57349165</errorID>
      <errorWord>报告</errorWord>
      <group>L1_Word</group>
      <groupName>字词问题</groupName>
      <ability>L2_Typo</ability>
      <abilityName>字词错误</abilityName>
      <candidateList>
        <item>报告书</item>
      </candidateList>
      <explain/>
      <paraID>5A41DD98</paraID>
      <start>42</start>
      <end>45</end>
      <status>modified</status>
      <modifiedWord>报告书</modifiedWord>
      <trackRevisions>false</trackRevisions>
    </reviewItem>
    <reviewItem>
      <errorID>95544278-3939-4fb5-aa42-1a57fe0012e2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62DFDBD2</paraID>
      <start>53</start>
      <end>54</end>
      <status>modified</status>
      <modifiedWord>—</modifiedWord>
      <trackRevisions>false</trackRevisions>
    </reviewItem>
    <reviewItem>
      <errorID>9c0f5593-7b39-45a3-a749-396ccc7415af</errorID>
      <errorWord>报告</errorWord>
      <group>L1_Word</group>
      <groupName>字词问题</groupName>
      <ability>L2_Typo</ability>
      <abilityName>字词错误</abilityName>
      <candidateList>
        <item>报告书</item>
      </candidateList>
      <explain/>
      <paraID>62DFDBD2</paraID>
      <start>64</start>
      <end>67</end>
      <status>modified</status>
      <modifiedWord>报告书</modifiedWord>
      <trackRevisions>false</trackRevisions>
    </reviewItem>
    <reviewItem>
      <errorID>482c5d74-09c7-412b-8eac-c89a8373c2a2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798FA700</paraID>
      <start>0</start>
      <end>3</end>
      <status>modified</status>
      <modifiedWord>（一）</modifiedWord>
      <trackRevisions>false</trackRevisions>
    </reviewItem>
    <reviewItem>
      <errorID>5d83eec5-d410-4b4e-83a4-aab1744e81bb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122EF911</paraID>
      <start>0</start>
      <end>3</end>
      <status>modified</status>
      <modifiedWord>（二）</modifiedWord>
      <trackRevisions>false</trackRevisions>
    </reviewItem>
    <reviewItem>
      <errorID>6eb80e3e-8ed0-406a-8655-e8821192ce24</errorID>
      <errorWord>、</errorWord>
      <group>L1_Grammar</group>
      <groupName>语法问题</groupName>
      <ability>L2_Grammar</ability>
      <abilityName>语法错误</abilityName>
      <candidateList>
        <item>要求，</item>
      </candidateList>
      <explain/>
      <paraID>40C305CC</paraID>
      <start>18</start>
      <end>21</end>
      <status>modified</status>
      <modifiedWord>要求，</modifiedWord>
      <trackRevisions>false</trackRevisions>
    </reviewItem>
    <reviewItem>
      <errorID>cd1607e5-dd6d-4cf5-95ad-ce419f6601e7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7B01B28</paraID>
      <start>0</start>
      <end>3</end>
      <status>modified</status>
      <modifiedWord>（三）</modifiedWord>
      <trackRevisions>false</trackRevisions>
    </reviewItem>
    <reviewItem>
      <errorID>aaf94390-6b0f-4050-b8b3-90ab44792d32</errorID>
      <errorWord>上线</errorWord>
      <group>L1_Word</group>
      <groupName>字词问题</groupName>
      <ability>L2_Typo</ability>
      <abilityName>字词错误</abilityName>
      <candidateList>
        <item>上限</item>
      </candidateList>
      <explain/>
      <paraID> 7B01B28</paraID>
      <start>259</start>
      <end>261</end>
      <status>ignored</status>
      <modifiedWord/>
      <trackRevisions>false</trackRevisions>
    </reviewItem>
    <reviewItem>
      <errorID>16432e70-f4c1-4962-9380-cd6509eb32bc</errorID>
      <errorWord>上线</errorWord>
      <group>L1_Word</group>
      <groupName>字词问题</groupName>
      <ability>L2_Typo</ability>
      <abilityName>字词错误</abilityName>
      <candidateList>
        <item>上限</item>
      </candidateList>
      <explain/>
      <paraID>679DDC39</paraID>
      <start>8</start>
      <end>10</end>
      <status>ignored</status>
      <modifiedWord/>
      <trackRevisions>false</trackRevisions>
    </reviewItem>
    <reviewItem>
      <errorID>7f01bf8d-1899-410b-a4b6-48a1b461507a</errorID>
      <errorWord>，</errorWord>
      <group>L1_Grammar</group>
      <groupName>语法问题</groupName>
      <ability>L2_Grammar</ability>
      <abilityName>语法错误</abilityName>
      <candidateList>
        <item>要求，</item>
      </candidateList>
      <explain/>
      <paraID>679DDC39</paraID>
      <start>10</start>
      <end>13</end>
      <status>modified</status>
      <modifiedWord>要求，</modifiedWord>
      <trackRevisions>false</trackRevisions>
    </reviewItem>
    <reviewItem>
      <errorID>1a3c51ed-1725-424c-920f-528ae474b4b2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100CAF9E</paraID>
      <start>0</start>
      <end>3</end>
      <status>modified</status>
      <modifiedWord>（四）</modifiedWord>
      <trackRevisions>false</trackRevisions>
    </reviewItem>
    <reviewItem>
      <errorID>ef84e840-2fbd-4c91-be7a-926948ca83c5</errorID>
      <errorWord>(</errorWord>
      <group>L1_Format</group>
      <groupName>格式问题</groupName>
      <ability>L2_HalfPunc</ability>
      <abilityName>全半角检查</abilityName>
      <candidateList>
        <item>（</item>
      </candidateList>
      <explain>文本全半角错误。</explain>
      <paraID>100CAF9E</paraID>
      <start>45</start>
      <end>46</end>
      <status>modified</status>
      <modifiedWord>（</modifiedWord>
      <trackRevisions>false</trackRevisions>
    </reviewItem>
    <reviewItem>
      <errorID>1a1b9ba5-14b0-4fb8-bc9e-3b24fba86c80</errorID>
      <errorWord>)</errorWord>
      <group>L1_Format</group>
      <groupName>格式问题</groupName>
      <ability>L2_HalfPunc</ability>
      <abilityName>全半角检查</abilityName>
      <candidateList>
        <item>）</item>
      </candidateList>
      <explain>文本全半角错误。</explain>
      <paraID>100CAF9E</paraID>
      <start>47</start>
      <end>48</end>
      <status>modified</status>
      <modifiedWord>）</modifiedWord>
      <trackRevisions>false</trackRevisions>
    </reviewItem>
    <reviewItem>
      <errorID>70e3e70a-4942-42b4-820b-d699b56bc674</errorID>
      <errorWord>(</errorWord>
      <group>L1_Format</group>
      <groupName>格式问题</groupName>
      <ability>L2_HalfPunc</ability>
      <abilityName>全半角检查</abilityName>
      <candidateList>
        <item>（</item>
      </candidateList>
      <explain>文本全半角错误。</explain>
      <paraID>100CAF9E</paraID>
      <start>64</start>
      <end>65</end>
      <status>modified</status>
      <modifiedWord>（</modifiedWord>
      <trackRevisions>false</trackRevisions>
    </reviewItem>
    <reviewItem>
      <errorID>2f853967-6be0-40e9-bedb-98f34da6bdaf</errorID>
      <errorWord>)</errorWord>
      <group>L1_Format</group>
      <groupName>格式问题</groupName>
      <ability>L2_HalfPunc</ability>
      <abilityName>全半角检查</abilityName>
      <candidateList>
        <item>）</item>
      </candidateList>
      <explain>文本全半角错误。</explain>
      <paraID>100CAF9E</paraID>
      <start>66</start>
      <end>67</end>
      <status>modified</status>
      <modifiedWord>）</modifiedWord>
      <trackRevisions>false</trackRevisions>
    </reviewItem>
    <reviewItem>
      <errorID>f000c2bc-74ee-49b9-9358-c02185606145</errorID>
      <errorWord>处置和处理</errorWord>
      <group>L1_Grammar</group>
      <groupName>语法问题</groupName>
      <ability>L2_Grammar</ability>
      <abilityName>语法错误</abilityName>
      <candidateList>
        <item>处置</item>
      </candidateList>
      <explain/>
      <paraID>100CAF9E</paraID>
      <start>116</start>
      <end>121</end>
      <status>ignored</status>
      <modifiedWord/>
      <trackRevisions>false</trackRevisions>
    </reviewItem>
    <reviewItem>
      <errorID>70fca046-c281-4d6e-a6f4-a14f26fb92af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65D6D78D</paraID>
      <start>0</start>
      <end>3</end>
      <status>modified</status>
      <modifiedWord>（五）</modifiedWord>
      <trackRevisions>false</trackRevisions>
    </reviewItem>
    <reviewItem>
      <errorID>171218fd-8cd8-49ce-b966-407df490cd43</errorID>
      <errorWord>它</errorWord>
      <group>L1_Word</group>
      <groupName>字词问题</groupName>
      <ability>L2_Typo</ability>
      <abilityName>字词错误</abilityName>
      <candidateList>
        <item>他</item>
      </candidateList>
      <explain/>
      <paraID>65D6D78D</paraID>
      <start>60</start>
      <end>61</end>
      <status>ignored</status>
      <modifiedWord/>
      <trackRevisions>false</trackRevisions>
    </reviewItem>
    <reviewItem>
      <errorID>890547cc-b50b-433f-84ee-363d35ca926d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69F1B21A</paraID>
      <start>37</start>
      <end>38</end>
      <status>modified</status>
      <modifiedWord>—</modifiedWord>
      <trackRevisions>false</trackRevisions>
    </reviewItem>
    <reviewItem>
      <errorID>d17b30b6-3550-430c-a741-303fa9210ab2</errorID>
      <errorWord>2、</errorWord>
      <group>L1_Format</group>
      <groupName>格式问题</groupName>
      <ability>L2_Ordinal</ability>
      <abilityName>序号格式</abilityName>
      <candidateList>
        <item>2.</item>
      </candidateList>
      <explain>标题顺序错误，请检查标题顺序是否合理。</explain>
      <paraID> 95A8067</paraID>
      <start>0</start>
      <end>2</end>
      <status>modified</status>
      <modifiedWord>2.</modifiedWord>
      <trackRevisions>false</trackRevisions>
    </reviewItem>
    <reviewItem>
      <errorID>eb7d3654-5b6e-4d80-bf6f-5088526e7423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1CAD3719</paraID>
      <start>84</start>
      <end>85</end>
      <status>modified</status>
      <modifiedWord>—</modifiedWord>
      <trackRevisions>false</trackRevisions>
    </reviewItem>
    <reviewItem>
      <errorID>f08f3d7d-2a43-48ce-af42-736c40d1ef33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1CAD3719</paraID>
      <start>120</start>
      <end>121</end>
      <status>modified</status>
      <modifiedWord>—</modifiedWord>
      <trackRevisions>false</trackRevisions>
    </reviewItem>
    <reviewItem>
      <errorID>ac6c46b8-1193-4478-9f97-c2eaf2617b39</errorID>
      <errorWord>相符</errorWord>
      <group>L1_Word</group>
      <groupName>字词问题</groupName>
      <ability>L2_Typo</ability>
      <abilityName>字词错误</abilityName>
      <candidateList>
        <item>符合</item>
      </candidateList>
      <explain/>
      <paraID>1CAD3719</paraID>
      <start>129</start>
      <end>131</end>
      <status>modified</status>
      <modifiedWord>符合</modifiedWord>
      <trackRevisions>false</trackRevisions>
    </reviewItem>
    <reviewItem>
      <errorID>9351e346-f126-427a-a85f-e8e0b9c914d3</errorID>
      <errorWord>要求</errorWord>
      <group>L1_Punc</group>
      <groupName>标点问题</groupName>
      <ability>L2_Punc</ability>
      <abilityName>标点符号检查</abilityName>
      <candidateList>
        <item>要求。</item>
      </candidateList>
      <explain/>
      <paraID>1CAD3719</paraID>
      <start>264</start>
      <end>267</end>
      <status>modified</status>
      <modifiedWord>要求。</modifiedWord>
      <trackRevisions>false</trackRevisions>
    </reviewItem>
    <reviewItem>
      <errorID>0d5bdda5-b741-4560-8d10-026350532c1f</errorID>
      <errorWord>文化自然遗产</errorWord>
      <group>L1_Word</group>
      <groupName>字词问题</groupName>
      <ability>L2_Typo</ability>
      <abilityName>字词错误</abilityName>
      <candidateList>
        <item>文化和自然遗产</item>
      </candidateList>
      <explain/>
      <paraID>5BF06D7B</paraID>
      <start>211</start>
      <end>218</end>
      <status>modified</status>
      <modifiedWord>文化和自然遗产</modifiedWord>
      <trackRevisions>false</trackRevisions>
    </reviewItem>
    <reviewItem>
      <errorID>f838aa6c-e511-4d19-a309-8757f4d6cd73</errorID>
      <errorWord>新疆</errorWord>
      <group>L1_Word</group>
      <groupName>字词问题</groupName>
      <ability>L2_Typo</ability>
      <abilityName>字词错误</abilityName>
      <candidateList>
        <item>在新疆</item>
      </candidateList>
      <explain/>
      <paraID>7B32FBE4</paraID>
      <start>4</start>
      <end>7</end>
      <status>modified</status>
      <modifiedWord>在新疆</modifiedWord>
      <trackRevisions>false</trackRevisions>
    </reviewItem>
    <reviewItem>
      <errorID>f6696dcc-738c-43c1-bf41-61207e568750</errorID>
      <errorWord>，</errorWord>
      <group>L1_Punc</group>
      <groupName>标点问题</groupName>
      <ability>L2_Punc</ability>
      <abilityName>标点符号检查</abilityName>
      <candidateList>
        <item>。</item>
      </candidateList>
      <explain/>
      <paraID>7B32FBE4</paraID>
      <start>73</start>
      <end>74</end>
      <status>modified</status>
      <modifiedWord>。</modifiedWord>
      <trackRevisions>false</trackRevisions>
    </reviewItem>
    <reviewItem>
      <errorID>45629545-0449-462f-89f6-d90d017b23a3</errorID>
      <errorWord>《</errorWord>
      <group>L1_Word</group>
      <groupName>字词问题</groupName>
      <ability>L2_Typo</ability>
      <abilityName>字词错误</abilityName>
      <candidateList>
        <item>的《</item>
      </candidateList>
      <explain/>
      <paraID>216C9A58</paraID>
      <start>13</start>
      <end>15</end>
      <status>modified</status>
      <modifiedWord>的《</modifiedWord>
      <trackRevisions>false</trackRevisions>
    </reviewItem>
    <reviewItem>
      <errorID>aba3e42b-a7dd-4a58-bab6-771bad5b7ad3</errorID>
      <errorWord>，其中</errorWord>
      <group>L1_Grammar</group>
      <groupName>语法问题</groupName>
      <ability>L2_Grammar</ability>
      <abilityName>语法错误</abilityName>
      <candidateList>
        <item>，</item>
      </candidateList>
      <explain/>
      <paraID>216C9A58</paraID>
      <start>40</start>
      <end>41</end>
      <status>modified</status>
      <modifiedWord>，</modifiedWord>
      <trackRevisions>false</trackRevisions>
    </reviewItem>
    <reviewItem>
      <errorID>e1c8ca2d-0543-4488-a851-f0245ff742b7</errorID>
      <errorWord>，</errorWord>
      <group>L1_Punc</group>
      <groupName>标点问题</groupName>
      <ability>L2_Punc</ability>
      <abilityName>标点符号检查</abilityName>
      <candidateList>
        <item>、</item>
      </candidateList>
      <explain/>
      <paraID>216C9A58</paraID>
      <start>69</start>
      <end>70</end>
      <status>modified</status>
      <modifiedWord>、</modifiedWord>
      <trackRevisions>false</trackRevisions>
    </reviewItem>
    <reviewItem>
      <errorID>d9651d90-feb7-44ef-a20f-d7a6aa3144f5</errorID>
      <errorWord>，</errorWord>
      <group>L1_Punc</group>
      <groupName>标点问题</groupName>
      <ability>L2_Punc</ability>
      <abilityName>标点符号检查</abilityName>
      <candidateList>
        <item>、</item>
      </candidateList>
      <explain/>
      <paraID>216C9A58</paraID>
      <start>77</start>
      <end>78</end>
      <status>modified</status>
      <modifiedWord>、</modifiedWord>
      <trackRevisions>false</trackRevisions>
    </reviewItem>
    <reviewItem>
      <errorID>f7ecb6d2-72b2-4859-bb9e-bb3a642fe783</errorID>
      <errorWord>件</errorWord>
      <group>L1_Word</group>
      <groupName>字词问题</groupName>
      <ability>L2_Typo</ability>
      <abilityName>字词错误</abilityName>
      <candidateList>
        <item>件等</item>
      </candidateList>
      <explain/>
      <paraID>35810204</paraID>
      <start>66</start>
      <end>67</end>
      <status>ignored</status>
      <modifiedWord/>
      <trackRevisions>false</trackRevisions>
    </reviewItem>
    <reviewItem>
      <errorID>4af29d79-ffbb-4cf4-b7f5-f8fdce983876</errorID>
      <errorWord>发环境</errorWord>
      <group>L1_Grammar</group>
      <groupName>语法问题</groupName>
      <ability>L2_Grammar</ability>
      <abilityName>语法错误</abilityName>
      <candidateList>
        <item>发</item>
      </candidateList>
      <explain/>
      <paraID>1C480123</paraID>
      <start>54</start>
      <end>57</end>
      <status>ignored</status>
      <modifiedWord/>
      <trackRevisions>false</trackRevisions>
    </reviewItem>
    <reviewItem>
      <errorID>79b039a1-1c1c-42ac-8c86-e07463d33f6c</errorID>
      <errorWord>烧碱生产装置</errorWord>
      <group>L1_Knowledge</group>
      <groupName>知识性问题</groupName>
      <ability>L2_Term</ability>
      <abilityName>专业术语</abilityName>
      <candidateList>
        <item>苛性钠生产装置</item>
      </candidateList>
      <explain>医学名词[烧碱生产装置]为不规范表述或旧称，其规范书面表述为[苛性钠生产装置]。</explain>
      <paraID>3350ECFF</paraID>
      <start>103</start>
      <end>109</end>
      <status>ignored</status>
      <modifiedWord/>
      <trackRevisions>false</trackRevisions>
    </reviewItem>
    <reviewItem>
      <errorID>e22e3926-5fbb-457d-a2d8-09e03619b2bf</errorID>
      <errorWord>。</errorWord>
      <group>L1_Grammar</group>
      <groupName>语法问题</groupName>
      <ability>L2_Grammar</ability>
      <abilityName>语法错误</abilityName>
      <candidateList>
        <item>的要求。</item>
      </candidateList>
      <explain/>
      <paraID>658E7B80</paraID>
      <start>92</start>
      <end>93</end>
      <status>ignored</status>
      <modifiedWord/>
      <trackRevisions>false</trackRevisions>
    </reviewItem>
    <reviewItem>
      <errorID>143073ac-deef-40fa-9f4d-c5693bc5604e</errorID>
      <errorWord>电子信息产业</errorWord>
      <group>L1_Grammar</group>
      <groupName>语法问题</groupName>
      <ability>L2_Grammar</ability>
      <abilityName>语法错误</abilityName>
      <candidateList>
        <item>电子信息</item>
      </candidateList>
      <explain/>
      <paraID>1A7ECC79</paraID>
      <start>66</start>
      <end>72</end>
      <status>ignored</status>
      <modifiedWord/>
      <trackRevisions>false</trackRevisions>
    </reviewItem>
    <reviewItem>
      <errorID>92316a95-b6ae-4257-bdff-653c762842c8</errorID>
      <errorWord>；</errorWord>
      <group>L1_Punc</group>
      <groupName>标点问题</groupName>
      <ability>L2_Punc</ability>
      <abilityName>标点符号检查</abilityName>
      <candidateList>
        <item>，</item>
      </candidateList>
      <explain/>
      <paraID>1A7ECC79</paraID>
      <start>84</start>
      <end>85</end>
      <status>ignored</status>
      <modifiedWord/>
      <trackRevisions>false</trackRevisions>
    </reviewItem>
    <reviewItem>
      <errorID>633878d6-d5cc-4245-af11-ca407393fd7c</errorID>
      <errorWord>；</errorWord>
      <group>L1_Punc</group>
      <groupName>标点问题</groupName>
      <ability>L2_Punc</ability>
      <abilityName>标点符号检查</abilityName>
      <candidateList>
        <item>，</item>
      </candidateList>
      <explain/>
      <paraID>1A7ECC79</paraID>
      <start>147</start>
      <end>148</end>
      <status>ignored</status>
      <modifiedWord/>
      <trackRevisions>false</trackRevisions>
    </reviewItem>
    <reviewItem>
      <errorID>ce448c8b-5623-48f4-a06f-71650f14c9d1</errorID>
      <errorWord>、</errorWord>
      <group>L1_Punc</group>
      <groupName>标点问题</groupName>
      <ability>L2_Punc</ability>
      <abilityName>标点符号检查</abilityName>
      <candidateList>
        <item>，</item>
      </candidateList>
      <explain/>
      <paraID>73DF210C</paraID>
      <start>18</start>
      <end>19</end>
      <status>ignored</status>
      <modifiedWord/>
      <trackRevisions>false</trackRevisions>
    </reviewItem>
    <reviewItem>
      <errorID>ea58f92c-18f4-44ca-9836-cd666ac6f52a</errorID>
      <errorWord>、</errorWord>
      <group>L1_Punc</group>
      <groupName>标点问题</groupName>
      <ability>L2_Punc</ability>
      <abilityName>标点符号检查</abilityName>
      <candidateList>
        <item>，</item>
      </candidateList>
      <explain/>
      <paraID>73DF210C</paraID>
      <start>27</start>
      <end>28</end>
      <status>ignored</status>
      <modifiedWord/>
      <trackRevisions>false</trackRevisions>
    </reviewItem>
    <reviewItem>
      <errorID>c23fc9cd-10c2-4a14-8426-c64b69627e31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220FDB6A</paraID>
      <start>25</start>
      <end>26</end>
      <status>modified</status>
      <modifiedWord>—</modifiedWord>
      <trackRevisions>false</trackRevisions>
    </reviewItem>
    <reviewItem>
      <errorID>50579a7f-5f79-476d-ae2c-99d95e63c37a</errorID>
      <errorWord>和</errorWord>
      <group>L1_Word</group>
      <groupName>字词问题</groupName>
      <ability>L2_Typo</ability>
      <abilityName>字词错误</abilityName>
      <candidateList>
        <item>、</item>
      </candidateList>
      <explain/>
      <paraID> 638A813</paraID>
      <start>16</start>
      <end>17</end>
      <status>ignored</status>
      <modifiedWord/>
      <trackRevisions>false</trackRevisions>
    </reviewItem>
    <reviewItem>
      <errorID>0f90539e-1c68-41a3-a4a3-5f6a5c430ae0</errorID>
      <errorWord>及</errorWord>
      <group>L1_Word</group>
      <groupName>字词问题</groupName>
      <ability>L2_Typo</ability>
      <abilityName>字词错误</abilityName>
      <candidateList>
        <item>和</item>
      </candidateList>
      <explain/>
      <paraID> 638A813</paraID>
      <start>19</start>
      <end>20</end>
      <status>ignored</status>
      <modifiedWord/>
      <trackRevisions>false</trackRevisions>
    </reviewItem>
    <reviewItem>
      <errorID>72858126-c7ef-4e6b-a8e3-176a62c09f8d</errorID>
      <errorWord>以及污水处理厂</errorWord>
      <group>L1_Grammar</group>
      <groupName>语法问题</groupName>
      <ability>L2_Grammar</ability>
      <abilityName>语法错误</abilityName>
      <candidateList>
        <item>将污水</item>
      </candidateList>
      <explain/>
      <paraID> 638A813</paraID>
      <start>27</start>
      <end>34</end>
      <status>ignored</status>
      <modifiedWord/>
      <trackRevisions>false</trackRevisions>
    </reviewItem>
    <reviewItem>
      <errorID>6e372c08-cb7c-4406-b664-3a520466aa27</errorID>
      <errorWord>检测仪监控</errorWord>
      <group>L1_Grammar</group>
      <groupName>语法问题</groupName>
      <ability>L2_Grammar</ability>
      <abilityName>语法错误</abilityName>
      <candidateList>
        <item>监测</item>
      </candidateList>
      <explain/>
      <paraID>71AC5581</paraID>
      <start>39</start>
      <end>44</end>
      <status>ignored</status>
      <modifiedWord/>
      <trackRevisions>false</trackRevisions>
    </reviewItem>
    <reviewItem>
      <errorID>8792f35c-d8e6-4909-9586-695e31bc4e59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F37219E</paraID>
      <start>26</start>
      <end>27</end>
      <status>modified</status>
      <modifiedWord>—</modifiedWord>
      <trackRevisions>false</trackRevisions>
    </reviewItem>
    <reviewItem>
      <errorID>cf44c3cf-417b-4616-9e18-c0465a94b0da</errorID>
      <errorWord>相关要求</errorWord>
      <group>L1_Grammar</group>
      <groupName>语法问题</groupName>
      <ability>L2_Grammar</ability>
      <abilityName>语法错误</abilityName>
      <candidateList>
        <item>的相关要求。</item>
      </candidateList>
      <explain/>
      <paraID> F37219E</paraID>
      <start>42</start>
      <end>48</end>
      <status>modified</status>
      <modifiedWord>的相关要求。</modifiedWord>
      <trackRevisions>false</trackRevisions>
    </reviewItem>
    <reviewItem>
      <errorID>8b410f68-0a1b-48c4-b991-da840ab8776a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6F1AF502</paraID>
      <start>25</start>
      <end>26</end>
      <status>modified</status>
      <modifiedWord>—</modifiedWord>
      <trackRevisions>false</trackRevisions>
    </reviewItem>
    <reviewItem>
      <errorID>087e640e-a320-40a9-ae83-5c2ad78e0777</errorID>
      <errorWord>采取</errorWord>
      <group>L1_Word</group>
      <groupName>字词问题</groupName>
      <ability>L2_Typo</ability>
      <abilityName>字词错误</abilityName>
      <candidateList>
        <item>启动</item>
      </candidateList>
      <explain/>
      <paraID>7296FD49</paraID>
      <start>71</start>
      <end>73</end>
      <status>modified</status>
      <modifiedWord>启动</modifiedWord>
      <trackRevisions>false</trackRevisions>
    </reviewItem>
    <reviewItem>
      <errorID>f5c2d691-b5b1-459f-995c-0f1117b9d125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75C0595A</paraID>
      <start>25</start>
      <end>26</end>
      <status>modified</status>
      <modifiedWord>—</modifiedWord>
      <trackRevisions>false</trackRevisions>
    </reviewItem>
    <reviewItem>
      <errorID>df87499a-070e-49ea-86d8-f75b66d437ca</errorID>
      <errorWord>200m3</errorWord>
      <group>L1_Word</group>
      <groupName>字词问题</groupName>
      <ability>L2_Typo</ability>
      <abilityName>字词错误</abilityName>
      <candidateList>
        <item>200m³</item>
      </candidateList>
      <explain/>
      <paraID>35A6E47F</paraID>
      <start>119</start>
      <end>124</end>
      <status>modified</status>
      <modifiedWord>200m³</modifiedWord>
      <trackRevisions>false</trackRevisions>
    </reviewItem>
    <reviewItem>
      <errorID>3a73a02d-3bd3-4b42-848f-0f46ee7bd2cf</errorID>
      <errorWord>；</errorWord>
      <group>L1_Punc</group>
      <groupName>标点问题</groupName>
      <ability>L2_Punc</ability>
      <abilityName>标点符号检查</abilityName>
      <candidateList>
        <item>。</item>
      </candidateList>
      <explain/>
      <paraID>58D93EE6</paraID>
      <start>51</start>
      <end>52</end>
      <status>modified</status>
      <modifiedWord>。</modifiedWord>
      <trackRevisions>false</trackRevisions>
    </reviewItem>
    <reviewItem>
      <errorID>07425af7-454d-4d35-8f5e-2f3032fc6269</errorID>
      <errorWord>储罐罐</errorWord>
      <group>L1_Word</group>
      <groupName>字词问题</groupName>
      <ability>L2_Typo</ability>
      <abilityName>字词错误</abilityName>
      <candidateList>
        <item>储罐</item>
      </candidateList>
      <explain/>
      <paraID> 19542DE</paraID>
      <start>20</start>
      <end>22</end>
      <status>modified</status>
      <modifiedWord>储罐</modifiedWord>
      <trackRevisions>false</trackRevisions>
    </reviewItem>
    <reviewItem>
      <errorID>bb6e02d8-6c5f-42ab-9b50-4fb5aa03237f</errorID>
      <errorWord>盐酸储存</errorWord>
      <group>L1_Grammar</group>
      <groupName>语法问题</groupName>
      <ability>L2_Grammar</ability>
      <abilityName>语法错误</abilityName>
      <candidateList>
        <item>盐酸</item>
      </candidateList>
      <explain/>
      <paraID>3C4B74FE</paraID>
      <start>35</start>
      <end>37</end>
      <status>modified</status>
      <modifiedWord>盐酸</modifiedWord>
      <trackRevisions>false</trackRevisions>
    </reviewItem>
    <reviewItem>
      <errorID>b39a46b1-6113-46f7-b7e2-4e41379b2693</errorID>
      <errorWord>1200m3</errorWord>
      <group>L1_Word</group>
      <groupName>字词问题</groupName>
      <ability>L2_Typo</ability>
      <abilityName>字词错误</abilityName>
      <candidateList>
        <item>1200m³</item>
      </candidateList>
      <explain/>
      <paraID>3C4B74FE</paraID>
      <start>51</start>
      <end>57</end>
      <status>modified</status>
      <modifiedWord>1200m³</modifiedWord>
      <trackRevisions>false</trackRevisions>
    </reviewItem>
    <reviewItem>
      <errorID>5fad73ff-7821-4088-9f6b-fda15090b5d8</errorID>
      <errorWord>清单一览表</errorWord>
      <group>L1_Grammar</group>
      <groupName>语法问题</groupName>
      <ability>L2_Grammar</ability>
      <abilityName>语法错误</abilityName>
      <candidateList>
        <item>清单</item>
      </candidateList>
      <explain/>
      <paraID>5977951A</paraID>
      <start>33</start>
      <end>35</end>
      <status>modified</status>
      <modifiedWord>清单</modifiedWord>
      <trackRevisions>false</trackRevisions>
    </reviewItem>
    <reviewItem>
      <errorID>b2b6dfce-18d0-4ab4-9357-e2911a25c72b</errorID>
      <errorWord>情况一览表</errorWord>
      <group>L1_Grammar</group>
      <groupName>语法问题</groupName>
      <ability>L2_Grammar</ability>
      <abilityName>语法错误</abilityName>
      <candidateList>
        <item>情况</item>
      </candidateList>
      <explain/>
      <paraID> 34A3EAB</paraID>
      <start>36</start>
      <end>38</end>
      <status>modified</status>
      <modifiedWord>情况</modifiedWord>
      <trackRevisions>false</trackRevisions>
    </reviewItem>
    <reviewItem>
      <errorID>00872e5b-93d9-484e-a1d8-b9df2aa5c245</errorID>
      <errorWord>羟基丙酸</errorWord>
      <group>L1_Knowledge</group>
      <groupName>知识性问题</groupName>
      <ability>L2_Term</ability>
      <abilityName>专业术语</abilityName>
      <candidateList>
        <item>乳酸</item>
      </candidateList>
      <explain>医学名词[羟基丙酸]为不规范表述或旧称，其规范书面表述为[乳酸]。</explain>
      <paraID>28F150F1</paraID>
      <start>2</start>
      <end>6</end>
      <status>ignored</status>
      <modifiedWord/>
      <trackRevisions>false</trackRevisions>
    </reviewItem>
    <reviewItem>
      <errorID>b9af05ae-0dc6-47bc-bdfc-02d623376be2</errorID>
      <errorWord>200m3</errorWord>
      <group>L1_Word</group>
      <groupName>字词问题</groupName>
      <ability>L2_Typo</ability>
      <abilityName>字词错误</abilityName>
      <candidateList>
        <item>200m³</item>
      </candidateList>
      <explain/>
      <paraID> E091707</paraID>
      <start>21</start>
      <end>26</end>
      <status>modified</status>
      <modifiedWord>200m³</modifiedWord>
      <trackRevisions>false</trackRevisions>
    </reviewItem>
    <reviewItem>
      <errorID>12932154-f840-48b6-a546-756a2a07bc6a</errorID>
      <errorWord>无</errorWord>
      <group>L1_Punc</group>
      <groupName>标点问题</groupName>
      <ability>L2_Punc</ability>
      <abilityName>标点符号检查</abilityName>
      <candidateList>
        <item>，无</item>
      </candidateList>
      <explain/>
      <paraID> E091707</paraID>
      <start>41</start>
      <end>43</end>
      <status>modified</status>
      <modifiedWord>，无</modifiedWord>
      <trackRevisions>false</trackRevisions>
    </reviewItem>
    <reviewItem>
      <errorID>e7f2dab8-3fd9-446c-af27-06ededf13097</errorID>
      <errorWord>，</errorWord>
      <group>L1_Punc</group>
      <groupName>标点问题</groupName>
      <ability>L2_Punc</ability>
      <abilityName>标点符号检查</abilityName>
      <candidateList>
        <item>、</item>
      </candidateList>
      <explain/>
      <paraID> D3A5D09</paraID>
      <start>82</start>
      <end>83</end>
      <status>modified</status>
      <modifiedWord>、</modifiedWord>
      <trackRevisions>false</trackRevisions>
    </reviewItem>
    <reviewItem>
      <errorID>021a253d-2c80-4c52-bc6f-cab0e242a99e</errorID>
      <errorWord>和</errorWord>
      <group>L1_Word</group>
      <groupName>字词问题</groupName>
      <ability>L2_Typo</ability>
      <abilityName>字词错误</abilityName>
      <candidateList>
        <item>、</item>
      </candidateList>
      <explain/>
      <paraID> D3A5D09</paraID>
      <start>105</start>
      <end>106</end>
      <status>modified</status>
      <modifiedWord>、</modifiedWord>
      <trackRevisions>false</trackRevisions>
    </reviewItem>
    <reviewItem>
      <errorID>aef9cfae-eb26-4f1a-b29b-0d3330569bab</errorID>
      <errorWord>个</errorWord>
      <group>L1_Word</group>
      <groupName>字词问题</groupName>
      <ability>L2_Typo</ability>
      <abilityName>字词错误</abilityName>
      <candidateList>
        <item>各</item>
      </candidateList>
      <explain>❶〈代〉指示代词。a）表示不止一个：世界～国｜～位来宾。b）表示不止一个并且彼此不同：～种原材料都备齐了｜～人回～人的家。❷〈副〉表示不止一人或一物同做某事或同有某种属性：双方～执一词｜左右两侧～有一门｜三种办法～有优点和缺点。❸（Gè）〈名〉姓。</explain>
      <paraID>73F974CC</paraID>
      <start>106</start>
      <end>107</end>
      <status>modified</status>
      <modifiedWord>各</modifiedWord>
      <trackRevisions>false</trackRevisions>
    </reviewItem>
    <reviewItem>
      <errorID>29e8bab1-559b-4db2-9500-a3145050bcfc</errorID>
      <errorWord>羟基丙酸</errorWord>
      <group>L1_Knowledge</group>
      <groupName>知识性问题</groupName>
      <ability>L2_Term</ability>
      <abilityName>专业术语</abilityName>
      <candidateList>
        <item>乳酸</item>
      </candidateList>
      <explain>医学名词[羟基丙酸]为不规范表述或旧称，其规范书面表述为[乳酸]。</explain>
      <paraID> E728B9D</paraID>
      <start>0</start>
      <end>4</end>
      <status>ignored</status>
      <modifiedWord/>
      <trackRevisions>false</trackRevisions>
    </reviewItem>
    <reviewItem>
      <errorID>b9b8aac2-7686-4ff5-be64-aabae395b7e0</errorID>
      <errorWord>羟基丙酸</errorWord>
      <group>L1_Knowledge</group>
      <groupName>知识性问题</groupName>
      <ability>L2_Term</ability>
      <abilityName>专业术语</abilityName>
      <candidateList>
        <item>乳酸</item>
      </candidateList>
      <explain>医学名词[羟基丙酸]为不规范表述或旧称，其规范书面表述为[乳酸]。</explain>
      <paraID>271E099E</paraID>
      <start>0</start>
      <end>4</end>
      <status>ignored</status>
      <modifiedWord/>
      <trackRevisions>false</trackRevisions>
    </reviewItem>
    <reviewItem>
      <errorID>85dcd5a0-b0f4-4aee-861e-5b13b8bf5286</errorID>
      <errorWord>2</errorWord>
      <group>L1_Word</group>
      <groupName>字词问题</groupName>
      <ability>L2_Typo</ability>
      <abilityName>字词错误</abilityName>
      <candidateList>
        <item>有2</item>
      </candidateList>
      <explain/>
      <paraID>6E71F041</paraID>
      <start>9</start>
      <end>10</end>
      <status>ignored</status>
      <modifiedWord/>
      <trackRevisions>false</trackRevisions>
    </reviewItem>
    <reviewItem>
      <errorID>018cd65a-637c-4509-8ff5-88c553ab3b94</errorID>
      <errorWord>，</errorWord>
      <group>L1_Punc</group>
      <groupName>标点问题</groupName>
      <ability>L2_Punc</ability>
      <abilityName>标点符号检查</abilityName>
      <candidateList>
        <item>。</item>
      </candidateList>
      <explain/>
      <paraID>6E71F041</paraID>
      <start>46</start>
      <end>47</end>
      <status>modified</status>
      <modifiedWord>。</modifiedWord>
      <trackRevisions>false</trackRevisions>
    </reviewItem>
    <reviewItem>
      <errorID>fd42e6cd-d61e-42dd-a994-68816ccec36f</errorID>
      <errorWord>，</errorWord>
      <group>L1_Punc</group>
      <groupName>标点问题</groupName>
      <ability>L2_Punc</ability>
      <abilityName>标点符号检查</abilityName>
      <candidateList>
        <item>、</item>
      </candidateList>
      <explain/>
      <paraID>6E71F041</paraID>
      <start>57</start>
      <end>58</end>
      <status>modified</status>
      <modifiedWord>、</modifiedWord>
      <trackRevisions>false</trackRevisions>
    </reviewItem>
    <reviewItem>
      <errorID>3d58f542-c8c9-4497-99e1-2aa85339e4dd</errorID>
      <errorWord>围堰</errorWord>
      <group>L1_Word</group>
      <groupName>字词问题</groupName>
      <ability>L2_Typo</ability>
      <abilityName>字词错误</abilityName>
      <candidateList>
        <item>的围堰</item>
      </candidateList>
      <explain/>
      <paraID>6E71F041</paraID>
      <start>66</start>
      <end>69</end>
      <status>modified</status>
      <modifiedWord>的围堰</modifiedWord>
      <trackRevisions>false</trackRevisions>
    </reviewItem>
    <reviewItem>
      <errorID>86e4af10-e825-4d1e-95f0-4a11b95348e7</errorID>
      <errorWord>破损</errorWord>
      <group>L1_Punc</group>
      <groupName>标点问题</groupName>
      <ability>L2_Punc</ability>
      <abilityName>标点符号检查</abilityName>
      <candidateList>
        <item>破损。</item>
      </candidateList>
      <explain/>
      <paraID>6E71F041</paraID>
      <start>89</start>
      <end>92</end>
      <status>modified</status>
      <modifiedWord>破损。</modifiedWord>
      <trackRevisions>false</trackRevisions>
    </reviewItem>
    <reviewItem>
      <errorID>32605eb7-483a-4449-b8d2-5f6293c79689</errorID>
      <errorWord>。</errorWord>
      <group>L1_Punc</group>
      <groupName>标点问题</groupName>
      <ability>L2_Punc</ability>
      <abilityName>标点符号检查</abilityName>
      <candidateList>
        <item/>
      </candidateList>
      <explain/>
      <paraID>6A3F3B27</paraID>
      <start>92</start>
      <end>92</end>
      <status>modified</status>
      <modifiedWord/>
      <trackRevisions>false</trackRevisions>
    </reviewItem>
    <reviewItem>
      <errorID>6a1847a9-a732-464e-a2c7-55ad8e49ebae</errorID>
      <errorWord>即</errorWord>
      <group>L1_Punc</group>
      <groupName>标点问题</groupName>
      <ability>L2_Punc</ability>
      <abilityName>标点符号检查</abilityName>
      <candidateList>
        <item>，即</item>
      </candidateList>
      <explain/>
      <paraID> B3A54A5</paraID>
      <start>95</start>
      <end>97</end>
      <status>modified</status>
      <modifiedWord>，即</modifiedWord>
      <trackRevisions>false</trackRevisions>
    </reviewItem>
    <reviewItem>
      <errorID>f073ddda-249e-4b39-955f-9144d847e076</errorID>
      <errorWord>（</errorWord>
      <group>L1_Format</group>
      <groupName>格式问题</groupName>
      <ability>L2_HalfPunc</ability>
      <abilityName>全半角检查</abilityName>
      <candidateList>
        <item>(</item>
      </candidateList>
      <explain>文本全半角错误。</explain>
      <paraID>394E34BC</paraID>
      <start>1</start>
      <end>2</end>
      <status>modified</status>
      <modifiedWord>(</modifiedWord>
      <trackRevisions>false</trackRevisions>
    </reviewItem>
    <reviewItem>
      <errorID>3d0a65e4-62d3-4ac6-b316-9919079cff00</errorID>
      <errorWord>）</errorWord>
      <group>L1_Format</group>
      <groupName>格式问题</groupName>
      <ability>L2_HalfPunc</ability>
      <abilityName>全半角检查</abilityName>
      <candidateList>
        <item>)</item>
      </candidateList>
      <explain>文本全半角错误。</explain>
      <paraID>394E34BC</paraID>
      <start>7</start>
      <end>8</end>
      <status>modified</status>
      <modifiedWord>)</modifiedWord>
      <trackRevisions>false</trackRevisions>
    </reviewItem>
    <reviewItem>
      <errorID>829c0aa4-6fc4-41e2-8269-53b3a2f1d6b4</errorID>
      <errorWord>（</errorWord>
      <group>L1_Format</group>
      <groupName>格式问题</groupName>
      <ability>L2_HalfPunc</ability>
      <abilityName>全半角检查</abilityName>
      <candidateList>
        <item>(</item>
      </candidateList>
      <explain>文本全半角错误。</explain>
      <paraID>416A14A7</paraID>
      <start>1</start>
      <end>2</end>
      <status>modified</status>
      <modifiedWord>(</modifiedWord>
      <trackRevisions>false</trackRevisions>
    </reviewItem>
    <reviewItem>
      <errorID>56f73014-6cd7-4845-b30a-15bfd9f5f469</errorID>
      <errorWord>）</errorWord>
      <group>L1_Format</group>
      <groupName>格式问题</groupName>
      <ability>L2_HalfPunc</ability>
      <abilityName>全半角检查</abilityName>
      <candidateList>
        <item>)</item>
      </candidateList>
      <explain>文本全半角错误。</explain>
      <paraID>416A14A7</paraID>
      <start>7</start>
      <end>8</end>
      <status>modified</status>
      <modifiedWord>)</modifiedWord>
      <trackRevisions>false</trackRevisions>
    </reviewItem>
    <reviewItem>
      <errorID>152caeb1-dfe2-49b0-9b90-ebe5ce33e5c7</errorID>
      <errorWord>90百</errorWord>
      <group>L1_Knowledge</group>
      <groupName>知识性问题</groupName>
      <ability>L2_Knowledge</ability>
      <abilityName>其他知识</abilityName>
      <candidateList>
        <item>9000</item>
      </candidateList>
      <explain/>
      <paraID>31BBF545</paraID>
      <start>9</start>
      <end>12</end>
      <status>ignored</status>
      <modifiedWord/>
      <trackRevisions>false</trackRevisions>
    </reviewItem>
    <reviewItem>
      <errorID>ff1ea251-76b6-449b-810a-d565a8933ffe</errorID>
      <errorWord>涉及</errorWord>
      <group>L1_Punc</group>
      <groupName>标点问题</groupName>
      <ability>L2_Punc</ability>
      <abilityName>标点符号检查</abilityName>
      <candidateList>
        <item>，涉及</item>
      </candidateList>
      <explain/>
      <paraID>1918B8FD</paraID>
      <start>41</start>
      <end>44</end>
      <status>modified</status>
      <modifiedWord>，涉及</modifiedWord>
      <trackRevisions>false</trackRevisions>
    </reviewItem>
    <reviewItem>
      <errorID>7ed715e6-02ed-41e8-8525-55a361786d1a</errorID>
      <errorWord>，</errorWord>
      <group>L1_Punc</group>
      <groupName>标点问题</groupName>
      <ability>L2_Punc</ability>
      <abilityName>标点符号检查</abilityName>
      <candidateList>
        <item>。</item>
      </candidateList>
      <explain/>
      <paraID>1918B8FD</paraID>
      <start>61</start>
      <end>62</end>
      <status>modified</status>
      <modifiedWord>。</modifiedWord>
      <trackRevisions>false</trackRevisions>
    </reviewItem>
    <reviewItem>
      <errorID>b0c40c9b-a520-420e-99a0-4977e5ed4a18</errorID>
      <errorWord>中</errorWord>
      <group>L1_Grammar</group>
      <groupName>语法问题</groupName>
      <ability>L2_Grammar</ability>
      <abilityName>语法错误</abilityName>
      <candidateList>
        <item>，其中</item>
      </candidateList>
      <explain/>
      <paraID>1918B8FD</paraID>
      <start>106</start>
      <end>109</end>
      <status>modified</status>
      <modifiedWord>，其中</modifiedWord>
      <trackRevisions>false</trackRevisions>
    </reviewItem>
    <reviewItem>
      <errorID>d25cf6d4-2d06-4028-89f3-311083106a4f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1918B8FD</paraID>
      <start>134</start>
      <end>135</end>
      <status>modified</status>
      <modifiedWord>—</modifiedWord>
      <trackRevisions>false</trackRevisions>
    </reviewItem>
    <reviewItem>
      <errorID>a2a8a190-eec5-482a-b944-0df91c8d3353</errorID>
      <errorWord>GB3095</errorWord>
      <group>L1_Word</group>
      <groupName>字词问题</groupName>
      <ability>L2_Typo</ability>
      <abilityName>字词错误</abilityName>
      <candidateList>
        <item>GB 3095</item>
      </candidateList>
      <explain/>
      <paraID>388ED08B</paraID>
      <start>16</start>
      <end>23</end>
      <status>modified</status>
      <modifiedWord>GB 3095</modifiedWord>
      <trackRevisions>false</trackRevisions>
    </reviewItem>
    <reviewItem>
      <errorID>067cd5b1-e6f1-40bb-acfd-95056032a2f9</errorID>
      <errorWord>大气环境</errorWord>
      <group>L1_Word</group>
      <groupName>字词问题</groupName>
      <ability>L2_Typo</ability>
      <abilityName>字词错误</abilityName>
      <candidateList>
        <item> 大气环境</item>
      </candidateList>
      <explain/>
      <paraID>388ED08B</paraID>
      <start>61</start>
      <end>66</end>
      <status>modified</status>
      <modifiedWord> 大气环境</modifiedWord>
      <trackRevisions>false</trackRevisions>
    </reviewItem>
    <reviewItem>
      <errorID>a1697ef5-4586-47c2-b0f3-3f8b5545eb34</errorID>
      <errorWord>HJ2</errorWord>
      <group>L1_Word</group>
      <groupName>字词问题</groupName>
      <ability>L2_Typo</ability>
      <abilityName>字词错误</abilityName>
      <candidateList>
        <item>HJ 2</item>
      </candidateList>
      <explain/>
      <paraID>388ED08B</paraID>
      <start>68</start>
      <end>72</end>
      <status>modified</status>
      <modifiedWord>HJ 2</modifiedWord>
      <trackRevisions>false</trackRevisions>
    </reviewItem>
    <reviewItem>
      <errorID>f172356b-bb2f-46f2-a7c5-618a0a54e555</errorID>
      <errorWord>，</errorWord>
      <group>L1_Grammar</group>
      <groupName>语法问题</groupName>
      <ability>L2_Grammar</ability>
      <abilityName>语法错误</abilityName>
      <candidateList>
        <item>的方式，</item>
      </candidateList>
      <explain/>
      <paraID>77B0BBC3</paraID>
      <start>22</start>
      <end>23</end>
      <status>ignored</status>
      <modifiedWord/>
      <trackRevisions>false</trackRevisions>
    </reviewItem>
    <reviewItem>
      <errorID>d450def3-aef1-4c06-a9f5-23e70e5cbe97</errorID>
      <errorWord>01月17日</errorWord>
      <group>L1_Knowledge</group>
      <groupName>知识性问题</groupName>
      <ability>L2_Time</ability>
      <abilityName>日期时间</abilityName>
      <candidateList>
        <item>1月17日</item>
      </candidateList>
      <explain>根据日常书写习惯，月份一般会省略前导零。</explain>
      <paraID>2A48FF62</paraID>
      <start>0</start>
      <end>5</end>
      <status>modified</status>
      <modifiedWord>1月17日</modifiedWord>
      <trackRevisions>false</trackRevisions>
    </reviewItem>
    <reviewItem>
      <errorID>82da3f1e-6bd7-49bb-bad9-7c2545074ecc</errorID>
      <errorWord>-</errorWord>
      <group>L1_Format</group>
      <groupName>格式问题</groupName>
      <ability>L2_HalfPunc</ability>
      <abilityName>全半角检查</abilityName>
      <candidateList>
        <item>－</item>
      </candidateList>
      <explain>文本全半角错误。</explain>
      <paraID>2A48FF62</paraID>
      <start>5</start>
      <end>6</end>
      <status>modified</status>
      <modifiedWord>－</modifiedWord>
      <trackRevisions>false</trackRevisions>
    </reviewItem>
    <reviewItem>
      <errorID>3dd3e0ee-68a5-4335-aced-6fc6a6244078</errorID>
      <errorWord>01月18日</errorWord>
      <group>L1_Knowledge</group>
      <groupName>知识性问题</groupName>
      <ability>L2_Time</ability>
      <abilityName>日期时间</abilityName>
      <candidateList>
        <item>1月18日</item>
      </candidateList>
      <explain>根据日常书写习惯，月份一般会省略前导零。</explain>
      <paraID>2A48FF62</paraID>
      <start>7</start>
      <end>12</end>
      <status>modified</status>
      <modifiedWord>1月18日</modifiedWord>
      <trackRevisions>false</trackRevisions>
    </reviewItem>
    <reviewItem>
      <errorID>7b026773-c6a6-42ec-aa41-8d6747dfa15d</errorID>
      <errorWord>01月18日</errorWord>
      <group>L1_Knowledge</group>
      <groupName>知识性问题</groupName>
      <ability>L2_Time</ability>
      <abilityName>日期时间</abilityName>
      <candidateList>
        <item>1月18日</item>
      </candidateList>
      <explain>根据日常书写习惯，月份一般会省略前导零。</explain>
      <paraID>6E5FD8A1</paraID>
      <start>0</start>
      <end>5</end>
      <status>modified</status>
      <modifiedWord>1月18日</modifiedWord>
      <trackRevisions>false</trackRevisions>
    </reviewItem>
    <reviewItem>
      <errorID>211d3890-978b-4d42-843e-c938bc6ec115</errorID>
      <errorWord>-</errorWord>
      <group>L1_Format</group>
      <groupName>格式问题</groupName>
      <ability>L2_HalfPunc</ability>
      <abilityName>全半角检查</abilityName>
      <candidateList>
        <item>－</item>
      </candidateList>
      <explain>文本全半角错误。</explain>
      <paraID>6E5FD8A1</paraID>
      <start>5</start>
      <end>6</end>
      <status>modified</status>
      <modifiedWord>－</modifiedWord>
      <trackRevisions>false</trackRevisions>
    </reviewItem>
    <reviewItem>
      <errorID>c00cfc7e-d395-453b-9a3a-c19f2584188a</errorID>
      <errorWord>01月19日</errorWord>
      <group>L1_Knowledge</group>
      <groupName>知识性问题</groupName>
      <ability>L2_Time</ability>
      <abilityName>日期时间</abilityName>
      <candidateList>
        <item>1月19日</item>
      </candidateList>
      <explain>根据日常书写习惯，月份一般会省略前导零。</explain>
      <paraID>6E5FD8A1</paraID>
      <start>7</start>
      <end>12</end>
      <status>modified</status>
      <modifiedWord>1月19日</modifiedWord>
      <trackRevisions>false</trackRevisions>
    </reviewItem>
    <reviewItem>
      <errorID>fecbcd89-5516-4f51-b15b-e2711b7eea8d</errorID>
      <errorWord>01月19日</errorWord>
      <group>L1_Knowledge</group>
      <groupName>知识性问题</groupName>
      <ability>L2_Time</ability>
      <abilityName>日期时间</abilityName>
      <candidateList>
        <item>1月19日</item>
      </candidateList>
      <explain>根据日常书写习惯，月份一般会省略前导零。</explain>
      <paraID>43D4AB4B</paraID>
      <start>0</start>
      <end>5</end>
      <status>modified</status>
      <modifiedWord>1月19日</modifiedWord>
      <trackRevisions>false</trackRevisions>
    </reviewItem>
    <reviewItem>
      <errorID>50dd528a-b6d0-4a42-a503-97a2c0a27deb</errorID>
      <errorWord>-</errorWord>
      <group>L1_Format</group>
      <groupName>格式问题</groupName>
      <ability>L2_HalfPunc</ability>
      <abilityName>全半角检查</abilityName>
      <candidateList>
        <item>－</item>
      </candidateList>
      <explain>文本全半角错误。</explain>
      <paraID>43D4AB4B</paraID>
      <start>5</start>
      <end>6</end>
      <status>modified</status>
      <modifiedWord>－</modifiedWord>
      <trackRevisions>false</trackRevisions>
    </reviewItem>
    <reviewItem>
      <errorID>e5f62e1f-a458-409a-9b7f-28fd93d98f36</errorID>
      <errorWord>01月20日</errorWord>
      <group>L1_Knowledge</group>
      <groupName>知识性问题</groupName>
      <ability>L2_Time</ability>
      <abilityName>日期时间</abilityName>
      <candidateList>
        <item>1月20日</item>
      </candidateList>
      <explain>根据日常书写习惯，月份一般会省略前导零。</explain>
      <paraID>43D4AB4B</paraID>
      <start>7</start>
      <end>12</end>
      <status>modified</status>
      <modifiedWord>1月20日</modifiedWord>
      <trackRevisions>false</trackRevisions>
    </reviewItem>
    <reviewItem>
      <errorID>29c92626-801d-406b-8151-e4b5da3592f3</errorID>
      <errorWord>01月20日</errorWord>
      <group>L1_Knowledge</group>
      <groupName>知识性问题</groupName>
      <ability>L2_Time</ability>
      <abilityName>日期时间</abilityName>
      <candidateList>
        <item>1月20日</item>
      </candidateList>
      <explain>根据日常书写习惯，月份一般会省略前导零。</explain>
      <paraID>5F4BDDD2</paraID>
      <start>0</start>
      <end>5</end>
      <status>modified</status>
      <modifiedWord>1月20日</modifiedWord>
      <trackRevisions>false</trackRevisions>
    </reviewItem>
    <reviewItem>
      <errorID>900184fd-a457-427e-9908-2fc5f2896c0a</errorID>
      <errorWord>-</errorWord>
      <group>L1_Format</group>
      <groupName>格式问题</groupName>
      <ability>L2_HalfPunc</ability>
      <abilityName>全半角检查</abilityName>
      <candidateList>
        <item>－</item>
      </candidateList>
      <explain>文本全半角错误。</explain>
      <paraID>5F4BDDD2</paraID>
      <start>5</start>
      <end>6</end>
      <status>modified</status>
      <modifiedWord>－</modifiedWord>
      <trackRevisions>false</trackRevisions>
    </reviewItem>
    <reviewItem>
      <errorID>a52dd57e-c52c-4fb7-95fc-01a445babcf7</errorID>
      <errorWord>01月21日</errorWord>
      <group>L1_Knowledge</group>
      <groupName>知识性问题</groupName>
      <ability>L2_Time</ability>
      <abilityName>日期时间</abilityName>
      <candidateList>
        <item>1月21日</item>
      </candidateList>
      <explain>根据日常书写习惯，月份一般会省略前导零。</explain>
      <paraID>5F4BDDD2</paraID>
      <start>7</start>
      <end>12</end>
      <status>modified</status>
      <modifiedWord>1月21日</modifiedWord>
      <trackRevisions>false</trackRevisions>
    </reviewItem>
    <reviewItem>
      <errorID>75990419-3839-4ef2-adde-786d66b6f991</errorID>
      <errorWord>01月21日</errorWord>
      <group>L1_Knowledge</group>
      <groupName>知识性问题</groupName>
      <ability>L2_Time</ability>
      <abilityName>日期时间</abilityName>
      <candidateList>
        <item>1月21日</item>
      </candidateList>
      <explain>根据日常书写习惯，月份一般会省略前导零。</explain>
      <paraID>271BCA17</paraID>
      <start>0</start>
      <end>5</end>
      <status>modified</status>
      <modifiedWord>1月21日</modifiedWord>
      <trackRevisions>false</trackRevisions>
    </reviewItem>
    <reviewItem>
      <errorID>6a23c418-97d8-4c16-a816-a33db2612091</errorID>
      <errorWord>-</errorWord>
      <group>L1_Format</group>
      <groupName>格式问题</groupName>
      <ability>L2_HalfPunc</ability>
      <abilityName>全半角检查</abilityName>
      <candidateList>
        <item>－</item>
      </candidateList>
      <explain>文本全半角错误。</explain>
      <paraID>271BCA17</paraID>
      <start>5</start>
      <end>6</end>
      <status>modified</status>
      <modifiedWord>－</modifiedWord>
      <trackRevisions>false</trackRevisions>
    </reviewItem>
    <reviewItem>
      <errorID>ea0008ee-c49e-4bc2-8556-b59a04a36b6c</errorID>
      <errorWord>01月22日</errorWord>
      <group>L1_Knowledge</group>
      <groupName>知识性问题</groupName>
      <ability>L2_Time</ability>
      <abilityName>日期时间</abilityName>
      <candidateList>
        <item>1月22日</item>
      </candidateList>
      <explain>根据日常书写习惯，月份一般会省略前导零。</explain>
      <paraID>271BCA17</paraID>
      <start>7</start>
      <end>12</end>
      <status>modified</status>
      <modifiedWord>1月22日</modifiedWord>
      <trackRevisions>false</trackRevisions>
    </reviewItem>
    <reviewItem>
      <errorID>4c3903fb-2ea8-4d81-9e88-7f818c57a0d0</errorID>
      <errorWord>01月22日</errorWord>
      <group>L1_Knowledge</group>
      <groupName>知识性问题</groupName>
      <ability>L2_Time</ability>
      <abilityName>日期时间</abilityName>
      <candidateList>
        <item>1月22日</item>
      </candidateList>
      <explain>根据日常书写习惯，月份一般会省略前导零。</explain>
      <paraID>25896894</paraID>
      <start>0</start>
      <end>5</end>
      <status>modified</status>
      <modifiedWord>1月22日</modifiedWord>
      <trackRevisions>false</trackRevisions>
    </reviewItem>
    <reviewItem>
      <errorID>1d8a2047-b26f-49e0-a106-b0924e6771a1</errorID>
      <errorWord>-</errorWord>
      <group>L1_Format</group>
      <groupName>格式问题</groupName>
      <ability>L2_HalfPunc</ability>
      <abilityName>全半角检查</abilityName>
      <candidateList>
        <item>－</item>
      </candidateList>
      <explain>文本全半角错误。</explain>
      <paraID>25896894</paraID>
      <start>5</start>
      <end>6</end>
      <status>modified</status>
      <modifiedWord>－</modifiedWord>
      <trackRevisions>false</trackRevisions>
    </reviewItem>
    <reviewItem>
      <errorID>32580be9-1e20-4906-8063-293c7fb14e3c</errorID>
      <errorWord>01月23日</errorWord>
      <group>L1_Knowledge</group>
      <groupName>知识性问题</groupName>
      <ability>L2_Time</ability>
      <abilityName>日期时间</abilityName>
      <candidateList>
        <item>1月23日</item>
      </candidateList>
      <explain>根据日常书写习惯，月份一般会省略前导零。</explain>
      <paraID>25896894</paraID>
      <start>7</start>
      <end>12</end>
      <status>modified</status>
      <modifiedWord>1月23日</modifiedWord>
      <trackRevisions>false</trackRevisions>
    </reviewItem>
    <reviewItem>
      <errorID>669c53bc-943b-443c-83e4-db6f057e3ffa</errorID>
      <errorWord>01月23日</errorWord>
      <group>L1_Knowledge</group>
      <groupName>知识性问题</groupName>
      <ability>L2_Time</ability>
      <abilityName>日期时间</abilityName>
      <candidateList>
        <item>1月23日</item>
      </candidateList>
      <explain>根据日常书写习惯，月份一般会省略前导零。</explain>
      <paraID>482C6665</paraID>
      <start>0</start>
      <end>5</end>
      <status>modified</status>
      <modifiedWord>1月23日</modifiedWord>
      <trackRevisions>false</trackRevisions>
    </reviewItem>
    <reviewItem>
      <errorID>b143c171-e1be-4371-a435-1af3532dc035</errorID>
      <errorWord>-</errorWord>
      <group>L1_Format</group>
      <groupName>格式问题</groupName>
      <ability>L2_HalfPunc</ability>
      <abilityName>全半角检查</abilityName>
      <candidateList>
        <item>－</item>
      </candidateList>
      <explain>文本全半角错误。</explain>
      <paraID>482C6665</paraID>
      <start>5</start>
      <end>6</end>
      <status>modified</status>
      <modifiedWord>－</modifiedWord>
      <trackRevisions>false</trackRevisions>
    </reviewItem>
    <reviewItem>
      <errorID>cc052c52-b996-406c-9b3b-84b66337fb9f</errorID>
      <errorWord>01月24日</errorWord>
      <group>L1_Knowledge</group>
      <groupName>知识性问题</groupName>
      <ability>L2_Time</ability>
      <abilityName>日期时间</abilityName>
      <candidateList>
        <item>1月24日</item>
      </candidateList>
      <explain>根据日常书写习惯，月份一般会省略前导零。</explain>
      <paraID>482C6665</paraID>
      <start>7</start>
      <end>12</end>
      <status>modified</status>
      <modifiedWord>1月24日</modifiedWord>
      <trackRevisions>false</trackRevisions>
    </reviewItem>
    <reviewItem>
      <errorID>53335d48-6160-4bc1-aee1-8ac0b70d60d7</errorID>
      <errorWord>，，</errorWord>
      <group>L1_Punc</group>
      <groupName>标点问题</groupName>
      <ability>L2_Punc</ability>
      <abilityName>标点符号检查</abilityName>
      <candidateList>
        <item>，</item>
      </candidateList>
      <explain/>
      <paraID>2DDBB95F</paraID>
      <start>60</start>
      <end>61</end>
      <status>modified</status>
      <modifiedWord>，</modifiedWord>
      <trackRevisions>false</trackRevisions>
    </reviewItem>
    <reviewItem>
      <errorID>22f79796-07e1-42bf-9d43-7fbc87ccd3f8</errorID>
      <errorWord>（</errorWord>
      <group>L1_Format</group>
      <groupName>格式问题</groupName>
      <ability>L2_HalfPunc</ability>
      <abilityName>全半角检查</abilityName>
      <candidateList>
        <item>(</item>
      </candidateList>
      <explain>文本全半角错误。</explain>
      <paraID>1A2FF670</paraID>
      <start>0</start>
      <end>1</end>
      <status>modified</status>
      <modifiedWord>(</modifiedWord>
      <trackRevisions>false</trackRevisions>
    </reviewItem>
    <reviewItem>
      <errorID>d58a13cd-29cd-4edc-a82d-da39a367c1bf</errorID>
      <errorWord>）</errorWord>
      <group>L1_Format</group>
      <groupName>格式问题</groupName>
      <ability>L2_HalfPunc</ability>
      <abilityName>全半角检查</abilityName>
      <candidateList>
        <item>)</item>
      </candidateList>
      <explain>文本全半角错误。</explain>
      <paraID>1A2FF670</paraID>
      <start>2</start>
      <end>3</end>
      <status>modified</status>
      <modifiedWord>)</modifiedWord>
      <trackRevisions>false</trackRevisions>
    </reviewItem>
    <reviewItem>
      <errorID>d4cf4a7e-ccf7-4358-9e2e-b25cf69946c3</errorID>
      <errorWord>（</errorWord>
      <group>L1_Format</group>
      <groupName>格式问题</groupName>
      <ability>L2_HalfPunc</ability>
      <abilityName>全半角检查</abilityName>
      <candidateList>
        <item>(</item>
      </candidateList>
      <explain>文本全半角错误。</explain>
      <paraID> 30F016F</paraID>
      <start>0</start>
      <end>1</end>
      <status>modified</status>
      <modifiedWord>(</modifiedWord>
      <trackRevisions>false</trackRevisions>
    </reviewItem>
    <reviewItem>
      <errorID>3aa80c7e-0b0e-4a03-925a-a23eb1b9d12f</errorID>
      <errorWord>）</errorWord>
      <group>L1_Format</group>
      <groupName>格式问题</groupName>
      <ability>L2_HalfPunc</ability>
      <abilityName>全半角检查</abilityName>
      <candidateList>
        <item>)</item>
      </candidateList>
      <explain>文本全半角错误。</explain>
      <paraID> 30F016F</paraID>
      <start>2</start>
      <end>3</end>
      <status>modified</status>
      <modifiedWord>)</modifiedWord>
      <trackRevisions>false</trackRevisions>
    </reviewItem>
    <reviewItem>
      <errorID>0d1f7566-3933-4526-b87a-b9f37e719008</errorID>
      <errorWord>（</errorWord>
      <group>L1_Format</group>
      <groupName>格式问题</groupName>
      <ability>L2_HalfPunc</ability>
      <abilityName>全半角检查</abilityName>
      <candidateList>
        <item>(</item>
      </candidateList>
      <explain>文本全半角错误。</explain>
      <paraID>725AD316</paraID>
      <start>0</start>
      <end>1</end>
      <status>modified</status>
      <modifiedWord>(</modifiedWord>
      <trackRevisions>false</trackRevisions>
    </reviewItem>
    <reviewItem>
      <errorID>5622d82c-af93-44df-aa30-5033fa830bc7</errorID>
      <errorWord>）</errorWord>
      <group>L1_Format</group>
      <groupName>格式问题</groupName>
      <ability>L2_HalfPunc</ability>
      <abilityName>全半角检查</abilityName>
      <candidateList>
        <item>)</item>
      </candidateList>
      <explain>文本全半角错误。</explain>
      <paraID>725AD316</paraID>
      <start>2</start>
      <end>3</end>
      <status>modified</status>
      <modifiedWord>)</modifiedWord>
      <trackRevisions>false</trackRevisions>
    </reviewItem>
    <reviewItem>
      <errorID>046c7acb-e191-40a8-991e-c27967717c65</errorID>
      <errorWord>执行执行</errorWord>
      <group>L1_Word</group>
      <groupName>字词问题</groupName>
      <ability>L2_Typo</ability>
      <abilityName>字词错误</abilityName>
      <candidateList>
        <item>执行</item>
      </candidateList>
      <explain/>
      <paraID>69C5AD2B</paraID>
      <start>29</start>
      <end>31</end>
      <status>modified</status>
      <modifiedWord>执行</modifiedWord>
      <trackRevisions>false</trackRevisions>
    </reviewItem>
    <reviewItem>
      <errorID>dd3c6fa1-162c-42ab-8e6c-9f574cd44c90</errorID>
      <errorWord>）</errorWord>
      <group>L1_Word</group>
      <groupName>字词问题</groupName>
      <ability>L2_Typo</ability>
      <abilityName>字词错误</abilityName>
      <candidateList>
        <item>）对</item>
      </candidateList>
      <explain/>
      <paraID>66ED5F08</paraID>
      <start>2</start>
      <end>4</end>
      <status>modified</status>
      <modifiedWord>）对</modifiedWord>
      <trackRevisions>false</trackRevisions>
    </reviewItem>
    <reviewItem>
      <errorID>cb7c95a6-d925-4656-8abc-3cdac524b040</errorID>
      <errorWord>圾</errorWord>
      <group>L1_Word</group>
      <groupName>字词问题</groupName>
      <ability>L2_Typo</ability>
      <abilityName>字词错误</abilityName>
      <candidateList>
        <item>圾在</item>
      </candidateList>
      <explain/>
      <paraID>3384A63D</paraID>
      <start>15</start>
      <end>17</end>
      <status>modified</status>
      <modifiedWord>圾在</modifiedWord>
      <trackRevisions>false</trackRevisions>
    </reviewItem>
    <reviewItem>
      <errorID>96945ca6-764f-4761-82d2-6182575af703</errorID>
      <errorWord>排出有</errorWord>
      <group>L1_Word</group>
      <groupName>字词问题</groupName>
      <ability>L2_Typo</ability>
      <abilityName>字词错误</abilityName>
      <candidateList>
        <item>排出</item>
      </candidateList>
      <explain/>
      <paraID>293ACE62</paraID>
      <start>70</start>
      <end>72</end>
      <status>modified</status>
      <modifiedWord>排出</modifiedWord>
      <trackRevisions>false</trackRevisions>
    </reviewItem>
    <reviewItem>
      <errorID>913ebed0-892b-4548-b99b-5df792b5892b</errorID>
      <errorWord>)</errorWord>
      <group>L1_Punc</group>
      <groupName>标点问题</groupName>
      <ability>L2_Punc</ability>
      <abilityName>标点符号检查</abilityName>
      <candidateList/>
      <explain>同一形式括号套用。</explain>
      <paraID> 6365689</paraID>
      <start>22</start>
      <end>23</end>
      <status>ignored</status>
      <modifiedWord/>
      <trackRevisions>false</trackRevisions>
    </reviewItem>
    <reviewItem>
      <errorID>cdf119db-0d6a-4edc-84ac-641e62a3fbbc</errorID>
      <errorWord>(</errorWord>
      <group>L1_Format</group>
      <groupName>格式问题</groupName>
      <ability>L2_HalfPunc</ability>
      <abilityName>全半角检查</abilityName>
      <candidateList>
        <item>（</item>
      </candidateList>
      <explain>文本全半角错误。</explain>
      <paraID>6842350D</paraID>
      <start>13</start>
      <end>14</end>
      <status>modified</status>
      <modifiedWord>（</modifiedWord>
      <trackRevisions>false</trackRevisions>
    </reviewItem>
    <reviewItem>
      <errorID>85dbc19c-3795-4c58-ba9f-ba5888466d21</errorID>
      <errorWord>)</errorWord>
      <group>L1_Format</group>
      <groupName>格式问题</groupName>
      <ability>L2_HalfPunc</ability>
      <abilityName>全半角检查</abilityName>
      <candidateList>
        <item>）</item>
      </candidateList>
      <explain>文本全半角错误。</explain>
      <paraID>6842350D</paraID>
      <start>15</start>
      <end>16</end>
      <status>modified</status>
      <modifiedWord>）</modifiedWord>
      <trackRevisions>false</trackRevisions>
    </reviewItem>
    <reviewItem>
      <errorID>3c473ba9-53f3-4305-9619-b046e7105939</errorID>
      <errorWord>（</errorWord>
      <group>L1_Format</group>
      <groupName>格式问题</groupName>
      <ability>L2_HalfPunc</ability>
      <abilityName>全半角检查</abilityName>
      <candidateList>
        <item>(</item>
      </candidateList>
      <explain>文本全半角错误。</explain>
      <paraID>1E4730E8</paraID>
      <start>0</start>
      <end>1</end>
      <status>modified</status>
      <modifiedWord>(</modifiedWord>
      <trackRevisions>false</trackRevisions>
    </reviewItem>
    <reviewItem>
      <errorID>b29fcde2-51f1-487c-b672-c683140b50f7</errorID>
      <errorWord>）</errorWord>
      <group>L1_Format</group>
      <groupName>格式问题</groupName>
      <ability>L2_HalfPunc</ability>
      <abilityName>全半角检查</abilityName>
      <candidateList>
        <item>)</item>
      </candidateList>
      <explain>文本全半角错误。</explain>
      <paraID>1E4730E8</paraID>
      <start>6</start>
      <end>7</end>
      <status>modified</status>
      <modifiedWord>)</modifiedWord>
      <trackRevisions>false</trackRevisions>
    </reviewItem>
    <reviewItem>
      <errorID>8cfd7bbc-862d-4ed2-92f2-0402c6a3eb95</errorID>
      <errorWord>（</errorWord>
      <group>L1_Format</group>
      <groupName>格式问题</groupName>
      <ability>L2_HalfPunc</ability>
      <abilityName>全半角检查</abilityName>
      <candidateList>
        <item>(</item>
      </candidateList>
      <explain>文本全半角错误。</explain>
      <paraID>4D6928ED</paraID>
      <start>0</start>
      <end>1</end>
      <status>modified</status>
      <modifiedWord>(</modifiedWord>
      <trackRevisions>false</trackRevisions>
    </reviewItem>
    <reviewItem>
      <errorID>56430b78-cad9-4178-808a-650254ae7f9d</errorID>
      <errorWord>）</errorWord>
      <group>L1_Format</group>
      <groupName>格式问题</groupName>
      <ability>L2_HalfPunc</ability>
      <abilityName>全半角检查</abilityName>
      <candidateList>
        <item>)</item>
      </candidateList>
      <explain>文本全半角错误。</explain>
      <paraID>4D6928ED</paraID>
      <start>4</start>
      <end>5</end>
      <status>modified</status>
      <modifiedWord>)</modifiedWord>
      <trackRevisions>false</trackRevisions>
    </reviewItem>
    <reviewItem>
      <errorID>59d8bf00-d078-4e31-a4ec-69137a2f9286</errorID>
      <errorWord>（</errorWord>
      <group>L1_Format</group>
      <groupName>格式问题</groupName>
      <ability>L2_HalfPunc</ability>
      <abilityName>全半角检查</abilityName>
      <candidateList>
        <item>(</item>
      </candidateList>
      <explain>文本全半角错误。</explain>
      <paraID>4AB9EFC9</paraID>
      <start>0</start>
      <end>1</end>
      <status>modified</status>
      <modifiedWord>(</modifiedWord>
      <trackRevisions>false</trackRevisions>
    </reviewItem>
    <reviewItem>
      <errorID>ff89c576-ece5-486d-86ff-23b2abe04318</errorID>
      <errorWord>）</errorWord>
      <group>L1_Format</group>
      <groupName>格式问题</groupName>
      <ability>L2_HalfPunc</ability>
      <abilityName>全半角检查</abilityName>
      <candidateList>
        <item>)</item>
      </candidateList>
      <explain>文本全半角错误。</explain>
      <paraID>4AB9EFC9</paraID>
      <start>6</start>
      <end>7</end>
      <status>modified</status>
      <modifiedWord>)</modifiedWord>
      <trackRevisions>false</trackRevisions>
    </reviewItem>
    <reviewItem>
      <errorID>e68d06bd-2bbe-4039-9ec1-4f0beff1cf23</errorID>
      <errorWord>（</errorWord>
      <group>L1_Format</group>
      <groupName>格式问题</groupName>
      <ability>L2_HalfPunc</ability>
      <abilityName>全半角检查</abilityName>
      <candidateList>
        <item>(</item>
      </candidateList>
      <explain>文本全半角错误。</explain>
      <paraID>794CFFE5</paraID>
      <start>0</start>
      <end>1</end>
      <status>modified</status>
      <modifiedWord>(</modifiedWord>
      <trackRevisions>false</trackRevisions>
    </reviewItem>
    <reviewItem>
      <errorID>4078679b-2422-42b4-b535-fcc82d689136</errorID>
      <errorWord>）</errorWord>
      <group>L1_Format</group>
      <groupName>格式问题</groupName>
      <ability>L2_HalfPunc</ability>
      <abilityName>全半角检查</abilityName>
      <candidateList>
        <item>)</item>
      </candidateList>
      <explain>文本全半角错误。</explain>
      <paraID>794CFFE5</paraID>
      <start>4</start>
      <end>5</end>
      <status>modified</status>
      <modifiedWord>)</modifiedWord>
      <trackRevisions>false</trackRevisions>
    </reviewItem>
    <reviewItem>
      <errorID>e4463549-64e7-4c78-b9f4-b3f15b9a5ee8</errorID>
      <errorWord>（</errorWord>
      <group>L1_Format</group>
      <groupName>格式问题</groupName>
      <ability>L2_HalfPunc</ability>
      <abilityName>全半角检查</abilityName>
      <candidateList>
        <item>(</item>
      </candidateList>
      <explain>文本全半角错误。</explain>
      <paraID>2E0EA9F7</paraID>
      <start>0</start>
      <end>1</end>
      <status>modified</status>
      <modifiedWord>(</modifiedWord>
      <trackRevisions>false</trackRevisions>
    </reviewItem>
    <reviewItem>
      <errorID>d9658856-0e80-4204-bf04-6106f241a888</errorID>
      <errorWord>）</errorWord>
      <group>L1_Format</group>
      <groupName>格式问题</groupName>
      <ability>L2_HalfPunc</ability>
      <abilityName>全半角检查</abilityName>
      <candidateList>
        <item>)</item>
      </candidateList>
      <explain>文本全半角错误。</explain>
      <paraID>2E0EA9F7</paraID>
      <start>4</start>
      <end>5</end>
      <status>modified</status>
      <modifiedWord>)</modifiedWord>
      <trackRevisions>false</trackRevisions>
    </reviewItem>
    <reviewItem>
      <errorID>2d5ab0dd-9159-4820-957d-699760a1cfaa</errorID>
      <errorWord>（</errorWord>
      <group>L1_Format</group>
      <groupName>格式问题</groupName>
      <ability>L2_HalfPunc</ability>
      <abilityName>全半角检查</abilityName>
      <candidateList>
        <item>(</item>
      </candidateList>
      <explain>文本全半角错误。</explain>
      <paraID>294D4768</paraID>
      <start>0</start>
      <end>1</end>
      <status>modified</status>
      <modifiedWord>(</modifiedWord>
      <trackRevisions>false</trackRevisions>
    </reviewItem>
    <reviewItem>
      <errorID>6107c4f6-ad1d-4c72-aff5-2e61f434e327</errorID>
      <errorWord>）</errorWord>
      <group>L1_Format</group>
      <groupName>格式问题</groupName>
      <ability>L2_HalfPunc</ability>
      <abilityName>全半角检查</abilityName>
      <candidateList>
        <item>)</item>
      </candidateList>
      <explain>文本全半角错误。</explain>
      <paraID>294D4768</paraID>
      <start>4</start>
      <end>5</end>
      <status>modified</status>
      <modifiedWord>)</modifiedWord>
      <trackRevisions>false</trackRevisions>
    </reviewItem>
    <reviewItem>
      <errorID>3cb69b2d-cb1e-44b3-bc42-1788db52e5e2</errorID>
      <errorWord>气简</errorWord>
      <group>L1_Word</group>
      <groupName>字词问题</groupName>
      <ability>L2_Typo</ability>
      <abilityName>字词错误</abilityName>
      <candidateList>
        <item>气筒</item>
      </candidateList>
      <explain/>
      <paraID>1DD8C96D</paraID>
      <start>54</start>
      <end>56</end>
      <status>modified</status>
      <modifiedWord>气筒</modifiedWord>
      <trackRevisions>false</trackRevisions>
    </reviewItem>
    <reviewItem>
      <errorID>bde55a3a-ef85-4ef1-82b9-b92d89a1e003</errorID>
      <errorWord>(</errorWord>
      <group>L1_Format</group>
      <groupName>格式问题</groupName>
      <ability>L2_HalfPunc</ability>
      <abilityName>全半角检查</abilityName>
      <candidateList>
        <item>（</item>
      </candidateList>
      <explain>文本全半角错误。</explain>
      <paraID>1DD8C96D</paraID>
      <start>78</start>
      <end>79</end>
      <status>modified</status>
      <modifiedWord>（</modifiedWord>
      <trackRevisions>false</trackRevisions>
    </reviewItem>
    <reviewItem>
      <errorID>33321f6b-b2be-40f3-bea1-83c22fa7d667</errorID>
      <errorWord>)</errorWord>
      <group>L1_Format</group>
      <groupName>格式问题</groupName>
      <ability>L2_HalfPunc</ability>
      <abilityName>全半角检查</abilityName>
      <candidateList>
        <item>）</item>
      </candidateList>
      <explain>文本全半角错误。</explain>
      <paraID>1DD8C96D</paraID>
      <start>95</start>
      <end>96</end>
      <status>modified</status>
      <modifiedWord>）</modifiedWord>
      <trackRevisions>false</trackRevisions>
    </reviewItem>
    <reviewItem>
      <errorID>0d89b984-2859-44f3-b270-8bc2bce23b85</errorID>
      <errorWord>（</errorWord>
      <group>L1_Format</group>
      <groupName>格式问题</groupName>
      <ability>L2_HalfPunc</ability>
      <abilityName>全半角检查</abilityName>
      <candidateList>
        <item>(</item>
      </candidateList>
      <explain>文本全半角错误。</explain>
      <paraID>5DD5A519</paraID>
      <start>0</start>
      <end>1</end>
      <status>modified</status>
      <modifiedWord>(</modifiedWord>
      <trackRevisions>false</trackRevisions>
    </reviewItem>
    <reviewItem>
      <errorID>0e19657b-dedf-428d-aaef-846e9395f3c5</errorID>
      <errorWord>）</errorWord>
      <group>L1_Format</group>
      <groupName>格式问题</groupName>
      <ability>L2_HalfPunc</ability>
      <abilityName>全半角检查</abilityName>
      <candidateList>
        <item>)</item>
      </candidateList>
      <explain>文本全半角错误。</explain>
      <paraID>5DD5A519</paraID>
      <start>6</start>
      <end>7</end>
      <status>modified</status>
      <modifiedWord>)</modifiedWord>
      <trackRevisions>false</trackRevisions>
    </reviewItem>
    <reviewItem>
      <errorID>10f33a19-7a72-4771-9e01-f72f7a8b78e9</errorID>
      <errorWord>；</errorWord>
      <group>L1_Format</group>
      <groupName>格式问题</groupName>
      <ability>L2_HalfPunc</ability>
      <abilityName>全半角检查</abilityName>
      <candidateList>
        <item>;</item>
      </candidateList>
      <explain>文本全半角错误。</explain>
      <paraID>5C6E5457</paraID>
      <start>10</start>
      <end>11</end>
      <status>modified</status>
      <modifiedWord>;</modifiedWord>
      <trackRevisions>false</trackRevisions>
    </reviewItem>
    <reviewItem>
      <errorID>3e867e61-6b39-4372-b4d3-2f3a38fbf15c</errorID>
      <errorWord>；</errorWord>
      <group>L1_Format</group>
      <groupName>格式问题</groupName>
      <ability>L2_HalfPunc</ability>
      <abilityName>全半角检查</abilityName>
      <candidateList>
        <item>;</item>
      </candidateList>
      <explain>文本全半角错误。</explain>
      <paraID>75CCBDFD</paraID>
      <start>10</start>
      <end>11</end>
      <status>modified</status>
      <modifiedWord>;</modifiedWord>
      <trackRevisions>false</trackRevisions>
    </reviewItem>
    <reviewItem>
      <errorID>02db73d8-8226-4c86-b500-4c92b858d562</errorID>
      <errorWord>；</errorWord>
      <group>L1_Format</group>
      <groupName>格式问题</groupName>
      <ability>L2_HalfPunc</ability>
      <abilityName>全半角检查</abilityName>
      <candidateList>
        <item>;</item>
      </candidateList>
      <explain>文本全半角错误。</explain>
      <paraID>31A382F9</paraID>
      <start>10</start>
      <end>11</end>
      <status>modified</status>
      <modifiedWord>;</modifiedWord>
      <trackRevisions>false</trackRevisions>
    </reviewItem>
    <reviewItem>
      <errorID>09143d03-5019-45df-bceb-61bac8c088f4</errorID>
      <errorWord>等</errorWord>
      <group>L1_Word</group>
      <groupName>字词问题</groupName>
      <ability>L2_Typo</ability>
      <abilityName>字词错误</abilityName>
      <candidateList>
        <item>等级</item>
      </candidateList>
      <explain>〈名〉按质量、程度、地位等的差异而作出的区别：按商品～规定价格。</explain>
      <paraID>16FC59FE</paraID>
      <start>74</start>
      <end>76</end>
      <status>modified</status>
      <modifiedWord>等级</modifiedWord>
      <trackRevisions>false</trackRevisions>
    </reviewItem>
    <reviewItem>
      <errorID>3186e4d8-d6f6-41b7-8d10-c2c13d840771</errorID>
      <errorWord>,</errorWord>
      <group>L1_Format</group>
      <groupName>格式问题</groupName>
      <ability>L2_HalfPunc</ability>
      <abilityName>全半角检查</abilityName>
      <candidateList>
        <item>，</item>
      </candidateList>
      <explain>文本全半角错误。</explain>
      <paraID>16FC59FE</paraID>
      <start>81</start>
      <end>82</end>
      <status>modified</status>
      <modifiedWord>，</modifiedWord>
      <trackRevisions>false</trackRevisions>
    </reviewItem>
    <reviewItem>
      <errorID>bfc726a6-2ea2-401b-b1a8-0cb8922fb3b0</errorID>
      <errorWord>(</errorWord>
      <group>L1_Format</group>
      <groupName>格式问题</groupName>
      <ability>L2_HalfPunc</ability>
      <abilityName>全半角检查</abilityName>
      <candidateList>
        <item>（</item>
      </candidateList>
      <explain>文本全半角错误。</explain>
      <paraID>29EB974E</paraID>
      <start>3</start>
      <end>4</end>
      <status>modified</status>
      <modifiedWord>（</modifiedWord>
      <trackRevisions>false</trackRevisions>
    </reviewItem>
    <reviewItem>
      <errorID>28659b61-f7f6-4103-8ebf-0d84c0774d9e</errorID>
      <errorWord>)</errorWord>
      <group>L1_Format</group>
      <groupName>格式问题</groupName>
      <ability>L2_HalfPunc</ability>
      <abilityName>全半角检查</abilityName>
      <candidateList>
        <item>）</item>
      </candidateList>
      <explain>文本全半角错误。</explain>
      <paraID>29EB974E</paraID>
      <start>9</start>
      <end>10</end>
      <status>modified</status>
      <modifiedWord>）</modifiedWord>
      <trackRevisions>false</trackRevisions>
    </reviewItem>
    <reviewItem>
      <errorID>d196efce-397f-414f-a349-345f0a6deb86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77BA2E0B</paraID>
      <start>0</start>
      <end>1</end>
      <status>ignored</status>
      <modifiedWord/>
      <trackRevisions>false</trackRevisions>
    </reviewItem>
    <reviewItem>
      <errorID>a68d39ed-df2c-4f5c-b98a-cda8cd289e55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22919793</paraID>
      <start>103</start>
      <end>104</end>
      <status>modified</status>
      <modifiedWord>—</modifiedWord>
      <trackRevisions>false</trackRevisions>
    </reviewItem>
    <reviewItem>
      <errorID>dbc6dcf6-f6f9-4d67-aa04-6bb839cd569f</errorID>
      <errorWord>期</errorWord>
      <group>L1_Word</group>
      <groupName>字词问题</groupName>
      <ability>L2_Typo</ability>
      <abilityName>字词错误</abilityName>
      <candidateList>
        <item>期间</item>
      </candidateList>
      <explain>〈名〉某个时期里面：农忙～｜春节～｜抗战～。</explain>
      <paraID>785398A3</paraID>
      <start>73</start>
      <end>75</end>
      <status>modified</status>
      <modifiedWord>期间</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77e0f-1472-4994-9a30-132aed8b1ef9}">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6537</Words>
  <Characters>6882</Characters>
  <Lines>0</Lines>
  <Paragraphs>0</Paragraphs>
  <TotalTime>7</TotalTime>
  <ScaleCrop>false</ScaleCrop>
  <LinksUpToDate>false</LinksUpToDate>
  <CharactersWithSpaces>6916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2026-05-12T02:50:00Z</dcterms:created>
  <dc:creator>^[^【ZLDX】</dc:creator>
  <cp:lastModifiedBy>^[^【ZLDX】</cp:lastModifiedBy>
  <dcterms:modified xsi:type="dcterms:W3CDTF">2026-06-08T10:28:37Z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EEBFA46AB1554840B2D856C618666194_13</vt:lpwstr>
  </property>
  <property fmtid="{D5CDD505-2E9C-101B-9397-08002B2CF9AE}" pid="4" name="KSOTemplateDocerSaveRecord">
    <vt:lpwstr>eyJoZGlkIjoiMDc4YzNhZTIxOGVmNzc5NDA4YjRkMmU2MzRkZDBmYmMiLCJ1c2VySWQiOiI1MzA1NzY5NzAifQ==</vt:lpwstr>
  </property>
</Properties>
</file>