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0C6A9">
      <w:pPr>
        <w:keepNext w:val="0"/>
        <w:keepLines w:val="0"/>
        <w:pageBreakBefore w:val="0"/>
        <w:widowControl w:val="0"/>
        <w:tabs>
          <w:tab w:val="left" w:pos="4982"/>
        </w:tabs>
        <w:kinsoku/>
        <w:wordWrap/>
        <w:overflowPunct/>
        <w:topLinePunct w:val="0"/>
        <w:autoSpaceDE/>
        <w:autoSpaceDN/>
        <w:bidi w:val="0"/>
        <w:adjustRightInd/>
        <w:snapToGrid/>
        <w:spacing w:line="800" w:lineRule="exact"/>
        <w:textAlignment w:val="auto"/>
        <w:rPr>
          <w:rFonts w:hint="default" w:ascii="仿宋_GB2312" w:eastAsia="仿宋_GB2312"/>
          <w:snapToGrid w:val="0"/>
          <w:kern w:val="0"/>
          <w:sz w:val="32"/>
          <w:szCs w:val="32"/>
          <w:lang w:val="en-US" w:eastAsia="zh-CN"/>
        </w:rPr>
      </w:pPr>
      <w:r>
        <w:rPr>
          <w:rFonts w:hint="eastAsia" w:ascii="仿宋_GB2312" w:eastAsia="仿宋_GB2312"/>
          <w:snapToGrid w:val="0"/>
          <w:kern w:val="0"/>
          <w:sz w:val="32"/>
          <w:szCs w:val="32"/>
          <w:lang w:val="en-US" w:eastAsia="zh-CN"/>
        </w:rPr>
        <w:tab/>
      </w:r>
    </w:p>
    <w:p w14:paraId="28A958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kern w:val="0"/>
          <w:sz w:val="32"/>
          <w:szCs w:val="32"/>
        </w:rPr>
      </w:pPr>
      <w:r>
        <w:rPr>
          <w:rFonts w:hint="eastAsia" w:ascii="仿宋_GB2312" w:eastAsia="仿宋_GB2312"/>
          <w:snapToGrid w:val="0"/>
          <w:kern w:val="0"/>
          <w:sz w:val="32"/>
          <w:szCs w:val="32"/>
        </w:rPr>
        <w:t xml:space="preserve">                              </w:t>
      </w:r>
      <w:r>
        <w:rPr>
          <w:rFonts w:hint="default" w:ascii="Times New Roman" w:hAnsi="Times New Roman" w:eastAsia="仿宋_GB2312" w:cs="Times New Roman"/>
          <w:snapToGrid w:val="0"/>
          <w:kern w:val="0"/>
          <w:sz w:val="32"/>
          <w:szCs w:val="32"/>
        </w:rPr>
        <w:t xml:space="preserve">  师市环审〔202</w:t>
      </w:r>
      <w:r>
        <w:rPr>
          <w:rFonts w:hint="eastAsia" w:eastAsia="仿宋_GB2312" w:cs="Times New Roman"/>
          <w:snapToGrid w:val="0"/>
          <w:kern w:val="0"/>
          <w:sz w:val="32"/>
          <w:szCs w:val="32"/>
          <w:lang w:val="en-US" w:eastAsia="zh-CN"/>
        </w:rPr>
        <w:t>6</w:t>
      </w:r>
      <w:r>
        <w:rPr>
          <w:rFonts w:hint="default" w:ascii="Times New Roman" w:hAnsi="Times New Roman" w:eastAsia="仿宋_GB2312" w:cs="Times New Roman"/>
          <w:snapToGrid w:val="0"/>
          <w:kern w:val="0"/>
          <w:sz w:val="32"/>
          <w:szCs w:val="32"/>
        </w:rPr>
        <w:t>〕</w:t>
      </w:r>
      <w:r>
        <w:rPr>
          <w:rFonts w:hint="eastAsia" w:eastAsia="仿宋_GB2312" w:cs="Times New Roman"/>
          <w:snapToGrid w:val="0"/>
          <w:kern w:val="0"/>
          <w:sz w:val="32"/>
          <w:szCs w:val="32"/>
          <w:lang w:val="en-US" w:eastAsia="zh-CN"/>
        </w:rPr>
        <w:t>24</w:t>
      </w:r>
      <w:r>
        <w:rPr>
          <w:rFonts w:hint="default" w:ascii="Times New Roman" w:hAnsi="Times New Roman" w:eastAsia="仿宋_GB2312" w:cs="Times New Roman"/>
          <w:snapToGrid w:val="0"/>
          <w:kern w:val="0"/>
          <w:sz w:val="32"/>
          <w:szCs w:val="32"/>
        </w:rPr>
        <w:t>号</w:t>
      </w:r>
    </w:p>
    <w:p w14:paraId="798FD6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p>
    <w:p w14:paraId="5BF72F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val="0"/>
          <w:bCs/>
          <w:sz w:val="44"/>
          <w:szCs w:val="44"/>
          <w:lang w:val="zh-CN" w:eastAsia="zh-CN" w:bidi="ar"/>
        </w:rPr>
      </w:pPr>
      <w:r>
        <w:rPr>
          <w:rFonts w:hint="eastAsia" w:ascii="方正小标宋简体" w:hAnsi="宋体" w:eastAsia="方正小标宋简体"/>
          <w:bCs/>
          <w:snapToGrid w:val="0"/>
          <w:kern w:val="0"/>
          <w:sz w:val="44"/>
          <w:szCs w:val="44"/>
        </w:rPr>
        <w:t>关于</w:t>
      </w:r>
      <w:r>
        <w:rPr>
          <w:rFonts w:hint="eastAsia" w:ascii="方正小标宋简体" w:hAnsi="宋体" w:eastAsia="方正小标宋简体"/>
          <w:bCs/>
          <w:snapToGrid w:val="0"/>
          <w:kern w:val="0"/>
          <w:sz w:val="44"/>
          <w:szCs w:val="44"/>
          <w:lang w:val="zh-CN" w:eastAsia="zh-CN"/>
        </w:rPr>
        <w:t>新疆晟地沃丰生物科技有限公司年产3500吨环保安全型复配农药加工项目</w:t>
      </w:r>
    </w:p>
    <w:p w14:paraId="69BC86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lang w:val="zh-CN"/>
        </w:rPr>
        <w:t>环境影响报告</w:t>
      </w:r>
      <w:r>
        <w:rPr>
          <w:rFonts w:hint="eastAsia" w:ascii="方正小标宋简体" w:hAnsi="宋体" w:eastAsia="方正小标宋简体"/>
          <w:bCs/>
          <w:snapToGrid w:val="0"/>
          <w:kern w:val="0"/>
          <w:sz w:val="44"/>
          <w:szCs w:val="44"/>
        </w:rPr>
        <w:t>表</w:t>
      </w:r>
      <w:r>
        <w:rPr>
          <w:rFonts w:hint="eastAsia" w:ascii="方正小标宋简体" w:hAnsi="宋体" w:eastAsia="方正小标宋简体"/>
          <w:bCs/>
          <w:snapToGrid w:val="0"/>
          <w:kern w:val="0"/>
          <w:sz w:val="44"/>
          <w:szCs w:val="44"/>
          <w:lang w:val="en-US" w:eastAsia="zh-CN"/>
        </w:rPr>
        <w:t>的</w:t>
      </w:r>
      <w:r>
        <w:rPr>
          <w:rFonts w:hint="eastAsia" w:ascii="方正小标宋简体" w:hAnsi="宋体" w:eastAsia="方正小标宋简体"/>
          <w:bCs/>
          <w:snapToGrid w:val="0"/>
          <w:kern w:val="0"/>
          <w:sz w:val="44"/>
          <w:szCs w:val="44"/>
        </w:rPr>
        <w:t>批复</w:t>
      </w:r>
    </w:p>
    <w:p w14:paraId="2682C4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Cs/>
          <w:snapToGrid w:val="0"/>
          <w:kern w:val="0"/>
          <w:sz w:val="32"/>
          <w:szCs w:val="32"/>
        </w:rPr>
      </w:pPr>
    </w:p>
    <w:p w14:paraId="78FA592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eastAsia="zh-CN"/>
        </w:rPr>
        <w:t>新疆晟地沃丰生物科技有限公司</w:t>
      </w:r>
      <w:r>
        <w:rPr>
          <w:rFonts w:hint="default" w:ascii="Times New Roman" w:hAnsi="Times New Roman" w:eastAsia="仿宋_GB2312" w:cs="Times New Roman"/>
          <w:sz w:val="32"/>
          <w:szCs w:val="32"/>
        </w:rPr>
        <w:t>：</w:t>
      </w:r>
    </w:p>
    <w:p w14:paraId="662674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你公司《关于审批&lt;</w:t>
      </w:r>
      <w:r>
        <w:rPr>
          <w:rFonts w:hint="default" w:ascii="Times New Roman" w:hAnsi="Times New Roman" w:eastAsia="仿宋_GB2312" w:cs="Times New Roman"/>
          <w:sz w:val="32"/>
          <w:szCs w:val="32"/>
          <w:lang w:val="zh-CN" w:eastAsia="zh-CN"/>
        </w:rPr>
        <w:t>新疆晟地沃丰生物科技有限公司年产3500吨</w:t>
      </w:r>
      <w:r>
        <w:rPr>
          <w:rFonts w:hint="default" w:ascii="Times New Roman" w:hAnsi="Times New Roman" w:eastAsia="仿宋_GB2312" w:cs="Times New Roman"/>
          <w:sz w:val="32"/>
          <w:szCs w:val="32"/>
        </w:rPr>
        <w:t>&gt;的请示》收悉。经研究，批复如下：</w:t>
      </w:r>
    </w:p>
    <w:p w14:paraId="080CE2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一、该项目</w:t>
      </w:r>
      <w:r>
        <w:rPr>
          <w:rFonts w:hint="default" w:ascii="Times New Roman" w:hAnsi="Times New Roman" w:eastAsia="仿宋_GB2312" w:cs="Times New Roman"/>
          <w:sz w:val="32"/>
          <w:szCs w:val="32"/>
          <w:lang w:val="en-US" w:eastAsia="zh-CN"/>
        </w:rPr>
        <w:t>位于第七师胡杨河经济技术开发区</w:t>
      </w:r>
      <w:r>
        <w:rPr>
          <w:rFonts w:hint="eastAsia" w:eastAsia="仿宋_GB2312" w:cs="Times New Roman"/>
          <w:sz w:val="32"/>
          <w:szCs w:val="32"/>
          <w:lang w:val="en-US" w:eastAsia="zh-CN"/>
        </w:rPr>
        <w:t>南园区</w:t>
      </w:r>
      <w:r>
        <w:rPr>
          <w:rFonts w:hint="default" w:ascii="Times New Roman" w:hAnsi="Times New Roman" w:eastAsia="仿宋_GB2312" w:cs="Times New Roman"/>
          <w:sz w:val="32"/>
          <w:szCs w:val="32"/>
          <w:lang w:val="en-US" w:eastAsia="zh-CN"/>
        </w:rPr>
        <w:t>，项目区中心地理位置坐标为</w:t>
      </w:r>
      <w:bookmarkStart w:id="0" w:name="_Hlk180516248"/>
      <w:r>
        <w:rPr>
          <w:rFonts w:hint="default" w:ascii="Times New Roman" w:hAnsi="Times New Roman" w:eastAsia="仿宋_GB2312" w:cs="Times New Roman"/>
          <w:sz w:val="32"/>
          <w:szCs w:val="32"/>
          <w:lang w:val="en-US" w:eastAsia="zh-CN"/>
        </w:rPr>
        <w:t>东经84°51'29.307″，北纬44°50'11.680″。</w:t>
      </w:r>
      <w:bookmarkEnd w:id="0"/>
      <w:r>
        <w:rPr>
          <w:rFonts w:hint="default" w:ascii="Times New Roman" w:hAnsi="Times New Roman" w:eastAsia="仿宋_GB2312" w:cs="Times New Roman"/>
          <w:sz w:val="32"/>
          <w:szCs w:val="32"/>
          <w:lang w:val="en-US" w:eastAsia="zh-CN"/>
        </w:rPr>
        <w:t>项目</w:t>
      </w:r>
      <w:r>
        <w:rPr>
          <w:rFonts w:hint="eastAsia" w:eastAsia="仿宋_GB2312" w:cs="Times New Roman"/>
          <w:sz w:val="32"/>
          <w:szCs w:val="32"/>
          <w:lang w:val="en-US" w:eastAsia="zh-CN"/>
        </w:rPr>
        <w:t>新建水剂生产车间一栋，水悬浮剂生产车间一栋，水乳剂生产车间一栋，可湿性粉剂生产车间一栋</w:t>
      </w:r>
      <w:r>
        <w:rPr>
          <w:rFonts w:hint="default" w:ascii="Times New Roman" w:hAnsi="Times New Roman" w:eastAsia="仿宋_GB2312" w:cs="Times New Roman"/>
          <w:sz w:val="32"/>
          <w:szCs w:val="32"/>
          <w:lang w:val="en-US" w:eastAsia="zh-CN"/>
        </w:rPr>
        <w:t>，并配套建设其他附属设施。项目总投资35644.17万元，环保投资为115万元，环保投资占总投资的0.32%。</w:t>
      </w:r>
    </w:p>
    <w:p w14:paraId="61BE4A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项目实施后会对环境造成一定不利影响，必须严格落实各项污染防治和生态环境保护措施，采取严格的环境风险防范措施、环境管理制度、环境监控和应急措施。综合考虑，我局原则同意该项目环境影响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中所列建设项目的性质、规模、地点、工艺和环境保护对策措施。</w:t>
      </w:r>
    </w:p>
    <w:p w14:paraId="7DCF6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14:paraId="1068DE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（一）严格落实大气污染防治措施。</w:t>
      </w:r>
      <w:r>
        <w:rPr>
          <w:rFonts w:hint="default" w:ascii="Times New Roman" w:hAnsi="Times New Roman" w:eastAsia="仿宋_GB2312" w:cs="Times New Roman"/>
          <w:b w:val="0"/>
          <w:bCs/>
          <w:sz w:val="32"/>
          <w:szCs w:val="32"/>
          <w:lang w:val="en-US" w:eastAsia="zh-CN"/>
        </w:rPr>
        <w:t>可湿性粉剂生产线颗粒物废气，经集气罩收集</w:t>
      </w:r>
      <w:r>
        <w:rPr>
          <w:rFonts w:hint="eastAsia"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布袋除尘器处理后，由15m</w:t>
      </w:r>
      <w:r>
        <w:rPr>
          <w:rFonts w:hint="eastAsia" w:eastAsia="仿宋_GB2312" w:cs="Times New Roman"/>
          <w:b w:val="0"/>
          <w:bCs/>
          <w:sz w:val="32"/>
          <w:szCs w:val="32"/>
          <w:lang w:val="en-US" w:eastAsia="zh-CN"/>
        </w:rPr>
        <w:t>高的</w:t>
      </w:r>
      <w:r>
        <w:rPr>
          <w:rFonts w:hint="default" w:ascii="Times New Roman" w:hAnsi="Times New Roman" w:eastAsia="仿宋_GB2312" w:cs="Times New Roman"/>
          <w:b w:val="0"/>
          <w:bCs/>
          <w:sz w:val="32"/>
          <w:szCs w:val="32"/>
          <w:lang w:val="en-US" w:eastAsia="zh-CN"/>
        </w:rPr>
        <w:t>排气筒排放（DA00</w:t>
      </w:r>
      <w:r>
        <w:rPr>
          <w:rFonts w:hint="eastAsia" w:eastAsia="仿宋_GB2312" w:cs="Times New Roman"/>
          <w:b w:val="0"/>
          <w:bCs/>
          <w:sz w:val="32"/>
          <w:szCs w:val="32"/>
          <w:lang w:val="en-US" w:eastAsia="zh-CN"/>
        </w:rPr>
        <w:t>1</w:t>
      </w:r>
      <w:r>
        <w:rPr>
          <w:rFonts w:hint="default" w:ascii="Times New Roman" w:hAnsi="Times New Roman" w:eastAsia="仿宋_GB2312" w:cs="Times New Roman"/>
          <w:b w:val="0"/>
          <w:bCs/>
          <w:sz w:val="32"/>
          <w:szCs w:val="32"/>
          <w:lang w:val="en-US" w:eastAsia="zh-CN"/>
        </w:rPr>
        <w:t>）。水乳剂生产线非甲烷总烃废气通过管道收集经二级活性炭处理后，由1根15m排放</w:t>
      </w:r>
      <w:r>
        <w:rPr>
          <w:rFonts w:hint="eastAsia" w:eastAsia="仿宋_GB2312" w:cs="Times New Roman"/>
          <w:b w:val="0"/>
          <w:bCs/>
          <w:sz w:val="32"/>
          <w:szCs w:val="32"/>
          <w:lang w:val="en-US" w:eastAsia="zh-CN"/>
        </w:rPr>
        <w:t>高的</w:t>
      </w:r>
      <w:r>
        <w:rPr>
          <w:rFonts w:hint="default" w:ascii="Times New Roman" w:hAnsi="Times New Roman" w:eastAsia="仿宋_GB2312" w:cs="Times New Roman"/>
          <w:b w:val="0"/>
          <w:bCs/>
          <w:sz w:val="32"/>
          <w:szCs w:val="32"/>
          <w:lang w:val="en-US" w:eastAsia="zh-CN"/>
        </w:rPr>
        <w:t>排气筒排放（DA00</w:t>
      </w:r>
      <w:r>
        <w:rPr>
          <w:rFonts w:hint="eastAsia" w:eastAsia="仿宋_GB2312" w:cs="Times New Roman"/>
          <w:b w:val="0"/>
          <w:bCs/>
          <w:sz w:val="32"/>
          <w:szCs w:val="32"/>
          <w:lang w:val="en-US" w:eastAsia="zh-CN"/>
        </w:rPr>
        <w:t>2</w:t>
      </w:r>
      <w:r>
        <w:rPr>
          <w:rFonts w:hint="default" w:ascii="Times New Roman" w:hAnsi="Times New Roman" w:eastAsia="仿宋_GB2312" w:cs="Times New Roman"/>
          <w:b w:val="0"/>
          <w:bCs/>
          <w:sz w:val="32"/>
          <w:szCs w:val="32"/>
          <w:lang w:val="en-US" w:eastAsia="zh-CN"/>
        </w:rPr>
        <w:t>）。油烟经过油烟净化装置处理后通过15m排烟管</w:t>
      </w:r>
      <w:r>
        <w:rPr>
          <w:rFonts w:hint="eastAsia" w:eastAsia="仿宋_GB2312" w:cs="Times New Roman"/>
          <w:b w:val="0"/>
          <w:bCs/>
          <w:sz w:val="32"/>
          <w:szCs w:val="32"/>
          <w:lang w:val="en-US" w:eastAsia="zh-CN"/>
        </w:rPr>
        <w:t>排放</w:t>
      </w:r>
      <w:r>
        <w:rPr>
          <w:rFonts w:hint="default" w:ascii="Times New Roman" w:hAnsi="Times New Roman" w:eastAsia="仿宋_GB2312" w:cs="Times New Roman"/>
          <w:b w:val="0"/>
          <w:bCs/>
          <w:sz w:val="32"/>
          <w:szCs w:val="32"/>
          <w:lang w:val="en-US" w:eastAsia="zh-CN"/>
        </w:rPr>
        <w:t>。颗粒物、非甲烷总烃</w:t>
      </w:r>
      <w:r>
        <w:rPr>
          <w:rFonts w:hint="eastAsia" w:eastAsia="仿宋_GB2312" w:cs="Times New Roman"/>
          <w:b w:val="0"/>
          <w:bCs/>
          <w:sz w:val="32"/>
          <w:szCs w:val="32"/>
          <w:lang w:val="en-US" w:eastAsia="zh-CN"/>
        </w:rPr>
        <w:t>排放执行</w:t>
      </w:r>
      <w:r>
        <w:rPr>
          <w:rFonts w:hint="default" w:ascii="Times New Roman" w:hAnsi="Times New Roman" w:eastAsia="仿宋_GB2312" w:cs="Times New Roman"/>
          <w:b w:val="0"/>
          <w:bCs/>
          <w:sz w:val="32"/>
          <w:szCs w:val="32"/>
          <w:lang w:val="en-US" w:eastAsia="zh-CN"/>
        </w:rPr>
        <w:t>《农药制造工业大气污染物排放标准》（GB39727-2020）表1中大气污染物排放标准限值。食堂油烟</w:t>
      </w:r>
      <w:r>
        <w:rPr>
          <w:rFonts w:hint="eastAsia" w:eastAsia="仿宋_GB2312" w:cs="Times New Roman"/>
          <w:b w:val="0"/>
          <w:bCs/>
          <w:sz w:val="32"/>
          <w:szCs w:val="32"/>
          <w:lang w:val="en-US" w:eastAsia="zh-CN"/>
        </w:rPr>
        <w:t>执行</w:t>
      </w:r>
      <w:r>
        <w:rPr>
          <w:rFonts w:hint="default" w:ascii="Times New Roman" w:hAnsi="Times New Roman" w:eastAsia="仿宋_GB2312" w:cs="Times New Roman"/>
          <w:b w:val="0"/>
          <w:bCs/>
          <w:sz w:val="32"/>
          <w:szCs w:val="32"/>
          <w:lang w:val="en-US" w:eastAsia="zh-CN"/>
        </w:rPr>
        <w:t>《饮食业油烟排放标准（试行）》（GB18483-2001）表2标准限值。</w:t>
      </w:r>
    </w:p>
    <w:p w14:paraId="54C030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项目悬浮剂、水乳剂、水剂生产线在投料口设置三面围挡，设置于封闭式生产车间内</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采取加强生产设备设施管理、提高生产废气收集效率等措施减少无组织废气排放；水乳剂生产线异味气体</w:t>
      </w:r>
      <w:r>
        <w:rPr>
          <w:rFonts w:hint="eastAsia" w:eastAsia="仿宋_GB2312" w:cs="Times New Roman"/>
          <w:sz w:val="32"/>
          <w:szCs w:val="32"/>
          <w:lang w:val="en-US" w:eastAsia="zh-CN"/>
        </w:rPr>
        <w:t>经</w:t>
      </w:r>
      <w:r>
        <w:rPr>
          <w:rFonts w:hint="default" w:ascii="Times New Roman" w:hAnsi="Times New Roman" w:eastAsia="仿宋_GB2312" w:cs="Times New Roman"/>
          <w:sz w:val="32"/>
          <w:szCs w:val="32"/>
          <w:lang w:val="en-US" w:eastAsia="zh-CN"/>
        </w:rPr>
        <w:t>两级活性炭吸附装置处理后引至排气筒高空排放，其余生产线无组织排放的异味经车间强制通风换气外排；实验废气设置通风橱，有机废气经收集后由管道通入活性炭吸附装置处理后排放，厂界颗粒物、非甲烷总烃排放浓度</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lang w:val="en-US" w:eastAsia="zh-CN"/>
        </w:rPr>
        <w:t>《大气污染物综合排放标准》（GB16297-1996）表2无组织排放监控浓度限值要求，厂区内非甲烷总烃排放</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lang w:val="en-US" w:eastAsia="zh-CN"/>
        </w:rPr>
        <w:t>《农药制造工业大气污染物排放标准》（GB39727-2020）表C.1中VOCs无组织排放限值要求。</w:t>
      </w:r>
    </w:p>
    <w:p w14:paraId="19D1FE28">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bCs/>
          <w:color w:val="auto"/>
          <w:kern w:val="2"/>
          <w:sz w:val="32"/>
          <w:szCs w:val="32"/>
          <w:lang w:val="en-US" w:eastAsia="zh-CN" w:bidi="ar-SA"/>
        </w:rPr>
        <w:t>该项目VOCS排放总量不超过0.</w:t>
      </w:r>
      <w:r>
        <w:rPr>
          <w:rFonts w:hint="eastAsia" w:eastAsia="仿宋_GB2312" w:cs="Times New Roman"/>
          <w:bCs/>
          <w:color w:val="auto"/>
          <w:kern w:val="2"/>
          <w:sz w:val="32"/>
          <w:szCs w:val="32"/>
          <w:lang w:val="en-US" w:eastAsia="zh-CN" w:bidi="ar-SA"/>
        </w:rPr>
        <w:t>3986</w:t>
      </w:r>
      <w:r>
        <w:rPr>
          <w:rFonts w:hint="eastAsia" w:ascii="Times New Roman" w:hAnsi="Times New Roman" w:eastAsia="仿宋_GB2312" w:cs="Times New Roman"/>
          <w:bCs/>
          <w:color w:val="auto"/>
          <w:kern w:val="2"/>
          <w:sz w:val="32"/>
          <w:szCs w:val="32"/>
          <w:lang w:val="en-US" w:eastAsia="zh-CN" w:bidi="ar-SA"/>
        </w:rPr>
        <w:t>吨/年。</w:t>
      </w:r>
    </w:p>
    <w:p w14:paraId="3A9950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（二）严格落实水污染防治措施。</w:t>
      </w:r>
      <w:r>
        <w:rPr>
          <w:rFonts w:hint="default" w:ascii="Times New Roman" w:hAnsi="Times New Roman" w:eastAsia="仿宋_GB2312" w:cs="Times New Roman"/>
          <w:sz w:val="32"/>
          <w:szCs w:val="32"/>
          <w:lang w:val="en-US" w:eastAsia="zh-CN"/>
        </w:rPr>
        <w:t>项目食堂废水先</w:t>
      </w:r>
      <w:bookmarkStart w:id="1" w:name="_GoBack"/>
      <w:bookmarkEnd w:id="1"/>
      <w:r>
        <w:rPr>
          <w:rFonts w:hint="default" w:ascii="Times New Roman" w:hAnsi="Times New Roman" w:eastAsia="仿宋_GB2312" w:cs="Times New Roman"/>
          <w:sz w:val="32"/>
          <w:szCs w:val="32"/>
          <w:lang w:val="en-US" w:eastAsia="zh-CN"/>
        </w:rPr>
        <w:t>进入隔油池处理后汇同生活废水和纯水制备废水一并进入预处理池，最终进入南园区污水处理厂处理。处理后的废水排放</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lang w:val="en-US" w:eastAsia="zh-CN"/>
        </w:rPr>
        <w:t>《农药工业水污染物排放标准》（GB 21523-2024）间接排放限值要求。</w:t>
      </w:r>
    </w:p>
    <w:p w14:paraId="1AC094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（三）严格落实噪声污染防治措施。选用低噪声设备，采用基础减震、消声以及隔声等措施，厂界噪声</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rPr>
        <w:t>《工业企业厂界环境噪声排放标准》（GB 12348-2008）中</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类功能区环境标准限值。</w:t>
      </w:r>
    </w:p>
    <w:p w14:paraId="440550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（四）严格落实固体废物分类处置和综合利用措施。</w:t>
      </w:r>
      <w:r>
        <w:rPr>
          <w:rFonts w:hint="eastAsia" w:eastAsia="仿宋_GB2312" w:cs="Times New Roman"/>
          <w:sz w:val="32"/>
          <w:szCs w:val="32"/>
          <w:lang w:val="en-US" w:eastAsia="zh-CN"/>
        </w:rPr>
        <w:t>危险废物中检修废物、废机油、废包装、废活性炭、检验废物、布袋除尘粉尘、不合格品、废布袋收集后在危废</w:t>
      </w:r>
      <w:r>
        <w:rPr>
          <w:rFonts w:hint="default" w:ascii="Times New Roman" w:hAnsi="Times New Roman" w:eastAsia="仿宋_GB2312" w:cs="Times New Roman"/>
          <w:bCs/>
          <w:sz w:val="32"/>
          <w:szCs w:val="32"/>
          <w:lang w:val="en-US" w:eastAsia="zh-CN"/>
        </w:rPr>
        <w:t>贮存库</w:t>
      </w:r>
      <w:r>
        <w:rPr>
          <w:rFonts w:hint="eastAsia" w:eastAsia="仿宋_GB2312" w:cs="Times New Roman"/>
          <w:sz w:val="32"/>
          <w:szCs w:val="32"/>
          <w:lang w:val="en-US" w:eastAsia="zh-CN"/>
        </w:rPr>
        <w:t>暂存，定期交由有资质的单位处置，清洗废液单独收集于专用防渗密闭清洗罐中，回用于生产。一般固体废物中预处理池污泥由专业单位清运，餐厨垃圾由处理单位收运处置，废RO膜交由供应商回收处置。</w:t>
      </w:r>
      <w:r>
        <w:rPr>
          <w:rFonts w:hint="default" w:ascii="Times New Roman" w:hAnsi="Times New Roman" w:eastAsia="仿宋_GB2312" w:cs="Times New Roman"/>
          <w:sz w:val="32"/>
          <w:szCs w:val="32"/>
          <w:lang w:val="en-US" w:eastAsia="zh-CN"/>
        </w:rPr>
        <w:t>危险废物的收集、贮存、运输须符合《危险废物收集 贮存 运输技术规范》（HJ2025-2012）及《危险废物贮存污染控制标准》（GB18597-2023）的相关要求</w:t>
      </w:r>
      <w:r>
        <w:rPr>
          <w:rFonts w:hint="default" w:ascii="Times New Roman" w:hAnsi="Times New Roman" w:eastAsia="仿宋_GB2312" w:cs="Times New Roman"/>
          <w:sz w:val="32"/>
          <w:szCs w:val="32"/>
        </w:rPr>
        <w:t>。生活垃圾收集后</w:t>
      </w:r>
      <w:r>
        <w:rPr>
          <w:rFonts w:hint="default" w:ascii="Times New Roman" w:hAnsi="Times New Roman" w:eastAsia="仿宋_GB2312" w:cs="Times New Roman"/>
          <w:sz w:val="32"/>
          <w:szCs w:val="32"/>
          <w:lang w:val="en-US" w:eastAsia="zh-CN"/>
        </w:rPr>
        <w:t>定期清运至南园区生活垃圾填埋场处理。</w:t>
      </w:r>
    </w:p>
    <w:p w14:paraId="1CE731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五</w:t>
      </w:r>
      <w:r>
        <w:rPr>
          <w:rFonts w:hint="default" w:ascii="Times New Roman" w:hAnsi="Times New Roman" w:eastAsia="仿宋_GB2312" w:cs="Times New Roman"/>
          <w:bCs/>
          <w:sz w:val="32"/>
          <w:szCs w:val="32"/>
        </w:rPr>
        <w:t>）严格落实地下水及土壤污染防治措施。</w:t>
      </w:r>
      <w:r>
        <w:rPr>
          <w:rFonts w:hint="default" w:ascii="Times New Roman" w:hAnsi="Times New Roman" w:eastAsia="仿宋_GB2312" w:cs="Times New Roman"/>
          <w:bCs/>
          <w:sz w:val="32"/>
          <w:szCs w:val="32"/>
          <w:lang w:eastAsia="zh-CN"/>
        </w:rPr>
        <w:t>按照源头防控、分区防治、污染监控、应急响应的原则进行地下水污染防治。严格按照导则要求，落实分区防渗和监控措施，</w:t>
      </w:r>
      <w:r>
        <w:rPr>
          <w:rFonts w:hint="default" w:ascii="Times New Roman" w:hAnsi="Times New Roman" w:eastAsia="仿宋_GB2312" w:cs="Times New Roman"/>
          <w:bCs/>
          <w:sz w:val="32"/>
          <w:szCs w:val="32"/>
          <w:lang w:val="en-US" w:eastAsia="zh-CN"/>
        </w:rPr>
        <w:t>对危废贮存库</w:t>
      </w:r>
      <w:r>
        <w:rPr>
          <w:rFonts w:hint="default" w:ascii="Times New Roman" w:hAnsi="Times New Roman" w:eastAsia="仿宋_GB2312" w:cs="Times New Roman"/>
          <w:bCs/>
          <w:sz w:val="32"/>
          <w:szCs w:val="32"/>
          <w:lang w:eastAsia="zh-CN"/>
        </w:rPr>
        <w:t>进行重点防渗</w:t>
      </w:r>
      <w:r>
        <w:rPr>
          <w:rFonts w:hint="eastAsia" w:eastAsia="仿宋_GB2312" w:cs="Times New Roman"/>
          <w:bCs/>
          <w:sz w:val="32"/>
          <w:szCs w:val="32"/>
          <w:lang w:val="en-US" w:eastAsia="zh-CN"/>
        </w:rPr>
        <w:t>。对车间、一般固废</w:t>
      </w:r>
      <w:r>
        <w:rPr>
          <w:rFonts w:hint="default" w:ascii="Times New Roman" w:hAnsi="Times New Roman" w:eastAsia="仿宋_GB2312" w:cs="Times New Roman"/>
          <w:bCs/>
          <w:sz w:val="32"/>
          <w:szCs w:val="32"/>
          <w:lang w:val="en-US" w:eastAsia="zh-CN"/>
        </w:rPr>
        <w:t>贮存</w:t>
      </w:r>
      <w:r>
        <w:rPr>
          <w:rFonts w:hint="eastAsia" w:eastAsia="仿宋_GB2312" w:cs="Times New Roman"/>
          <w:bCs/>
          <w:sz w:val="32"/>
          <w:szCs w:val="32"/>
          <w:lang w:val="en-US" w:eastAsia="zh-CN"/>
        </w:rPr>
        <w:t>库进行一般防渗。</w:t>
      </w:r>
      <w:r>
        <w:rPr>
          <w:rFonts w:hint="default" w:ascii="Times New Roman" w:hAnsi="Times New Roman" w:eastAsia="仿宋_GB2312" w:cs="Times New Roman"/>
          <w:bCs/>
          <w:sz w:val="32"/>
          <w:szCs w:val="32"/>
          <w:lang w:eastAsia="zh-CN"/>
        </w:rPr>
        <w:t>加强防渗设施的日常维护，对出现损坏的防渗设施应及时修复和加固，确保防渗设施牢固安全。</w:t>
      </w:r>
    </w:p>
    <w:p w14:paraId="123112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rPr>
        <w:t>）强化各项环境风险防范措施，有效防范环境风险。厂内定期开展环境风险应急培训和演练，落实各项应急环境管理措施以及各项风险防范措施，确保风险事故得到有效控制。</w:t>
      </w:r>
    </w:p>
    <w:p w14:paraId="64C635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七</w:t>
      </w:r>
      <w:r>
        <w:rPr>
          <w:rFonts w:hint="default" w:ascii="Times New Roman" w:hAnsi="Times New Roman" w:eastAsia="仿宋_GB2312" w:cs="Times New Roman"/>
          <w:bCs/>
          <w:sz w:val="32"/>
          <w:szCs w:val="32"/>
          <w:lang w:eastAsia="zh-CN"/>
        </w:rPr>
        <w:t>）加强施工期环境保护，落实防沙治沙措施，防止施工废水、扬尘、噪声污染。</w:t>
      </w:r>
    </w:p>
    <w:p w14:paraId="07F42C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八</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14:paraId="1FCD4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72B82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特别是不利环境影响加重</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的，应当重新报批该项目环境影响评价报告。</w:t>
      </w:r>
    </w:p>
    <w:p w14:paraId="6AE7B4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FF0000"/>
          <w:sz w:val="32"/>
          <w:szCs w:val="32"/>
          <w:highlight w:val="none"/>
        </w:rPr>
      </w:pPr>
      <w:r>
        <w:rPr>
          <w:rFonts w:hint="default" w:ascii="Times New Roman" w:hAnsi="Times New Roman" w:eastAsia="仿宋_GB2312" w:cs="Times New Roman"/>
          <w:bCs/>
          <w:sz w:val="32"/>
          <w:szCs w:val="32"/>
        </w:rPr>
        <w:t>六、在启动生产设施或者在实际排污之前，按照经批准的环境影响评价文件认真梳理并确认各项环境保护措施落实</w:t>
      </w:r>
      <w:r>
        <w:rPr>
          <w:rFonts w:hint="default" w:ascii="Times New Roman" w:hAnsi="Times New Roman" w:eastAsia="仿宋_GB2312" w:cs="Times New Roman"/>
          <w:bCs/>
          <w:color w:val="auto"/>
          <w:sz w:val="32"/>
          <w:szCs w:val="32"/>
        </w:rPr>
        <w:t>后，</w:t>
      </w:r>
      <w:r>
        <w:rPr>
          <w:rFonts w:hint="default" w:ascii="Times New Roman" w:hAnsi="Times New Roman" w:eastAsia="仿宋_GB2312" w:cs="Times New Roman"/>
          <w:bCs/>
          <w:color w:val="auto"/>
          <w:sz w:val="32"/>
          <w:szCs w:val="32"/>
          <w:highlight w:val="none"/>
        </w:rPr>
        <w:t>依法</w:t>
      </w:r>
      <w:r>
        <w:rPr>
          <w:rFonts w:hint="eastAsia" w:eastAsia="仿宋_GB2312" w:cs="Times New Roman"/>
          <w:bCs/>
          <w:color w:val="auto"/>
          <w:sz w:val="32"/>
          <w:szCs w:val="32"/>
          <w:highlight w:val="none"/>
          <w:lang w:val="en-US" w:eastAsia="zh-CN"/>
        </w:rPr>
        <w:t>办理排污许可证</w:t>
      </w:r>
      <w:r>
        <w:rPr>
          <w:rFonts w:hint="default" w:ascii="Times New Roman" w:hAnsi="Times New Roman" w:eastAsia="仿宋_GB2312" w:cs="Times New Roman"/>
          <w:bCs/>
          <w:color w:val="auto"/>
          <w:sz w:val="32"/>
          <w:szCs w:val="32"/>
          <w:highlight w:val="none"/>
        </w:rPr>
        <w:t>。</w:t>
      </w:r>
    </w:p>
    <w:p w14:paraId="2AAE67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胡杨河经济技术开发区应急管理和环境保护局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08C635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送师市生态环境保护综合行政执法支队、生态环境监测站、胡杨河经济技术开发区应急管理和环境保护局，并按规定接受各级生态环境主管部门的监督检查。</w:t>
      </w:r>
    </w:p>
    <w:p w14:paraId="28DC5263">
      <w:pPr>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ascii="Times New Roman" w:hAnsi="Times New Roman" w:eastAsia="仿宋_GB2312" w:cs="Times New Roman"/>
          <w:bCs/>
          <w:sz w:val="32"/>
          <w:szCs w:val="32"/>
        </w:rPr>
      </w:pPr>
    </w:p>
    <w:p w14:paraId="081ACF6B">
      <w:pPr>
        <w:pStyle w:val="3"/>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rPr>
      </w:pPr>
    </w:p>
    <w:p w14:paraId="1931BD59">
      <w:pPr>
        <w:spacing w:line="440" w:lineRule="exact"/>
        <w:ind w:firstLine="4160" w:firstLineChars="13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第七师胡杨河市生态环境局</w:t>
      </w:r>
    </w:p>
    <w:p w14:paraId="109E50DD">
      <w:pPr>
        <w:spacing w:line="440" w:lineRule="exact"/>
        <w:ind w:firstLine="5120" w:firstLineChars="1600"/>
        <w:rPr>
          <w:rFonts w:hint="eastAsia"/>
        </w:rPr>
      </w:pPr>
      <w:r>
        <w:rPr>
          <w:rFonts w:hint="default" w:ascii="Times New Roman" w:hAnsi="Times New Roman" w:eastAsia="仿宋_GB2312" w:cs="Times New Roman"/>
          <w:bCs/>
          <w:sz w:val="32"/>
          <w:szCs w:val="32"/>
        </w:rPr>
        <w:t>202</w:t>
      </w:r>
      <w:r>
        <w:rPr>
          <w:rFonts w:hint="eastAsia" w:eastAsia="仿宋_GB2312" w:cs="Times New Roman"/>
          <w:bCs/>
          <w:sz w:val="32"/>
          <w:szCs w:val="32"/>
          <w:lang w:val="en-US" w:eastAsia="zh-CN"/>
        </w:rPr>
        <w:t>6</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6</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4</w:t>
      </w:r>
      <w:r>
        <w:rPr>
          <w:rFonts w:hint="default" w:ascii="Times New Roman" w:hAnsi="Times New Roman" w:eastAsia="仿宋_GB2312" w:cs="Times New Roman"/>
          <w:bCs/>
          <w:sz w:val="32"/>
          <w:szCs w:val="32"/>
        </w:rPr>
        <w:t>日</w:t>
      </w:r>
    </w:p>
    <w:p w14:paraId="43838DB5">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418980D1">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4F61AFC8">
      <w:pPr>
        <w:pStyle w:val="3"/>
        <w:rPr>
          <w:rFonts w:hint="default" w:ascii="Times New Roman" w:hAnsi="Times New Roman" w:eastAsia="仿宋_GB2312" w:cs="Times New Roman"/>
          <w:sz w:val="28"/>
          <w:szCs w:val="28"/>
        </w:rPr>
      </w:pPr>
    </w:p>
    <w:p w14:paraId="020BBCE1">
      <w:pPr>
        <w:pStyle w:val="3"/>
        <w:rPr>
          <w:rFonts w:hint="default" w:ascii="Times New Roman" w:hAnsi="Times New Roman" w:eastAsia="仿宋_GB2312" w:cs="Times New Roman"/>
          <w:sz w:val="28"/>
          <w:szCs w:val="28"/>
        </w:rPr>
      </w:pPr>
    </w:p>
    <w:p w14:paraId="5BCACCC6">
      <w:pPr>
        <w:pStyle w:val="3"/>
        <w:rPr>
          <w:rFonts w:hint="default" w:ascii="Times New Roman" w:hAnsi="Times New Roman" w:eastAsia="仿宋_GB2312" w:cs="Times New Roman"/>
          <w:sz w:val="28"/>
          <w:szCs w:val="28"/>
        </w:rPr>
      </w:pPr>
    </w:p>
    <w:p w14:paraId="5A584573">
      <w:pPr>
        <w:pStyle w:val="3"/>
        <w:rPr>
          <w:rFonts w:hint="default" w:ascii="Times New Roman" w:hAnsi="Times New Roman" w:eastAsia="仿宋_GB2312" w:cs="Times New Roman"/>
          <w:sz w:val="28"/>
          <w:szCs w:val="28"/>
        </w:rPr>
      </w:pPr>
    </w:p>
    <w:p w14:paraId="514ADFE5">
      <w:pPr>
        <w:pStyle w:val="3"/>
        <w:rPr>
          <w:rFonts w:hint="default" w:ascii="Times New Roman" w:hAnsi="Times New Roman" w:eastAsia="仿宋_GB2312" w:cs="Times New Roman"/>
          <w:sz w:val="28"/>
          <w:szCs w:val="28"/>
        </w:rPr>
      </w:pPr>
    </w:p>
    <w:p w14:paraId="36518375">
      <w:pPr>
        <w:pStyle w:val="3"/>
        <w:rPr>
          <w:rFonts w:hint="default" w:ascii="Times New Roman" w:hAnsi="Times New Roman" w:eastAsia="仿宋_GB2312" w:cs="Times New Roman"/>
          <w:sz w:val="28"/>
          <w:szCs w:val="28"/>
        </w:rPr>
      </w:pPr>
    </w:p>
    <w:p w14:paraId="0973852C">
      <w:pPr>
        <w:pStyle w:val="3"/>
        <w:rPr>
          <w:rFonts w:hint="default" w:ascii="Times New Roman" w:hAnsi="Times New Roman" w:eastAsia="仿宋_GB2312" w:cs="Times New Roman"/>
          <w:sz w:val="28"/>
          <w:szCs w:val="28"/>
        </w:rPr>
      </w:pPr>
    </w:p>
    <w:p w14:paraId="205F0280">
      <w:pPr>
        <w:pStyle w:val="3"/>
        <w:rPr>
          <w:rFonts w:hint="default" w:ascii="Times New Roman" w:hAnsi="Times New Roman" w:eastAsia="仿宋_GB2312" w:cs="Times New Roman"/>
          <w:sz w:val="28"/>
          <w:szCs w:val="28"/>
        </w:rPr>
      </w:pPr>
    </w:p>
    <w:p w14:paraId="5F8C6695">
      <w:pPr>
        <w:pStyle w:val="3"/>
        <w:rPr>
          <w:rFonts w:hint="default" w:ascii="Times New Roman" w:hAnsi="Times New Roman" w:eastAsia="仿宋_GB2312" w:cs="Times New Roman"/>
          <w:sz w:val="28"/>
          <w:szCs w:val="28"/>
        </w:rPr>
      </w:pPr>
    </w:p>
    <w:p w14:paraId="2AA3ECCF">
      <w:pPr>
        <w:pStyle w:val="3"/>
        <w:rPr>
          <w:rFonts w:hint="default" w:ascii="Times New Roman" w:hAnsi="Times New Roman" w:eastAsia="仿宋_GB2312" w:cs="Times New Roman"/>
          <w:sz w:val="28"/>
          <w:szCs w:val="28"/>
        </w:rPr>
      </w:pPr>
    </w:p>
    <w:p w14:paraId="028F9CF3">
      <w:pPr>
        <w:pStyle w:val="3"/>
        <w:rPr>
          <w:rFonts w:hint="default" w:ascii="Times New Roman" w:hAnsi="Times New Roman" w:eastAsia="仿宋_GB2312" w:cs="Times New Roman"/>
          <w:sz w:val="28"/>
          <w:szCs w:val="28"/>
        </w:rPr>
      </w:pPr>
    </w:p>
    <w:p w14:paraId="477112F9">
      <w:pPr>
        <w:pStyle w:val="3"/>
        <w:rPr>
          <w:rFonts w:hint="default" w:ascii="Times New Roman" w:hAnsi="Times New Roman" w:eastAsia="仿宋_GB2312" w:cs="Times New Roman"/>
          <w:sz w:val="28"/>
          <w:szCs w:val="28"/>
        </w:rPr>
      </w:pPr>
    </w:p>
    <w:p w14:paraId="7ED950FE">
      <w:pPr>
        <w:pStyle w:val="3"/>
        <w:rPr>
          <w:rFonts w:hint="default" w:ascii="Times New Roman" w:hAnsi="Times New Roman" w:eastAsia="仿宋_GB2312" w:cs="Times New Roman"/>
          <w:sz w:val="28"/>
          <w:szCs w:val="28"/>
        </w:rPr>
      </w:pPr>
    </w:p>
    <w:p w14:paraId="099CF720">
      <w:pPr>
        <w:pStyle w:val="3"/>
        <w:rPr>
          <w:rFonts w:hint="default" w:ascii="Times New Roman" w:hAnsi="Times New Roman" w:eastAsia="仿宋_GB2312" w:cs="Times New Roman"/>
          <w:sz w:val="28"/>
          <w:szCs w:val="28"/>
        </w:rPr>
      </w:pPr>
    </w:p>
    <w:p w14:paraId="74BCF56A">
      <w:pPr>
        <w:pStyle w:val="3"/>
        <w:rPr>
          <w:rFonts w:hint="default" w:ascii="Times New Roman" w:hAnsi="Times New Roman" w:eastAsia="仿宋_GB2312" w:cs="Times New Roman"/>
          <w:sz w:val="28"/>
          <w:szCs w:val="28"/>
        </w:rPr>
      </w:pPr>
    </w:p>
    <w:p w14:paraId="5647B297">
      <w:pPr>
        <w:pStyle w:val="3"/>
        <w:rPr>
          <w:rFonts w:hint="default" w:ascii="Times New Roman" w:hAnsi="Times New Roman" w:eastAsia="仿宋_GB2312" w:cs="Times New Roman"/>
          <w:sz w:val="28"/>
          <w:szCs w:val="28"/>
        </w:rPr>
      </w:pPr>
    </w:p>
    <w:p w14:paraId="1A2FFA26">
      <w:pPr>
        <w:pStyle w:val="3"/>
        <w:rPr>
          <w:rFonts w:hint="default" w:ascii="Times New Roman" w:hAnsi="Times New Roman" w:eastAsia="仿宋_GB2312" w:cs="Times New Roman"/>
          <w:sz w:val="28"/>
          <w:szCs w:val="28"/>
        </w:rPr>
      </w:pPr>
    </w:p>
    <w:p w14:paraId="1D5FC516">
      <w:pPr>
        <w:pStyle w:val="3"/>
        <w:rPr>
          <w:rFonts w:hint="default" w:ascii="Times New Roman" w:hAnsi="Times New Roman" w:eastAsia="仿宋_GB2312" w:cs="Times New Roman"/>
          <w:sz w:val="28"/>
          <w:szCs w:val="28"/>
        </w:rPr>
      </w:pPr>
    </w:p>
    <w:p w14:paraId="2E0FE7EB">
      <w:pPr>
        <w:pStyle w:val="3"/>
        <w:rPr>
          <w:rFonts w:hint="default" w:ascii="Times New Roman" w:hAnsi="Times New Roman" w:eastAsia="仿宋_GB2312" w:cs="Times New Roman"/>
          <w:sz w:val="28"/>
          <w:szCs w:val="28"/>
        </w:rPr>
      </w:pPr>
    </w:p>
    <w:p w14:paraId="73AE811B">
      <w:pPr>
        <w:pStyle w:val="3"/>
        <w:rPr>
          <w:rFonts w:hint="default" w:ascii="Times New Roman" w:hAnsi="Times New Roman" w:eastAsia="仿宋_GB2312" w:cs="Times New Roman"/>
          <w:sz w:val="28"/>
          <w:szCs w:val="28"/>
        </w:rPr>
      </w:pPr>
    </w:p>
    <w:p w14:paraId="007BB2AE">
      <w:pPr>
        <w:pStyle w:val="3"/>
        <w:rPr>
          <w:rFonts w:hint="default" w:ascii="Times New Roman" w:hAnsi="Times New Roman" w:eastAsia="仿宋_GB2312" w:cs="Times New Roman"/>
          <w:sz w:val="28"/>
          <w:szCs w:val="28"/>
        </w:rPr>
      </w:pPr>
    </w:p>
    <w:p w14:paraId="3FFD45D6">
      <w:pPr>
        <w:pStyle w:val="3"/>
        <w:rPr>
          <w:rFonts w:hint="default" w:ascii="Times New Roman" w:hAnsi="Times New Roman" w:eastAsia="仿宋_GB2312" w:cs="Times New Roman"/>
          <w:sz w:val="28"/>
          <w:szCs w:val="28"/>
        </w:rPr>
      </w:pPr>
    </w:p>
    <w:p w14:paraId="18B0517F">
      <w:pPr>
        <w:pStyle w:val="3"/>
        <w:rPr>
          <w:rFonts w:hint="default" w:ascii="Times New Roman" w:hAnsi="Times New Roman" w:eastAsia="仿宋_GB2312" w:cs="Times New Roman"/>
          <w:sz w:val="28"/>
          <w:szCs w:val="28"/>
        </w:rPr>
      </w:pPr>
    </w:p>
    <w:p w14:paraId="21746725">
      <w:pPr>
        <w:pStyle w:val="3"/>
        <w:rPr>
          <w:rFonts w:hint="default" w:ascii="Times New Roman" w:hAnsi="Times New Roman" w:eastAsia="仿宋_GB2312" w:cs="Times New Roman"/>
          <w:sz w:val="28"/>
          <w:szCs w:val="28"/>
        </w:rPr>
      </w:pPr>
    </w:p>
    <w:p w14:paraId="50708A56">
      <w:pPr>
        <w:pStyle w:val="3"/>
        <w:rPr>
          <w:rFonts w:hint="default" w:ascii="Times New Roman" w:hAnsi="Times New Roman" w:eastAsia="仿宋_GB2312" w:cs="Times New Roman"/>
          <w:sz w:val="28"/>
          <w:szCs w:val="28"/>
        </w:rPr>
      </w:pPr>
    </w:p>
    <w:p w14:paraId="46A19A44">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60288;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w:t>抄送</w:t>
      </w:r>
      <w:r>
        <w:rPr>
          <w:rFonts w:hint="eastAsia" w:ascii="仿宋_GB2312" w:hAnsi="仿宋_GB2312" w:eastAsia="仿宋_GB2312" w:cs="仿宋_GB2312"/>
          <w:sz w:val="28"/>
          <w:szCs w:val="28"/>
        </w:rPr>
        <w:t>：师市生态环境保护综合行政执法支队、生态环境监测站、胡杨河经济技术开发区应急管理和环境保护局</w:t>
      </w:r>
      <w:r>
        <w:rPr>
          <w:rFonts w:hint="eastAsia" w:ascii="仿宋_GB2312" w:hAnsi="仿宋_GB2312" w:eastAsia="仿宋_GB2312" w:cs="仿宋_GB2312"/>
          <w:sz w:val="28"/>
          <w:szCs w:val="28"/>
          <w:lang w:eastAsia="zh-CN"/>
        </w:rPr>
        <w:t>。</w:t>
      </w:r>
    </w:p>
    <w:p w14:paraId="0ADEB69F">
      <w:pPr>
        <w:spacing w:line="600" w:lineRule="exact"/>
        <w:ind w:right="210" w:rightChars="100"/>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2336;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1312;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rPr>
        <w:t xml:space="preserve">兵团第七师胡杨河市生态环境局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val="en-US" w:eastAsia="zh-CN"/>
        </w:rPr>
        <w:t>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5C5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07639">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51007639">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19A61553"/>
    <w:rsid w:val="0026130D"/>
    <w:rsid w:val="00301E8D"/>
    <w:rsid w:val="006F367F"/>
    <w:rsid w:val="00742AA9"/>
    <w:rsid w:val="01B110AA"/>
    <w:rsid w:val="025F2F6C"/>
    <w:rsid w:val="03E07A24"/>
    <w:rsid w:val="0402172C"/>
    <w:rsid w:val="06103791"/>
    <w:rsid w:val="064F49ED"/>
    <w:rsid w:val="07707311"/>
    <w:rsid w:val="07EF0236"/>
    <w:rsid w:val="095B26AD"/>
    <w:rsid w:val="0A0D21E1"/>
    <w:rsid w:val="0A6D7B38"/>
    <w:rsid w:val="0A717628"/>
    <w:rsid w:val="0BD55735"/>
    <w:rsid w:val="0CD67C16"/>
    <w:rsid w:val="0DEC6201"/>
    <w:rsid w:val="0E146C48"/>
    <w:rsid w:val="0E927B6D"/>
    <w:rsid w:val="0E9959C9"/>
    <w:rsid w:val="0F3A0A84"/>
    <w:rsid w:val="0F8E2A2A"/>
    <w:rsid w:val="0F9811B3"/>
    <w:rsid w:val="10415B91"/>
    <w:rsid w:val="111927C8"/>
    <w:rsid w:val="13222B5F"/>
    <w:rsid w:val="1367781A"/>
    <w:rsid w:val="13B33653"/>
    <w:rsid w:val="15E46F00"/>
    <w:rsid w:val="186A24B8"/>
    <w:rsid w:val="19A61553"/>
    <w:rsid w:val="19DB4ABE"/>
    <w:rsid w:val="1ABC044C"/>
    <w:rsid w:val="1B0342CC"/>
    <w:rsid w:val="1C444C69"/>
    <w:rsid w:val="1CB3762C"/>
    <w:rsid w:val="1D4B3D09"/>
    <w:rsid w:val="1E1F706C"/>
    <w:rsid w:val="1E222CBC"/>
    <w:rsid w:val="1F0C482E"/>
    <w:rsid w:val="1F6410B2"/>
    <w:rsid w:val="1F792DAF"/>
    <w:rsid w:val="20735A50"/>
    <w:rsid w:val="2177331E"/>
    <w:rsid w:val="21A1039B"/>
    <w:rsid w:val="2322550C"/>
    <w:rsid w:val="24C7636B"/>
    <w:rsid w:val="24F3437F"/>
    <w:rsid w:val="274A3283"/>
    <w:rsid w:val="27E6038A"/>
    <w:rsid w:val="293E30BA"/>
    <w:rsid w:val="29ED02E2"/>
    <w:rsid w:val="2A0C4820"/>
    <w:rsid w:val="2BE9171D"/>
    <w:rsid w:val="2DB71358"/>
    <w:rsid w:val="2E4D5985"/>
    <w:rsid w:val="2E6647A7"/>
    <w:rsid w:val="2FC85447"/>
    <w:rsid w:val="2FE778C1"/>
    <w:rsid w:val="30766E97"/>
    <w:rsid w:val="319A0963"/>
    <w:rsid w:val="31DB1B10"/>
    <w:rsid w:val="31DE6AA2"/>
    <w:rsid w:val="325A00D3"/>
    <w:rsid w:val="32EA1B39"/>
    <w:rsid w:val="334B0167"/>
    <w:rsid w:val="3390201E"/>
    <w:rsid w:val="33FC16C7"/>
    <w:rsid w:val="3446239F"/>
    <w:rsid w:val="34552334"/>
    <w:rsid w:val="345D63A4"/>
    <w:rsid w:val="34DB0164"/>
    <w:rsid w:val="34DB0F65"/>
    <w:rsid w:val="35222615"/>
    <w:rsid w:val="35335B87"/>
    <w:rsid w:val="362F528B"/>
    <w:rsid w:val="36366780"/>
    <w:rsid w:val="37C91FA2"/>
    <w:rsid w:val="380D6520"/>
    <w:rsid w:val="389B146D"/>
    <w:rsid w:val="390336C5"/>
    <w:rsid w:val="39586DFD"/>
    <w:rsid w:val="3B2F60F7"/>
    <w:rsid w:val="3B901665"/>
    <w:rsid w:val="3E3F2FBE"/>
    <w:rsid w:val="3E4203B8"/>
    <w:rsid w:val="3E5263F1"/>
    <w:rsid w:val="3E8F41EC"/>
    <w:rsid w:val="3ED656D0"/>
    <w:rsid w:val="406B063D"/>
    <w:rsid w:val="41E12475"/>
    <w:rsid w:val="41F36599"/>
    <w:rsid w:val="425C5EED"/>
    <w:rsid w:val="4475215D"/>
    <w:rsid w:val="44AC37CB"/>
    <w:rsid w:val="465316EE"/>
    <w:rsid w:val="46C2653A"/>
    <w:rsid w:val="46CD5F17"/>
    <w:rsid w:val="46F76C15"/>
    <w:rsid w:val="47446A78"/>
    <w:rsid w:val="47623535"/>
    <w:rsid w:val="4B4732F2"/>
    <w:rsid w:val="4B893124"/>
    <w:rsid w:val="4B9E0BAE"/>
    <w:rsid w:val="4BE111CF"/>
    <w:rsid w:val="4D3248D1"/>
    <w:rsid w:val="4DF46F02"/>
    <w:rsid w:val="4E073314"/>
    <w:rsid w:val="4E1C7BCA"/>
    <w:rsid w:val="4E23273D"/>
    <w:rsid w:val="4E2A19FE"/>
    <w:rsid w:val="4E8B592A"/>
    <w:rsid w:val="4EC05A55"/>
    <w:rsid w:val="5144471C"/>
    <w:rsid w:val="51CA44D0"/>
    <w:rsid w:val="52016A0C"/>
    <w:rsid w:val="521E31BF"/>
    <w:rsid w:val="52EF6909"/>
    <w:rsid w:val="53732803"/>
    <w:rsid w:val="5445681C"/>
    <w:rsid w:val="54E21B59"/>
    <w:rsid w:val="55F63B99"/>
    <w:rsid w:val="576461D9"/>
    <w:rsid w:val="58D34BF9"/>
    <w:rsid w:val="593C3F2A"/>
    <w:rsid w:val="598D4786"/>
    <w:rsid w:val="59AE7AF9"/>
    <w:rsid w:val="59BB12F3"/>
    <w:rsid w:val="5A0B54BA"/>
    <w:rsid w:val="5A132EDD"/>
    <w:rsid w:val="5A2854B0"/>
    <w:rsid w:val="5AD563E4"/>
    <w:rsid w:val="5ADB6D32"/>
    <w:rsid w:val="5BBE331C"/>
    <w:rsid w:val="5E116A2B"/>
    <w:rsid w:val="5EE50BC0"/>
    <w:rsid w:val="5FCF6BF0"/>
    <w:rsid w:val="609D79A4"/>
    <w:rsid w:val="60BB7E2A"/>
    <w:rsid w:val="60EA6962"/>
    <w:rsid w:val="6109328C"/>
    <w:rsid w:val="612B239E"/>
    <w:rsid w:val="623C143F"/>
    <w:rsid w:val="62A019CE"/>
    <w:rsid w:val="62E3579C"/>
    <w:rsid w:val="639037F0"/>
    <w:rsid w:val="644952F5"/>
    <w:rsid w:val="6703077D"/>
    <w:rsid w:val="679C6136"/>
    <w:rsid w:val="68152516"/>
    <w:rsid w:val="698B1E19"/>
    <w:rsid w:val="69931944"/>
    <w:rsid w:val="6CC3509F"/>
    <w:rsid w:val="6F2512C7"/>
    <w:rsid w:val="6F3428AE"/>
    <w:rsid w:val="6F4158DC"/>
    <w:rsid w:val="708446DD"/>
    <w:rsid w:val="7375588F"/>
    <w:rsid w:val="73E5637C"/>
    <w:rsid w:val="75006CB2"/>
    <w:rsid w:val="7516167C"/>
    <w:rsid w:val="75446240"/>
    <w:rsid w:val="757A1C0A"/>
    <w:rsid w:val="75F30136"/>
    <w:rsid w:val="76017E90"/>
    <w:rsid w:val="767A437E"/>
    <w:rsid w:val="79AC0800"/>
    <w:rsid w:val="7BE007E5"/>
    <w:rsid w:val="7F4A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800" w:leftChars="800"/>
    </w:pPr>
  </w:style>
  <w:style w:type="paragraph" w:styleId="3">
    <w:name w:val="Body Text"/>
    <w:basedOn w:val="1"/>
    <w:qFormat/>
    <w:uiPriority w:val="0"/>
    <w:rPr>
      <w:rFonts w:eastAsia="华文中宋"/>
      <w:b/>
      <w:bCs/>
      <w:w w:val="90"/>
      <w:sz w:val="44"/>
    </w:rPr>
  </w:style>
  <w:style w:type="paragraph" w:styleId="4">
    <w:name w:val="Body Text Indent"/>
    <w:basedOn w:val="1"/>
    <w:qFormat/>
    <w:uiPriority w:val="0"/>
    <w:pPr>
      <w:widowControl/>
      <w:spacing w:after="120" w:line="560" w:lineRule="exact"/>
      <w:ind w:left="420" w:leftChars="200" w:firstLine="200" w:firstLineChars="200"/>
    </w:pPr>
    <w:rPr>
      <w:rFonts w:ascii="Times New Roman" w:hAnsi="Times New Roman" w:eastAsia="宋体"/>
      <w:sz w:val="21"/>
      <w:szCs w:val="24"/>
    </w:rPr>
  </w:style>
  <w:style w:type="paragraph" w:styleId="5">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List"/>
    <w:basedOn w:val="1"/>
    <w:qFormat/>
    <w:uiPriority w:val="0"/>
    <w:pPr>
      <w:ind w:left="200" w:hanging="200" w:hangingChars="200"/>
    </w:pPr>
  </w:style>
  <w:style w:type="paragraph" w:styleId="7">
    <w:name w:val="footnote text"/>
    <w:basedOn w:val="1"/>
    <w:next w:val="2"/>
    <w:unhideWhenUsed/>
    <w:qFormat/>
    <w:uiPriority w:val="99"/>
    <w:pPr>
      <w:snapToGrid w:val="0"/>
      <w:jc w:val="left"/>
    </w:pPr>
    <w:rPr>
      <w:rFonts w:ascii="Calibri" w:hAnsi="Calibri" w:eastAsia="仿宋" w:cs="Times New Roman"/>
      <w:sz w:val="18"/>
      <w:szCs w:val="18"/>
    </w:rPr>
  </w:style>
  <w:style w:type="paragraph" w:styleId="8">
    <w:name w:val="Body Text 2"/>
    <w:basedOn w:val="1"/>
    <w:unhideWhenUsed/>
    <w:qFormat/>
    <w:uiPriority w:val="99"/>
    <w:pPr>
      <w:spacing w:after="120" w:line="480" w:lineRule="auto"/>
    </w:pPr>
  </w:style>
  <w:style w:type="paragraph" w:styleId="9">
    <w:name w:val="Body Text First Indent 2"/>
    <w:basedOn w:val="4"/>
    <w:unhideWhenUsed/>
    <w:qFormat/>
    <w:uiPriority w:val="99"/>
    <w:pPr>
      <w:widowControl w:val="0"/>
      <w:spacing w:beforeLines="50" w:afterLines="50"/>
      <w:ind w:firstLine="420" w:firstLineChars="200"/>
      <w:jc w:val="both"/>
    </w:pPr>
  </w:style>
  <w:style w:type="paragraph" w:customStyle="1" w:styleId="12">
    <w:name w:val="Default"/>
    <w:basedOn w:val="13"/>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4">
    <w:name w:val="纯文本1"/>
    <w:basedOn w:val="1"/>
    <w:qFormat/>
    <w:uiPriority w:val="0"/>
    <w:pPr>
      <w:adjustRightInd w:val="0"/>
      <w:textAlignment w:val="baseline"/>
    </w:pPr>
    <w:rPr>
      <w:rFonts w:ascii="宋体" w:hAnsi="Courier New"/>
      <w:szCs w:val="20"/>
    </w:rPr>
  </w:style>
  <w:style w:type="paragraph" w:customStyle="1" w:styleId="15">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16">
    <w:name w:val="样式 首行缩进:  2 字符1"/>
    <w:basedOn w:val="1"/>
    <w:qFormat/>
    <w:uiPriority w:val="0"/>
    <w:pPr>
      <w:adjustRightInd w:val="0"/>
      <w:snapToGrid w:val="0"/>
      <w:spacing w:line="360" w:lineRule="auto"/>
      <w:ind w:firstLine="480" w:firstLineChars="200"/>
    </w:pPr>
    <w:rPr>
      <w:rFonts w:ascii="Times New Roman" w:hAnsi="Times New Roman" w:eastAsia="宋体" w:cs="宋体"/>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2290</Words>
  <Characters>2461</Characters>
  <Lines>0</Lines>
  <Paragraphs>0</Paragraphs>
  <TotalTime>24</TotalTime>
  <ScaleCrop>false</ScaleCrop>
  <LinksUpToDate>false</LinksUpToDate>
  <CharactersWithSpaces>2511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2024-08-23T02:46:00Z</dcterms:created>
  <dc:creator>Administrator</dc:creator>
  <cp:lastModifiedBy>Floating dream </cp:lastModifiedBy>
  <cp:lastPrinted>2026-06-01T08:06:00Z</cp:lastPrinted>
  <dcterms:modified xsi:type="dcterms:W3CDTF">2026-06-03T10:56:34Z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330A25F7EBDF45998CF6DD85409BE378_13</vt:lpwstr>
  </property>
  <property fmtid="{D5CDD505-2E9C-101B-9397-08002B2CF9AE}" pid="4" name="KSOTemplateDocerSaveRecord">
    <vt:lpwstr>eyJoZGlkIjoiODBjNzYxYmIzOWJkMDlmNzJmZjdjMmNkNDkzMGYxZDkiLCJ1c2VySWQiOiIzNjMzMTU4MzUifQ==</vt:lpwstr>
  </property>
</Properties>
</file>