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0C6A9">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28A958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eastAsia" w:eastAsia="仿宋_GB2312" w:cs="Times New Roman"/>
          <w:snapToGrid w:val="0"/>
          <w:kern w:val="0"/>
          <w:sz w:val="32"/>
          <w:szCs w:val="32"/>
          <w:lang w:val="en-US" w:eastAsia="zh-CN"/>
        </w:rPr>
        <w:t>6</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20</w:t>
      </w:r>
      <w:r>
        <w:rPr>
          <w:rFonts w:hint="default" w:ascii="Times New Roman" w:hAnsi="Times New Roman" w:eastAsia="仿宋_GB2312" w:cs="Times New Roman"/>
          <w:snapToGrid w:val="0"/>
          <w:kern w:val="0"/>
          <w:sz w:val="32"/>
          <w:szCs w:val="32"/>
        </w:rPr>
        <w:t>号</w:t>
      </w:r>
    </w:p>
    <w:p w14:paraId="798FD6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213DDE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Cs/>
          <w:snapToGrid w:val="0"/>
          <w:kern w:val="0"/>
          <w:sz w:val="44"/>
          <w:szCs w:val="44"/>
          <w:lang w:val="zh-CN"/>
        </w:rPr>
      </w:pPr>
      <w:r>
        <w:rPr>
          <w:rFonts w:hint="eastAsia" w:ascii="方正小标宋简体" w:hAnsi="宋体" w:eastAsia="方正小标宋简体"/>
          <w:bCs/>
          <w:snapToGrid w:val="0"/>
          <w:kern w:val="0"/>
          <w:sz w:val="44"/>
          <w:szCs w:val="44"/>
        </w:rPr>
        <w:t>关于丰威（新疆）生物科技有限公司新建年产6000吨农药制剂加工生产项目</w:t>
      </w:r>
      <w:r>
        <w:rPr>
          <w:rFonts w:hint="eastAsia" w:ascii="方正小标宋简体" w:hAnsi="宋体" w:eastAsia="方正小标宋简体"/>
          <w:bCs/>
          <w:snapToGrid w:val="0"/>
          <w:kern w:val="0"/>
          <w:sz w:val="44"/>
          <w:szCs w:val="44"/>
          <w:lang w:val="zh-CN"/>
        </w:rPr>
        <w:t>环境影响</w:t>
      </w:r>
    </w:p>
    <w:p w14:paraId="69BC86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lang w:val="zh-CN"/>
        </w:rPr>
        <w:t>报告</w:t>
      </w:r>
      <w:r>
        <w:rPr>
          <w:rFonts w:hint="eastAsia" w:ascii="方正小标宋简体" w:hAnsi="宋体" w:eastAsia="方正小标宋简体"/>
          <w:bCs/>
          <w:snapToGrid w:val="0"/>
          <w:kern w:val="0"/>
          <w:sz w:val="44"/>
          <w:szCs w:val="44"/>
        </w:rPr>
        <w:t>表</w:t>
      </w: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2682C4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78FA592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丰威（新疆）生物科技有限公司：</w:t>
      </w:r>
    </w:p>
    <w:p w14:paraId="662674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你公司《关于审批&lt;丰威（新疆）生物科技有限公司新建年产6000吨农药制剂加工生产项目&gt;的请示》收悉。经研究，批复如下：</w:t>
      </w:r>
    </w:p>
    <w:p w14:paraId="0A5707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位于第七师胡杨河经济技术开发区，项目区中心地理位置坐标为</w:t>
      </w:r>
      <w:bookmarkStart w:id="0" w:name="_Hlk180516248"/>
      <w:r>
        <w:rPr>
          <w:rFonts w:hint="default" w:ascii="Times New Roman" w:hAnsi="Times New Roman" w:eastAsia="仿宋_GB2312" w:cs="Times New Roman"/>
          <w:sz w:val="32"/>
          <w:szCs w:val="32"/>
          <w:lang w:val="en-US" w:eastAsia="zh-CN"/>
        </w:rPr>
        <w:t>东经84°51'39.276″，北纬44°49'21.850″。</w:t>
      </w:r>
      <w:bookmarkEnd w:id="0"/>
      <w:r>
        <w:rPr>
          <w:rFonts w:hint="default" w:ascii="Times New Roman" w:hAnsi="Times New Roman" w:eastAsia="仿宋_GB2312" w:cs="Times New Roman"/>
          <w:sz w:val="32"/>
          <w:szCs w:val="32"/>
          <w:lang w:val="en-US" w:eastAsia="zh-CN"/>
        </w:rPr>
        <w:t>项目新建3条农药复配生产线，其中1条水剂农药复配生产线，1条粉剂农药复配生产线，1条颗粒剂农药复配生产线，并配套建设其他附属设施。本项目总投资3000万元，环保投资为47万元，环保投资占总投资的1.57%。</w:t>
      </w:r>
    </w:p>
    <w:p w14:paraId="61BE4A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7DCF6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3D3154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（一）严格落实大气污染防治措施。</w:t>
      </w:r>
      <w:r>
        <w:rPr>
          <w:rFonts w:hint="default" w:ascii="Times New Roman" w:hAnsi="Times New Roman" w:eastAsia="仿宋_GB2312" w:cs="Times New Roman"/>
          <w:b w:val="0"/>
          <w:bCs/>
          <w:sz w:val="32"/>
          <w:szCs w:val="32"/>
          <w:lang w:val="en-US" w:eastAsia="zh-CN"/>
        </w:rPr>
        <w:t>农药生产复配过程中粉料、颗粒料投料、包装过程中产生的粉尘以及农药原药中有机物投料加工、包装过程中挥发的有机废气，采用密闭集气罩+旋风除尘器+布袋除尘器+活性炭吸附装置处理后</w:t>
      </w:r>
      <w:r>
        <w:rPr>
          <w:rFonts w:hint="eastAsia" w:eastAsia="仿宋_GB2312" w:cs="Times New Roman"/>
          <w:b w:val="0"/>
          <w:bCs/>
          <w:sz w:val="32"/>
          <w:szCs w:val="32"/>
          <w:lang w:val="en-US" w:eastAsia="zh-CN"/>
        </w:rPr>
        <w:t>通过</w:t>
      </w:r>
      <w:r>
        <w:rPr>
          <w:rFonts w:hint="default" w:ascii="Times New Roman" w:hAnsi="Times New Roman" w:eastAsia="仿宋_GB2312" w:cs="Times New Roman"/>
          <w:b w:val="0"/>
          <w:bCs/>
          <w:sz w:val="32"/>
          <w:szCs w:val="32"/>
          <w:lang w:val="en-US" w:eastAsia="zh-CN"/>
        </w:rPr>
        <w:t>15m高排气筒（DA001）排放</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val="en-US" w:eastAsia="zh-CN"/>
        </w:rPr>
        <w:t>颗粒物、非甲烷总烃</w:t>
      </w:r>
      <w:r>
        <w:rPr>
          <w:rFonts w:hint="eastAsia" w:eastAsia="仿宋_GB2312" w:cs="Times New Roman"/>
          <w:b w:val="0"/>
          <w:bCs/>
          <w:sz w:val="32"/>
          <w:szCs w:val="32"/>
          <w:lang w:val="en-US" w:eastAsia="zh-CN"/>
        </w:rPr>
        <w:t>排放执行</w:t>
      </w:r>
      <w:r>
        <w:rPr>
          <w:rFonts w:hint="default" w:ascii="Times New Roman" w:hAnsi="Times New Roman" w:eastAsia="仿宋_GB2312" w:cs="Times New Roman"/>
          <w:b w:val="0"/>
          <w:bCs/>
          <w:sz w:val="32"/>
          <w:szCs w:val="32"/>
          <w:lang w:val="en-US" w:eastAsia="zh-CN"/>
        </w:rPr>
        <w:t>《农药制造工业大气污染物排放标准》（GB39727-2020）表1中大气污染物排放标准限值。</w:t>
      </w:r>
    </w:p>
    <w:p w14:paraId="64F91B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生产线均设置于封闭式生产车间内，采取加强生产设备设施管理、提高生产废气收集效率等措施减少无组织废气排放；实验废气经收集后由活性炭吸附箱处理后引至生产车间顶部排放；危废贮存点内部设置通风换气设施，废气集中收集后由活性炭吸附装置处理后引至生产车间顶部排放，厂界颗粒物、非甲烷总烃排放浓度</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《大气污染物综合排放标准》（GB16297-1996）表2无组织排放监控浓度限值要求</w:t>
      </w:r>
      <w:r>
        <w:rPr>
          <w:rFonts w:hint="eastAsia" w:eastAsia="仿宋_GB2312" w:cs="Times New Roman"/>
          <w:sz w:val="32"/>
          <w:szCs w:val="32"/>
          <w:lang w:val="en-US" w:eastAsia="zh-CN"/>
        </w:rPr>
        <w:t>。</w:t>
      </w:r>
    </w:p>
    <w:p w14:paraId="19D1FE28">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bCs/>
          <w:color w:val="auto"/>
          <w:kern w:val="2"/>
          <w:sz w:val="32"/>
          <w:szCs w:val="32"/>
          <w:lang w:val="en-US" w:eastAsia="zh-CN" w:bidi="ar-SA"/>
        </w:rPr>
        <w:t>该项目VOCS排放总量不超过0.345吨/年。</w:t>
      </w:r>
      <w:bookmarkStart w:id="1" w:name="_GoBack"/>
      <w:bookmarkEnd w:id="1"/>
    </w:p>
    <w:p w14:paraId="3A9950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（二）严格落实水污染防治措施。</w:t>
      </w:r>
      <w:r>
        <w:rPr>
          <w:rFonts w:hint="default" w:ascii="Times New Roman" w:hAnsi="Times New Roman" w:eastAsia="仿宋_GB2312" w:cs="Times New Roman"/>
          <w:sz w:val="32"/>
          <w:szCs w:val="32"/>
          <w:lang w:val="en-US" w:eastAsia="zh-CN"/>
        </w:rPr>
        <w:t>项目实验废水</w:t>
      </w:r>
      <w:r>
        <w:rPr>
          <w:rFonts w:hint="eastAsia" w:eastAsia="仿宋_GB2312" w:cs="Times New Roman"/>
          <w:sz w:val="32"/>
          <w:szCs w:val="32"/>
          <w:lang w:val="en-US" w:eastAsia="zh-CN"/>
        </w:rPr>
        <w:t>通过</w:t>
      </w:r>
      <w:r>
        <w:rPr>
          <w:rFonts w:hint="default" w:ascii="Times New Roman" w:hAnsi="Times New Roman" w:eastAsia="仿宋_GB2312" w:cs="Times New Roman"/>
          <w:sz w:val="32"/>
          <w:szCs w:val="32"/>
          <w:lang w:val="en-US" w:eastAsia="zh-CN"/>
        </w:rPr>
        <w:t>一体化废水处理装置处理后排入园区下水管网，最终排入南区污水处理厂处理</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生活污水</w:t>
      </w:r>
      <w:r>
        <w:rPr>
          <w:rFonts w:hint="eastAsia" w:eastAsia="仿宋_GB2312" w:cs="Times New Roman"/>
          <w:sz w:val="32"/>
          <w:szCs w:val="32"/>
          <w:lang w:val="en-US" w:eastAsia="zh-CN"/>
        </w:rPr>
        <w:t>通过</w:t>
      </w:r>
      <w:r>
        <w:rPr>
          <w:rFonts w:hint="default" w:ascii="Times New Roman" w:hAnsi="Times New Roman" w:eastAsia="仿宋_GB2312" w:cs="Times New Roman"/>
          <w:sz w:val="32"/>
          <w:szCs w:val="32"/>
          <w:lang w:val="en-US" w:eastAsia="zh-CN"/>
        </w:rPr>
        <w:t>化粪池处理后排入园区下水管网进入南园区污水处理厂处理。处理后的实验废水排放</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《农药工业水污染物排放标准》（GB 21523-2024）间接排放限值要求。</w:t>
      </w:r>
    </w:p>
    <w:p w14:paraId="1AC094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（三）严格落实噪声污染防治措施。选用低噪声设备，采用基础减震、消声以及隔声等措施，厂界噪声</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rPr>
        <w:t>《工业企业厂界环境噪声排放标准》（GB 12348-2008）中</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类功能区环境标准限值。</w:t>
      </w:r>
    </w:p>
    <w:p w14:paraId="440550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（四）严格落实固体废物分类处置和综合利用措施。</w:t>
      </w:r>
      <w:r>
        <w:rPr>
          <w:rFonts w:hint="eastAsia" w:eastAsia="仿宋_GB2312" w:cs="Times New Roman"/>
          <w:sz w:val="32"/>
          <w:szCs w:val="32"/>
          <w:lang w:val="en-US" w:eastAsia="zh-CN"/>
        </w:rPr>
        <w:t>危险废物中</w:t>
      </w:r>
      <w:r>
        <w:rPr>
          <w:rFonts w:hint="default" w:ascii="Times New Roman" w:hAnsi="Times New Roman" w:eastAsia="仿宋_GB2312" w:cs="Times New Roman"/>
          <w:sz w:val="32"/>
          <w:szCs w:val="32"/>
          <w:lang w:val="en-US" w:eastAsia="zh-CN"/>
        </w:rPr>
        <w:t>沾染有毒有害物质的废包装材料、生产设备冲洗废水、高浓度实验废液、废活性炭、废布袋、除尘灰、废润滑油、废润滑油桶收集后在危废暂存间暂存，定期交由有资质的单位处置</w:t>
      </w:r>
      <w:r>
        <w:rPr>
          <w:rFonts w:hint="eastAsia" w:eastAsia="仿宋_GB2312" w:cs="Times New Roman"/>
          <w:sz w:val="32"/>
          <w:szCs w:val="32"/>
          <w:lang w:val="en-US" w:eastAsia="zh-CN"/>
        </w:rPr>
        <w:t>；农药生产不合格品返回调配工序重新加工。一般固体废物中废包装材料集中收集后暂存于一般固废存储区，外售废品回收站。</w:t>
      </w:r>
      <w:r>
        <w:rPr>
          <w:rFonts w:hint="default" w:ascii="Times New Roman" w:hAnsi="Times New Roman" w:eastAsia="仿宋_GB2312" w:cs="Times New Roman"/>
          <w:sz w:val="32"/>
          <w:szCs w:val="32"/>
          <w:lang w:val="en-US" w:eastAsia="zh-CN"/>
        </w:rPr>
        <w:t>危险废物的收集、贮存、运输须符合《危险废物收集 贮存 运输技术规范》（HJ2025-2012）及《危险废物贮存污染控制标准》（GB18597-2023）的相关要求</w:t>
      </w:r>
      <w:r>
        <w:rPr>
          <w:rFonts w:hint="default" w:ascii="Times New Roman" w:hAnsi="Times New Roman" w:eastAsia="仿宋_GB2312" w:cs="Times New Roman"/>
          <w:sz w:val="32"/>
          <w:szCs w:val="32"/>
        </w:rPr>
        <w:t>。生活垃圾收集后</w:t>
      </w:r>
      <w:r>
        <w:rPr>
          <w:rFonts w:hint="default" w:ascii="Times New Roman" w:hAnsi="Times New Roman" w:eastAsia="仿宋_GB2312" w:cs="Times New Roman"/>
          <w:sz w:val="32"/>
          <w:szCs w:val="32"/>
          <w:lang w:val="en-US" w:eastAsia="zh-CN"/>
        </w:rPr>
        <w:t>定期清运至南园区生活垃圾填埋场处理。</w:t>
      </w:r>
    </w:p>
    <w:p w14:paraId="1CE731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五</w:t>
      </w:r>
      <w:r>
        <w:rPr>
          <w:rFonts w:hint="default" w:ascii="Times New Roman" w:hAnsi="Times New Roman" w:eastAsia="仿宋_GB2312" w:cs="Times New Roman"/>
          <w:bCs/>
          <w:sz w:val="32"/>
          <w:szCs w:val="32"/>
        </w:rPr>
        <w:t>）严格落实地下水及土壤污染防治措施。</w:t>
      </w:r>
      <w:r>
        <w:rPr>
          <w:rFonts w:hint="default" w:ascii="Times New Roman" w:hAnsi="Times New Roman" w:eastAsia="仿宋_GB2312" w:cs="Times New Roman"/>
          <w:bCs/>
          <w:sz w:val="32"/>
          <w:szCs w:val="32"/>
          <w:lang w:eastAsia="zh-CN"/>
        </w:rPr>
        <w:t>按照源头防控、分区防治、污染监控、应急响应的原则进行地下水污染防治。严格按照导则要求，落实分区防渗和监控措施，</w:t>
      </w:r>
      <w:r>
        <w:rPr>
          <w:rFonts w:hint="default" w:ascii="Times New Roman" w:hAnsi="Times New Roman" w:eastAsia="仿宋_GB2312" w:cs="Times New Roman"/>
          <w:bCs/>
          <w:sz w:val="32"/>
          <w:szCs w:val="32"/>
          <w:lang w:val="en-US" w:eastAsia="zh-CN"/>
        </w:rPr>
        <w:t>对项目主体生产区、危废贮存点</w:t>
      </w:r>
      <w:r>
        <w:rPr>
          <w:rFonts w:hint="default" w:ascii="Times New Roman" w:hAnsi="Times New Roman" w:eastAsia="仿宋_GB2312" w:cs="Times New Roman"/>
          <w:bCs/>
          <w:sz w:val="32"/>
          <w:szCs w:val="32"/>
          <w:lang w:eastAsia="zh-CN"/>
        </w:rPr>
        <w:t>进行重点防渗</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eastAsia="zh-CN"/>
        </w:rPr>
        <w:t>加强防渗设施的日常维护，对出现损坏的防渗设施应及时修复和加固，确保防渗设施牢固安全。</w:t>
      </w:r>
    </w:p>
    <w:p w14:paraId="123112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14:paraId="64C635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lang w:eastAsia="zh-CN"/>
        </w:rPr>
        <w:t>）加强施工期环境保护，落实防沙治沙措施，防止施工废水、扬尘、噪声污染。</w:t>
      </w:r>
    </w:p>
    <w:p w14:paraId="07F42C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八</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1FCD4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72B82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6AE7B4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w:t>
      </w:r>
      <w:r>
        <w:rPr>
          <w:rFonts w:hint="default" w:ascii="Times New Roman" w:hAnsi="Times New Roman" w:eastAsia="仿宋_GB2312" w:cs="Times New Roman"/>
          <w:bCs/>
          <w:color w:val="auto"/>
          <w:sz w:val="32"/>
          <w:szCs w:val="32"/>
          <w:highlight w:val="none"/>
        </w:rPr>
        <w:t>依法</w:t>
      </w:r>
      <w:r>
        <w:rPr>
          <w:rFonts w:hint="eastAsia" w:eastAsia="仿宋_GB2312" w:cs="Times New Roman"/>
          <w:bCs/>
          <w:color w:val="auto"/>
          <w:sz w:val="32"/>
          <w:szCs w:val="32"/>
          <w:highlight w:val="none"/>
          <w:lang w:val="en-US" w:eastAsia="zh-CN"/>
        </w:rPr>
        <w:t>办理排污许可证</w:t>
      </w:r>
      <w:r>
        <w:rPr>
          <w:rFonts w:hint="default" w:ascii="Times New Roman" w:hAnsi="Times New Roman" w:eastAsia="仿宋_GB2312" w:cs="Times New Roman"/>
          <w:bCs/>
          <w:color w:val="auto"/>
          <w:sz w:val="32"/>
          <w:szCs w:val="32"/>
          <w:highlight w:val="none"/>
        </w:rPr>
        <w:t>。</w:t>
      </w:r>
    </w:p>
    <w:p w14:paraId="2AAE67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胡杨河经济技术开发区应急管理和环境保护局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08C635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送师市生态环境保护综合行政执法支队、生态环境监测站、胡杨河经济技术开发区应急管理和环境保护局，并按规定接受各级生态环境主管部门的监督检查。</w:t>
      </w:r>
    </w:p>
    <w:p w14:paraId="28DC5263">
      <w:pPr>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ascii="Times New Roman" w:hAnsi="Times New Roman" w:eastAsia="仿宋_GB2312" w:cs="Times New Roman"/>
          <w:bCs/>
          <w:sz w:val="32"/>
          <w:szCs w:val="32"/>
        </w:rPr>
      </w:pPr>
    </w:p>
    <w:p w14:paraId="081ACF6B">
      <w:pPr>
        <w:pStyle w:val="2"/>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rPr>
      </w:pPr>
    </w:p>
    <w:p w14:paraId="1931BD59">
      <w:pPr>
        <w:spacing w:line="440" w:lineRule="exact"/>
        <w:ind w:firstLine="4160" w:firstLineChars="13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109E50DD">
      <w:pPr>
        <w:spacing w:line="440" w:lineRule="exact"/>
        <w:ind w:firstLine="5120" w:firstLineChars="16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25</w:t>
      </w:r>
      <w:r>
        <w:rPr>
          <w:rFonts w:hint="default" w:ascii="Times New Roman" w:hAnsi="Times New Roman" w:eastAsia="仿宋_GB2312" w:cs="Times New Roman"/>
          <w:bCs/>
          <w:sz w:val="32"/>
          <w:szCs w:val="32"/>
        </w:rPr>
        <w:t>日</w:t>
      </w:r>
    </w:p>
    <w:p w14:paraId="43838DB5">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418980D1">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4F61AFC8">
      <w:pPr>
        <w:pStyle w:val="2"/>
        <w:rPr>
          <w:rFonts w:hint="default" w:ascii="Times New Roman" w:hAnsi="Times New Roman" w:eastAsia="仿宋_GB2312" w:cs="Times New Roman"/>
          <w:sz w:val="28"/>
          <w:szCs w:val="28"/>
        </w:rPr>
      </w:pPr>
    </w:p>
    <w:p w14:paraId="020BBCE1">
      <w:pPr>
        <w:pStyle w:val="2"/>
        <w:rPr>
          <w:rFonts w:hint="default" w:ascii="Times New Roman" w:hAnsi="Times New Roman" w:eastAsia="仿宋_GB2312" w:cs="Times New Roman"/>
          <w:sz w:val="28"/>
          <w:szCs w:val="28"/>
        </w:rPr>
      </w:pPr>
    </w:p>
    <w:p w14:paraId="5BCACCC6">
      <w:pPr>
        <w:pStyle w:val="2"/>
        <w:rPr>
          <w:rFonts w:hint="default" w:ascii="Times New Roman" w:hAnsi="Times New Roman" w:eastAsia="仿宋_GB2312" w:cs="Times New Roman"/>
          <w:sz w:val="28"/>
          <w:szCs w:val="28"/>
        </w:rPr>
      </w:pPr>
    </w:p>
    <w:p w14:paraId="5A584573">
      <w:pPr>
        <w:pStyle w:val="2"/>
        <w:rPr>
          <w:rFonts w:hint="default" w:ascii="Times New Roman" w:hAnsi="Times New Roman" w:eastAsia="仿宋_GB2312" w:cs="Times New Roman"/>
          <w:sz w:val="28"/>
          <w:szCs w:val="28"/>
        </w:rPr>
      </w:pPr>
    </w:p>
    <w:p w14:paraId="514ADFE5">
      <w:pPr>
        <w:pStyle w:val="2"/>
        <w:rPr>
          <w:rFonts w:hint="default" w:ascii="Times New Roman" w:hAnsi="Times New Roman" w:eastAsia="仿宋_GB2312" w:cs="Times New Roman"/>
          <w:sz w:val="28"/>
          <w:szCs w:val="28"/>
        </w:rPr>
      </w:pPr>
    </w:p>
    <w:p w14:paraId="36518375">
      <w:pPr>
        <w:pStyle w:val="2"/>
        <w:rPr>
          <w:rFonts w:hint="default" w:ascii="Times New Roman" w:hAnsi="Times New Roman" w:eastAsia="仿宋_GB2312" w:cs="Times New Roman"/>
          <w:sz w:val="28"/>
          <w:szCs w:val="28"/>
        </w:rPr>
      </w:pPr>
    </w:p>
    <w:p w14:paraId="0973852C">
      <w:pPr>
        <w:pStyle w:val="2"/>
        <w:rPr>
          <w:rFonts w:hint="default" w:ascii="Times New Roman" w:hAnsi="Times New Roman" w:eastAsia="仿宋_GB2312" w:cs="Times New Roman"/>
          <w:sz w:val="28"/>
          <w:szCs w:val="28"/>
        </w:rPr>
      </w:pPr>
    </w:p>
    <w:p w14:paraId="205F0280">
      <w:pPr>
        <w:pStyle w:val="2"/>
        <w:rPr>
          <w:rFonts w:hint="default" w:ascii="Times New Roman" w:hAnsi="Times New Roman" w:eastAsia="仿宋_GB2312" w:cs="Times New Roman"/>
          <w:sz w:val="28"/>
          <w:szCs w:val="28"/>
        </w:rPr>
      </w:pPr>
    </w:p>
    <w:p w14:paraId="5F8C6695">
      <w:pPr>
        <w:pStyle w:val="2"/>
        <w:rPr>
          <w:rFonts w:hint="default" w:ascii="Times New Roman" w:hAnsi="Times New Roman" w:eastAsia="仿宋_GB2312" w:cs="Times New Roman"/>
          <w:sz w:val="28"/>
          <w:szCs w:val="28"/>
        </w:rPr>
      </w:pPr>
    </w:p>
    <w:p w14:paraId="2AA3ECCF">
      <w:pPr>
        <w:pStyle w:val="2"/>
        <w:rPr>
          <w:rFonts w:hint="default" w:ascii="Times New Roman" w:hAnsi="Times New Roman" w:eastAsia="仿宋_GB2312" w:cs="Times New Roman"/>
          <w:sz w:val="28"/>
          <w:szCs w:val="28"/>
        </w:rPr>
      </w:pPr>
    </w:p>
    <w:p w14:paraId="028F9CF3">
      <w:pPr>
        <w:pStyle w:val="2"/>
        <w:rPr>
          <w:rFonts w:hint="default" w:ascii="Times New Roman" w:hAnsi="Times New Roman" w:eastAsia="仿宋_GB2312" w:cs="Times New Roman"/>
          <w:sz w:val="28"/>
          <w:szCs w:val="28"/>
        </w:rPr>
      </w:pPr>
    </w:p>
    <w:p w14:paraId="477112F9">
      <w:pPr>
        <w:pStyle w:val="2"/>
        <w:rPr>
          <w:rFonts w:hint="default" w:ascii="Times New Roman" w:hAnsi="Times New Roman" w:eastAsia="仿宋_GB2312" w:cs="Times New Roman"/>
          <w:sz w:val="28"/>
          <w:szCs w:val="28"/>
        </w:rPr>
      </w:pPr>
    </w:p>
    <w:p w14:paraId="7ED950FE">
      <w:pPr>
        <w:pStyle w:val="2"/>
        <w:rPr>
          <w:rFonts w:hint="default" w:ascii="Times New Roman" w:hAnsi="Times New Roman" w:eastAsia="仿宋_GB2312" w:cs="Times New Roman"/>
          <w:sz w:val="28"/>
          <w:szCs w:val="28"/>
        </w:rPr>
      </w:pPr>
    </w:p>
    <w:p w14:paraId="099CF720">
      <w:pPr>
        <w:pStyle w:val="2"/>
        <w:rPr>
          <w:rFonts w:hint="default" w:ascii="Times New Roman" w:hAnsi="Times New Roman" w:eastAsia="仿宋_GB2312" w:cs="Times New Roman"/>
          <w:sz w:val="28"/>
          <w:szCs w:val="28"/>
        </w:rPr>
      </w:pPr>
    </w:p>
    <w:p w14:paraId="74BCF56A">
      <w:pPr>
        <w:pStyle w:val="2"/>
        <w:rPr>
          <w:rFonts w:hint="default" w:ascii="Times New Roman" w:hAnsi="Times New Roman" w:eastAsia="仿宋_GB2312" w:cs="Times New Roman"/>
          <w:sz w:val="28"/>
          <w:szCs w:val="28"/>
        </w:rPr>
      </w:pPr>
    </w:p>
    <w:p w14:paraId="5647B297">
      <w:pPr>
        <w:pStyle w:val="2"/>
        <w:rPr>
          <w:rFonts w:hint="default" w:ascii="Times New Roman" w:hAnsi="Times New Roman" w:eastAsia="仿宋_GB2312" w:cs="Times New Roman"/>
          <w:sz w:val="28"/>
          <w:szCs w:val="28"/>
        </w:rPr>
      </w:pPr>
    </w:p>
    <w:p w14:paraId="1A2FFA26">
      <w:pPr>
        <w:pStyle w:val="2"/>
        <w:rPr>
          <w:rFonts w:hint="default" w:ascii="Times New Roman" w:hAnsi="Times New Roman" w:eastAsia="仿宋_GB2312" w:cs="Times New Roman"/>
          <w:sz w:val="28"/>
          <w:szCs w:val="28"/>
        </w:rPr>
      </w:pPr>
    </w:p>
    <w:p w14:paraId="1D5FC516">
      <w:pPr>
        <w:pStyle w:val="2"/>
        <w:rPr>
          <w:rFonts w:hint="default" w:ascii="Times New Roman" w:hAnsi="Times New Roman" w:eastAsia="仿宋_GB2312" w:cs="Times New Roman"/>
          <w:sz w:val="28"/>
          <w:szCs w:val="28"/>
        </w:rPr>
      </w:pPr>
    </w:p>
    <w:p w14:paraId="2E0FE7EB">
      <w:pPr>
        <w:pStyle w:val="2"/>
        <w:rPr>
          <w:rFonts w:hint="default" w:ascii="Times New Roman" w:hAnsi="Times New Roman" w:eastAsia="仿宋_GB2312" w:cs="Times New Roman"/>
          <w:sz w:val="28"/>
          <w:szCs w:val="28"/>
        </w:rPr>
      </w:pPr>
    </w:p>
    <w:p w14:paraId="14A6ECCD">
      <w:pPr>
        <w:pStyle w:val="2"/>
        <w:rPr>
          <w:rFonts w:hint="default" w:ascii="Times New Roman" w:hAnsi="Times New Roman" w:eastAsia="仿宋_GB2312" w:cs="Times New Roman"/>
          <w:sz w:val="28"/>
          <w:szCs w:val="28"/>
        </w:rPr>
      </w:pPr>
    </w:p>
    <w:p w14:paraId="06924763">
      <w:pPr>
        <w:pStyle w:val="2"/>
        <w:rPr>
          <w:rFonts w:hint="default" w:ascii="Times New Roman" w:hAnsi="Times New Roman" w:eastAsia="仿宋_GB2312" w:cs="Times New Roman"/>
          <w:sz w:val="28"/>
          <w:szCs w:val="28"/>
        </w:rPr>
      </w:pPr>
    </w:p>
    <w:p w14:paraId="4CEA0759">
      <w:pPr>
        <w:pStyle w:val="2"/>
        <w:rPr>
          <w:rFonts w:hint="default" w:ascii="Times New Roman" w:hAnsi="Times New Roman" w:eastAsia="仿宋_GB2312" w:cs="Times New Roman"/>
          <w:sz w:val="28"/>
          <w:szCs w:val="28"/>
        </w:rPr>
      </w:pPr>
    </w:p>
    <w:p w14:paraId="6B3DC0D6">
      <w:pPr>
        <w:pStyle w:val="2"/>
        <w:rPr>
          <w:rFonts w:hint="default" w:ascii="Times New Roman" w:hAnsi="Times New Roman" w:eastAsia="仿宋_GB2312" w:cs="Times New Roman"/>
          <w:sz w:val="28"/>
          <w:szCs w:val="28"/>
        </w:rPr>
      </w:pPr>
    </w:p>
    <w:p w14:paraId="3478C934">
      <w:pPr>
        <w:pStyle w:val="2"/>
        <w:rPr>
          <w:rFonts w:hint="default" w:ascii="Times New Roman" w:hAnsi="Times New Roman" w:eastAsia="仿宋_GB2312" w:cs="Times New Roman"/>
          <w:sz w:val="28"/>
          <w:szCs w:val="28"/>
        </w:rPr>
      </w:pPr>
    </w:p>
    <w:p w14:paraId="4B6084EB">
      <w:pPr>
        <w:pStyle w:val="2"/>
        <w:rPr>
          <w:rFonts w:hint="default" w:ascii="Times New Roman" w:hAnsi="Times New Roman" w:eastAsia="仿宋_GB2312" w:cs="Times New Roman"/>
          <w:sz w:val="28"/>
          <w:szCs w:val="28"/>
        </w:rPr>
      </w:pPr>
    </w:p>
    <w:p w14:paraId="52EE2172">
      <w:pPr>
        <w:pStyle w:val="2"/>
        <w:rPr>
          <w:rFonts w:hint="default" w:ascii="Times New Roman" w:hAnsi="Times New Roman" w:eastAsia="仿宋_GB2312" w:cs="Times New Roman"/>
          <w:sz w:val="28"/>
          <w:szCs w:val="28"/>
        </w:rPr>
      </w:pPr>
    </w:p>
    <w:p w14:paraId="21750F9E">
      <w:pPr>
        <w:pStyle w:val="2"/>
        <w:rPr>
          <w:rFonts w:hint="default" w:ascii="Times New Roman" w:hAnsi="Times New Roman" w:eastAsia="仿宋_GB2312" w:cs="Times New Roman"/>
          <w:sz w:val="28"/>
          <w:szCs w:val="28"/>
        </w:rPr>
      </w:pPr>
    </w:p>
    <w:p w14:paraId="190989A1">
      <w:pPr>
        <w:pStyle w:val="2"/>
        <w:rPr>
          <w:rFonts w:hint="default" w:ascii="Times New Roman" w:hAnsi="Times New Roman" w:eastAsia="仿宋_GB2312" w:cs="Times New Roman"/>
          <w:sz w:val="28"/>
          <w:szCs w:val="28"/>
        </w:rPr>
      </w:pPr>
    </w:p>
    <w:p w14:paraId="5B51F042">
      <w:pPr>
        <w:pStyle w:val="2"/>
        <w:rPr>
          <w:rFonts w:hint="default" w:ascii="Times New Roman" w:hAnsi="Times New Roman" w:eastAsia="仿宋_GB2312" w:cs="Times New Roman"/>
          <w:sz w:val="28"/>
          <w:szCs w:val="28"/>
        </w:rPr>
      </w:pPr>
    </w:p>
    <w:p w14:paraId="46A19A44">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w:t>
      </w:r>
      <w:r>
        <w:rPr>
          <w:rFonts w:hint="eastAsia" w:ascii="仿宋_GB2312" w:hAnsi="仿宋_GB2312" w:eastAsia="仿宋_GB2312" w:cs="仿宋_GB2312"/>
          <w:sz w:val="28"/>
          <w:szCs w:val="28"/>
        </w:rPr>
        <w:t>：师市生态环境保护综合行政执法支队、生态环境监测站、胡杨河经济技术开发区应急管理和环境保护局</w:t>
      </w:r>
      <w:r>
        <w:rPr>
          <w:rFonts w:hint="eastAsia" w:ascii="仿宋_GB2312" w:hAnsi="仿宋_GB2312" w:eastAsia="仿宋_GB2312" w:cs="仿宋_GB2312"/>
          <w:sz w:val="28"/>
          <w:szCs w:val="28"/>
          <w:lang w:eastAsia="zh-CN"/>
        </w:rPr>
        <w:t>。</w:t>
      </w:r>
    </w:p>
    <w:p w14:paraId="0ADEB69F">
      <w:pPr>
        <w:spacing w:line="600" w:lineRule="exact"/>
        <w:ind w:right="210" w:rightChars="100"/>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 xml:space="preserve">兵团第七师胡杨河市生态环境局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5C5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07639">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51007639">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26130D"/>
    <w:rsid w:val="00301E8D"/>
    <w:rsid w:val="006F367F"/>
    <w:rsid w:val="00742AA9"/>
    <w:rsid w:val="01B110AA"/>
    <w:rsid w:val="025F2F6C"/>
    <w:rsid w:val="03E07A24"/>
    <w:rsid w:val="0402172C"/>
    <w:rsid w:val="06103791"/>
    <w:rsid w:val="064F49ED"/>
    <w:rsid w:val="07707311"/>
    <w:rsid w:val="07EF0236"/>
    <w:rsid w:val="095B26AD"/>
    <w:rsid w:val="0A0D21E1"/>
    <w:rsid w:val="0A6D7B38"/>
    <w:rsid w:val="0A717628"/>
    <w:rsid w:val="0BD55735"/>
    <w:rsid w:val="0CD67C16"/>
    <w:rsid w:val="0DEC6201"/>
    <w:rsid w:val="0E146C48"/>
    <w:rsid w:val="0E927B6D"/>
    <w:rsid w:val="0E9959C9"/>
    <w:rsid w:val="0F3A0A84"/>
    <w:rsid w:val="0F8E2A2A"/>
    <w:rsid w:val="0F9811B3"/>
    <w:rsid w:val="10415B91"/>
    <w:rsid w:val="111927C8"/>
    <w:rsid w:val="13222B5F"/>
    <w:rsid w:val="1367781A"/>
    <w:rsid w:val="13B33653"/>
    <w:rsid w:val="15E46F00"/>
    <w:rsid w:val="19A61553"/>
    <w:rsid w:val="1ABC044C"/>
    <w:rsid w:val="1B0342CC"/>
    <w:rsid w:val="1C444C69"/>
    <w:rsid w:val="1CB3762C"/>
    <w:rsid w:val="1D4B3D09"/>
    <w:rsid w:val="1E1F706C"/>
    <w:rsid w:val="1E222CBC"/>
    <w:rsid w:val="1F0C482E"/>
    <w:rsid w:val="1F6410B2"/>
    <w:rsid w:val="1F792DAF"/>
    <w:rsid w:val="20735A50"/>
    <w:rsid w:val="2177331E"/>
    <w:rsid w:val="21A1039B"/>
    <w:rsid w:val="24C7636B"/>
    <w:rsid w:val="24F3437F"/>
    <w:rsid w:val="274A3283"/>
    <w:rsid w:val="27E6038A"/>
    <w:rsid w:val="293E30BA"/>
    <w:rsid w:val="29ED02E2"/>
    <w:rsid w:val="2A0C4820"/>
    <w:rsid w:val="2BE9171D"/>
    <w:rsid w:val="2DB71358"/>
    <w:rsid w:val="2E4D5985"/>
    <w:rsid w:val="2E6647A7"/>
    <w:rsid w:val="2FC85447"/>
    <w:rsid w:val="2FE778C1"/>
    <w:rsid w:val="30766E97"/>
    <w:rsid w:val="319A0963"/>
    <w:rsid w:val="31DB1B10"/>
    <w:rsid w:val="31DE6AA2"/>
    <w:rsid w:val="325A00D3"/>
    <w:rsid w:val="32EA1B39"/>
    <w:rsid w:val="334B0167"/>
    <w:rsid w:val="3390201E"/>
    <w:rsid w:val="33FC16C7"/>
    <w:rsid w:val="3446239F"/>
    <w:rsid w:val="34552334"/>
    <w:rsid w:val="345D63A4"/>
    <w:rsid w:val="34DB0164"/>
    <w:rsid w:val="34DB0F65"/>
    <w:rsid w:val="35222615"/>
    <w:rsid w:val="35335B87"/>
    <w:rsid w:val="362F528B"/>
    <w:rsid w:val="36366780"/>
    <w:rsid w:val="37C91FA2"/>
    <w:rsid w:val="380D6520"/>
    <w:rsid w:val="389B146D"/>
    <w:rsid w:val="390336C5"/>
    <w:rsid w:val="39586DFD"/>
    <w:rsid w:val="3B901665"/>
    <w:rsid w:val="3E3F2FBE"/>
    <w:rsid w:val="3E4203B8"/>
    <w:rsid w:val="3E5263F1"/>
    <w:rsid w:val="3E8F41EC"/>
    <w:rsid w:val="3ED656D0"/>
    <w:rsid w:val="406B063D"/>
    <w:rsid w:val="41E12475"/>
    <w:rsid w:val="41F36599"/>
    <w:rsid w:val="425C5EED"/>
    <w:rsid w:val="4475215D"/>
    <w:rsid w:val="44AC37CB"/>
    <w:rsid w:val="465316EE"/>
    <w:rsid w:val="46C2653A"/>
    <w:rsid w:val="46CD5F17"/>
    <w:rsid w:val="46F76C15"/>
    <w:rsid w:val="47623535"/>
    <w:rsid w:val="4B4732F2"/>
    <w:rsid w:val="4B9E0BAE"/>
    <w:rsid w:val="4BE111CF"/>
    <w:rsid w:val="4D3248D1"/>
    <w:rsid w:val="4DF46F02"/>
    <w:rsid w:val="4E1C7BCA"/>
    <w:rsid w:val="4E23273D"/>
    <w:rsid w:val="4E2A19FE"/>
    <w:rsid w:val="4E8B592A"/>
    <w:rsid w:val="4EC05A55"/>
    <w:rsid w:val="5144471C"/>
    <w:rsid w:val="51CA44D0"/>
    <w:rsid w:val="52016A0C"/>
    <w:rsid w:val="521E31BF"/>
    <w:rsid w:val="53732803"/>
    <w:rsid w:val="5445681C"/>
    <w:rsid w:val="54E21B59"/>
    <w:rsid w:val="55F63B99"/>
    <w:rsid w:val="576461D9"/>
    <w:rsid w:val="58D34BF9"/>
    <w:rsid w:val="593C3F2A"/>
    <w:rsid w:val="598D4786"/>
    <w:rsid w:val="59AE7AF9"/>
    <w:rsid w:val="59BB12F3"/>
    <w:rsid w:val="5A0B54BA"/>
    <w:rsid w:val="5A132EDD"/>
    <w:rsid w:val="5A2854B0"/>
    <w:rsid w:val="5AD563E4"/>
    <w:rsid w:val="5ADB6D32"/>
    <w:rsid w:val="5BBE331C"/>
    <w:rsid w:val="5E116A2B"/>
    <w:rsid w:val="5EE50BC0"/>
    <w:rsid w:val="5FCF6BF0"/>
    <w:rsid w:val="609D79A4"/>
    <w:rsid w:val="60BB7E2A"/>
    <w:rsid w:val="6109328C"/>
    <w:rsid w:val="612B239E"/>
    <w:rsid w:val="623C143F"/>
    <w:rsid w:val="62A019CE"/>
    <w:rsid w:val="62E3579C"/>
    <w:rsid w:val="644952F5"/>
    <w:rsid w:val="6703077D"/>
    <w:rsid w:val="679C6136"/>
    <w:rsid w:val="68152516"/>
    <w:rsid w:val="698B1E19"/>
    <w:rsid w:val="69931944"/>
    <w:rsid w:val="6CC3509F"/>
    <w:rsid w:val="6F2512C7"/>
    <w:rsid w:val="6F4158DC"/>
    <w:rsid w:val="708446DD"/>
    <w:rsid w:val="7375588F"/>
    <w:rsid w:val="73E5637C"/>
    <w:rsid w:val="75006CB2"/>
    <w:rsid w:val="7516167C"/>
    <w:rsid w:val="757A1C0A"/>
    <w:rsid w:val="75F30136"/>
    <w:rsid w:val="76017E90"/>
    <w:rsid w:val="79AC0800"/>
    <w:rsid w:val="7BE007E5"/>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华文中宋"/>
      <w:b/>
      <w:bCs/>
      <w:w w:val="90"/>
      <w:sz w:val="44"/>
    </w:rPr>
  </w:style>
  <w:style w:type="paragraph" w:styleId="3">
    <w:name w:val="index 5"/>
    <w:basedOn w:val="1"/>
    <w:next w:val="1"/>
    <w:qFormat/>
    <w:uiPriority w:val="0"/>
    <w:pPr>
      <w:ind w:left="800" w:leftChars="800"/>
    </w:p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List"/>
    <w:basedOn w:val="1"/>
    <w:qFormat/>
    <w:uiPriority w:val="0"/>
    <w:pPr>
      <w:ind w:left="200" w:hanging="200" w:hangingChars="200"/>
    </w:pPr>
  </w:style>
  <w:style w:type="paragraph" w:styleId="6">
    <w:name w:val="footnote text"/>
    <w:basedOn w:val="1"/>
    <w:next w:val="3"/>
    <w:unhideWhenUsed/>
    <w:qFormat/>
    <w:uiPriority w:val="99"/>
    <w:pPr>
      <w:snapToGrid w:val="0"/>
      <w:jc w:val="left"/>
    </w:pPr>
    <w:rPr>
      <w:rFonts w:ascii="Calibri" w:hAnsi="Calibri" w:eastAsia="仿宋" w:cs="Times New Roman"/>
      <w:sz w:val="18"/>
      <w:szCs w:val="18"/>
    </w:rPr>
  </w:style>
  <w:style w:type="paragraph" w:styleId="7">
    <w:name w:val="Body Text 2"/>
    <w:basedOn w:val="1"/>
    <w:unhideWhenUsed/>
    <w:qFormat/>
    <w:uiPriority w:val="99"/>
    <w:pPr>
      <w:spacing w:after="120" w:line="480" w:lineRule="auto"/>
    </w:pPr>
  </w:style>
  <w:style w:type="paragraph" w:customStyle="1" w:styleId="10">
    <w:name w:val="Default"/>
    <w:basedOn w:val="11"/>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2">
    <w:name w:val="纯文本1"/>
    <w:basedOn w:val="1"/>
    <w:qFormat/>
    <w:uiPriority w:val="0"/>
    <w:pPr>
      <w:adjustRightInd w:val="0"/>
      <w:textAlignment w:val="baseline"/>
    </w:pPr>
    <w:rPr>
      <w:rFonts w:ascii="宋体" w:hAnsi="Courier New"/>
      <w:szCs w:val="20"/>
    </w:rPr>
  </w:style>
  <w:style w:type="paragraph" w:customStyle="1" w:styleId="13">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14">
    <w:name w:val="样式 首行缩进:  2 字符1"/>
    <w:basedOn w:val="1"/>
    <w:qFormat/>
    <w:uiPriority w:val="0"/>
    <w:pPr>
      <w:adjustRightInd w:val="0"/>
      <w:snapToGrid w:val="0"/>
      <w:spacing w:line="360" w:lineRule="auto"/>
      <w:ind w:firstLine="480" w:firstLineChars="200"/>
    </w:pPr>
    <w:rPr>
      <w:rFonts w:ascii="Times New Roman" w:hAnsi="Times New Roman" w:eastAsia="宋体"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1981</Words>
  <Characters>2096</Characters>
  <Lines>0</Lines>
  <Paragraphs>0</Paragraphs>
  <TotalTime>5</TotalTime>
  <ScaleCrop>false</ScaleCrop>
  <LinksUpToDate>false</LinksUpToDate>
  <CharactersWithSpaces>2145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Floating dream </cp:lastModifiedBy>
  <cp:lastPrinted>2026-05-25T03:34:24Z</cp:lastPrinted>
  <dcterms:modified xsi:type="dcterms:W3CDTF">2026-05-25T04:16:58Z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5E52A0A80CDE49E4B21CB51F1CDBEDBF_13</vt:lpwstr>
  </property>
  <property fmtid="{D5CDD505-2E9C-101B-9397-08002B2CF9AE}" pid="4" name="KSOTemplateDocerSaveRecord">
    <vt:lpwstr>eyJoZGlkIjoiOTM4ZGE5MjAwOTRjNzE3YmI3NzllODlkMzQzMmYzMzgiLCJ1c2VySWQiOiIzNjMzMTU4MzUifQ==</vt:lpwstr>
  </property>
</Properties>
</file>