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default" w:ascii="Times New Roman" w:hAnsi="Times New Roman"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default" w:ascii="Times New Roman" w:hAnsi="Times New Roman" w:eastAsia="仿宋_GB2312" w:cs="Times New Roman"/>
          <w:snapToGrid w:val="0"/>
          <w:color w:val="auto"/>
          <w:kern w:val="0"/>
          <w:szCs w:val="32"/>
          <w:highlight w:val="none"/>
          <w:lang w:val="en-US" w:eastAsia="zh-CN"/>
        </w:rPr>
        <w:t>6</w:t>
      </w:r>
      <w:r>
        <w:rPr>
          <w:rFonts w:hint="default" w:ascii="Times New Roman" w:hAnsi="Times New Roman" w:eastAsia="仿宋_GB2312" w:cs="Times New Roman"/>
          <w:snapToGrid w:val="0"/>
          <w:color w:val="auto"/>
          <w:kern w:val="0"/>
          <w:szCs w:val="32"/>
          <w:highlight w:val="none"/>
        </w:rPr>
        <w:t>〕</w:t>
      </w:r>
      <w:r>
        <w:rPr>
          <w:rFonts w:hint="eastAsia" w:eastAsia="仿宋_GB2312" w:cs="Times New Roman"/>
          <w:snapToGrid w:val="0"/>
          <w:color w:val="auto"/>
          <w:kern w:val="0"/>
          <w:szCs w:val="32"/>
          <w:highlight w:val="none"/>
          <w:lang w:val="en-US" w:eastAsia="zh-CN"/>
        </w:rPr>
        <w:t>19</w:t>
      </w:r>
      <w:r>
        <w:rPr>
          <w:rFonts w:hint="default" w:ascii="Times New Roman" w:hAnsi="Times New Roman" w:eastAsia="仿宋_GB2312" w:cs="Times New Roman"/>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18454F80">
      <w:pPr>
        <w:spacing w:line="600" w:lineRule="exact"/>
        <w:jc w:val="center"/>
        <w:rPr>
          <w:rFonts w:hint="eastAsia" w:ascii="方正小标宋简体" w:hAnsi="方正小标宋简体" w:eastAsia="方正小标宋简体" w:cs="方正小标宋简体"/>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ascii="方正小标宋简体" w:hAnsi="方正小标宋简体" w:eastAsia="方正小标宋简体" w:cs="方正小标宋简体"/>
          <w:color w:val="auto"/>
          <w:sz w:val="44"/>
          <w:szCs w:val="44"/>
          <w:highlight w:val="none"/>
          <w:lang w:val="zh-CN" w:eastAsia="zh-CN"/>
        </w:rPr>
        <w:t>胡杨河沃润生物科技有限公司年产6.1</w:t>
      </w:r>
    </w:p>
    <w:p w14:paraId="73420D1A">
      <w:pPr>
        <w:spacing w:line="600" w:lineRule="exact"/>
        <w:jc w:val="center"/>
        <w:rPr>
          <w:rFonts w:hint="eastAsia" w:ascii="Times New Roman" w:hAnsi="Times New Roman" w:eastAsia="方正小标宋简体"/>
          <w:bCs/>
          <w:color w:val="000000"/>
          <w:sz w:val="44"/>
          <w:szCs w:val="44"/>
        </w:rPr>
      </w:pPr>
      <w:r>
        <w:rPr>
          <w:rFonts w:hint="eastAsia" w:ascii="方正小标宋简体" w:hAnsi="方正小标宋简体" w:eastAsia="方正小标宋简体" w:cs="方正小标宋简体"/>
          <w:color w:val="auto"/>
          <w:sz w:val="44"/>
          <w:szCs w:val="44"/>
          <w:highlight w:val="none"/>
          <w:lang w:val="zh-CN" w:eastAsia="zh-CN"/>
        </w:rPr>
        <w:t>万吨液体肥综合建设项目</w:t>
      </w:r>
      <w:r>
        <w:rPr>
          <w:rFonts w:hint="eastAsia" w:ascii="Times New Roman" w:hAnsi="Times New Roman" w:eastAsia="方正小标宋简体"/>
          <w:bCs/>
          <w:color w:val="000000"/>
          <w:sz w:val="44"/>
          <w:szCs w:val="44"/>
        </w:rPr>
        <w:t>环境影响报告书</w:t>
      </w:r>
    </w:p>
    <w:p w14:paraId="6A46747D">
      <w:pPr>
        <w:spacing w:line="600" w:lineRule="exact"/>
        <w:jc w:val="center"/>
        <w:rPr>
          <w:rFonts w:hint="default" w:ascii="Times New Roman" w:hAnsi="Times New Roman" w:eastAsia="仿宋_GB2312" w:cs="Times New Roman"/>
          <w:color w:val="auto"/>
          <w:kern w:val="0"/>
          <w:szCs w:val="32"/>
          <w:highlight w:val="none"/>
        </w:rPr>
      </w:pP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lang w:val="zh-CN" w:eastAsia="zh-CN"/>
        </w:rPr>
        <w:t>胡杨河沃润生物科技有限公司</w:t>
      </w:r>
      <w:r>
        <w:rPr>
          <w:rFonts w:hint="default" w:ascii="Times New Roman" w:hAnsi="Times New Roman" w:eastAsia="仿宋_GB2312" w:cs="Times New Roman"/>
          <w:bCs/>
          <w:color w:val="auto"/>
          <w:szCs w:val="32"/>
          <w:highlight w:val="none"/>
        </w:rPr>
        <w:t>：</w:t>
      </w:r>
    </w:p>
    <w:p w14:paraId="6970ECB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lang w:val="zh-CN" w:eastAsia="zh-CN"/>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公司</w:t>
      </w:r>
      <w:r>
        <w:rPr>
          <w:rFonts w:hint="default" w:ascii="Times New Roman" w:hAnsi="Times New Roman" w:eastAsia="仿宋_GB2312" w:cs="Times New Roman"/>
          <w:bCs/>
          <w:color w:val="auto"/>
          <w:szCs w:val="32"/>
          <w:highlight w:val="none"/>
        </w:rPr>
        <w:t>《关于审批&lt;</w:t>
      </w:r>
      <w:r>
        <w:rPr>
          <w:rFonts w:hint="default" w:ascii="Times New Roman" w:hAnsi="Times New Roman" w:eastAsia="仿宋_GB2312" w:cs="Times New Roman"/>
          <w:bCs/>
          <w:color w:val="auto"/>
          <w:szCs w:val="32"/>
          <w:highlight w:val="none"/>
          <w:lang w:val="zh-CN" w:eastAsia="zh-CN"/>
        </w:rPr>
        <w:t>胡杨河沃润生物科技有限公司年产6.1</w:t>
      </w:r>
    </w:p>
    <w:p w14:paraId="15084E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lang w:val="zh-CN" w:eastAsia="zh-CN"/>
        </w:rPr>
        <w:t>万吨液体肥综合建设项目</w:t>
      </w:r>
      <w:r>
        <w:rPr>
          <w:rFonts w:hint="default" w:ascii="Times New Roman" w:hAnsi="Times New Roman" w:eastAsia="仿宋_GB2312" w:cs="Times New Roman"/>
          <w:bCs/>
          <w:color w:val="auto"/>
          <w:szCs w:val="32"/>
          <w:highlight w:val="none"/>
        </w:rPr>
        <w:t>&gt;的请示》收悉。经研究，批复如下：</w:t>
      </w:r>
    </w:p>
    <w:p w14:paraId="61B75DF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w:t>
      </w:r>
      <w:r>
        <w:rPr>
          <w:rFonts w:hint="eastAsia" w:ascii="Times New Roman" w:hAnsi="Times New Roman" w:eastAsia="仿宋_GB2312"/>
          <w:highlight w:val="none"/>
        </w:rPr>
        <w:t>胡杨河经济技术开发区</w:t>
      </w:r>
      <w:r>
        <w:rPr>
          <w:rFonts w:hint="default" w:ascii="Times New Roman" w:hAnsi="Times New Roman" w:eastAsia="仿宋_GB2312" w:cs="Times New Roman"/>
          <w:color w:val="auto"/>
          <w:szCs w:val="32"/>
          <w:highlight w:val="none"/>
        </w:rPr>
        <w:t>，项目中心地理位置坐标为东经</w:t>
      </w:r>
      <w:r>
        <w:rPr>
          <w:rFonts w:hint="default" w:ascii="Times New Roman" w:hAnsi="Times New Roman" w:eastAsia="仿宋_GB2312" w:cs="Times New Roman"/>
          <w:color w:val="auto"/>
          <w:szCs w:val="32"/>
          <w:highlight w:val="none"/>
          <w:lang w:eastAsia="zh-CN"/>
        </w:rPr>
        <w:t>84°5</w:t>
      </w:r>
      <w:r>
        <w:rPr>
          <w:rFonts w:hint="default" w:ascii="Times New Roman" w:hAnsi="Times New Roman" w:eastAsia="仿宋_GB2312" w:cs="Times New Roman"/>
          <w:color w:val="auto"/>
          <w:szCs w:val="32"/>
          <w:highlight w:val="none"/>
          <w:lang w:val="en-US" w:eastAsia="zh-CN"/>
        </w:rPr>
        <w:t>1</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28.15</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，北纬</w:t>
      </w:r>
      <w:r>
        <w:rPr>
          <w:rFonts w:hint="default" w:ascii="Times New Roman" w:hAnsi="Times New Roman" w:eastAsia="仿宋_GB2312" w:cs="Times New Roman"/>
          <w:color w:val="auto"/>
          <w:szCs w:val="32"/>
          <w:highlight w:val="none"/>
          <w:lang w:eastAsia="zh-CN"/>
        </w:rPr>
        <w:t>44°4</w:t>
      </w:r>
      <w:r>
        <w:rPr>
          <w:rFonts w:hint="default" w:ascii="Times New Roman" w:hAnsi="Times New Roman" w:eastAsia="仿宋_GB2312" w:cs="Times New Roman"/>
          <w:color w:val="auto"/>
          <w:szCs w:val="32"/>
          <w:highlight w:val="none"/>
          <w:lang w:val="en-US" w:eastAsia="zh-CN"/>
        </w:rPr>
        <w:t>9</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21.66</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项目为新建项目，</w:t>
      </w:r>
      <w:r>
        <w:rPr>
          <w:rFonts w:hint="default" w:ascii="Times New Roman" w:hAnsi="Times New Roman" w:eastAsia="仿宋_GB2312" w:cs="Times New Roman"/>
          <w:color w:val="auto"/>
          <w:szCs w:val="32"/>
          <w:highlight w:val="none"/>
          <w:lang w:eastAsia="zh-CN"/>
        </w:rPr>
        <w:t>分两期建设，一期建设年产5万吨液体肥、年产1000吨中量元素螯合肥生产线，二期建设年产5000吨多糖有机氮肥、5000吨生物酶尿素生产线。</w:t>
      </w:r>
      <w:r>
        <w:rPr>
          <w:rFonts w:hint="default" w:ascii="Times New Roman" w:hAnsi="Times New Roman" w:eastAsia="仿宋_GB2312" w:cs="Times New Roman"/>
          <w:color w:val="auto"/>
          <w:szCs w:val="32"/>
          <w:highlight w:val="none"/>
          <w:lang w:val="en-US" w:eastAsia="zh-CN"/>
        </w:rPr>
        <w:t>项目总投资5100万元，其中环保投资267万元，占总投资的5.24%。</w:t>
      </w:r>
    </w:p>
    <w:p w14:paraId="0E9A18AB">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719263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）严格落实大气污染防治措施。液体肥投料</w:t>
      </w:r>
      <w:r>
        <w:rPr>
          <w:rFonts w:hint="default" w:ascii="Times New Roman" w:hAnsi="Times New Roman" w:eastAsia="仿宋_GB2312" w:cs="Times New Roman"/>
          <w:bCs/>
          <w:color w:val="auto"/>
          <w:szCs w:val="32"/>
          <w:highlight w:val="none"/>
          <w:lang w:val="en-US" w:eastAsia="zh-CN"/>
        </w:rPr>
        <w:t>废气、中量元素螯合肥投料废气采取集气罩+袋式除尘处理后，通过15米高排气筒（DA001）排放，颗粒物</w:t>
      </w:r>
      <w:r>
        <w:rPr>
          <w:rFonts w:hint="eastAsia" w:eastAsia="仿宋_GB2312" w:cs="Times New Roman"/>
          <w:bCs/>
          <w:color w:val="auto"/>
          <w:szCs w:val="32"/>
          <w:highlight w:val="none"/>
          <w:lang w:val="en-US" w:eastAsia="zh-CN"/>
        </w:rPr>
        <w:t>排放执行</w:t>
      </w:r>
      <w:r>
        <w:rPr>
          <w:rFonts w:hint="default" w:ascii="Times New Roman" w:hAnsi="Times New Roman" w:eastAsia="仿宋_GB2312" w:cs="Times New Roman"/>
          <w:bCs/>
          <w:color w:val="auto"/>
          <w:szCs w:val="32"/>
          <w:highlight w:val="none"/>
          <w:lang w:val="en-US" w:eastAsia="zh-CN"/>
        </w:rPr>
        <w:t>《大气污染物综合排放标准》（GB 16297-1996）表2二级排放标准限值</w:t>
      </w:r>
      <w:r>
        <w:rPr>
          <w:rFonts w:hint="eastAsia"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lang w:val="en-US" w:eastAsia="zh-CN"/>
        </w:rPr>
        <w:t>多糖有机氮肥造粒烘干、筛分破碎废气及生物酶尿素烘干废气由密闭管道收集后采取袋式除尘器+喷淋塔+洗涤塔处理</w:t>
      </w:r>
      <w:r>
        <w:rPr>
          <w:rFonts w:hint="eastAsia" w:eastAsia="仿宋_GB2312" w:cs="Times New Roman"/>
          <w:bCs/>
          <w:color w:val="auto"/>
          <w:szCs w:val="32"/>
          <w:highlight w:val="none"/>
          <w:lang w:val="en-US" w:eastAsia="zh-CN"/>
        </w:rPr>
        <w:t>后</w:t>
      </w:r>
      <w:r>
        <w:rPr>
          <w:rFonts w:hint="default" w:ascii="Times New Roman" w:hAnsi="Times New Roman" w:eastAsia="仿宋_GB2312" w:cs="Times New Roman"/>
          <w:bCs/>
          <w:color w:val="auto"/>
          <w:szCs w:val="32"/>
          <w:highlight w:val="none"/>
          <w:lang w:val="en-US" w:eastAsia="zh-CN"/>
        </w:rPr>
        <w:t>，通过15米高排气筒（DA002）排放，氨、硫化氢、臭气浓度执行《恶臭污染物排放标准》（GB 14554-93）表2中排放限值要求；二氧化硫、氮氧化物、颗粒物</w:t>
      </w:r>
      <w:r>
        <w:rPr>
          <w:rFonts w:hint="eastAsia" w:eastAsia="仿宋_GB2312" w:cs="Times New Roman"/>
          <w:bCs/>
          <w:color w:val="auto"/>
          <w:szCs w:val="32"/>
          <w:highlight w:val="none"/>
          <w:lang w:val="en-US" w:eastAsia="zh-CN"/>
        </w:rPr>
        <w:t>排放执行</w:t>
      </w:r>
      <w:r>
        <w:rPr>
          <w:rFonts w:hint="default" w:ascii="Times New Roman" w:hAnsi="Times New Roman" w:eastAsia="仿宋_GB2312" w:cs="Times New Roman"/>
          <w:bCs/>
          <w:color w:val="auto"/>
          <w:szCs w:val="32"/>
          <w:highlight w:val="none"/>
          <w:lang w:val="en-US" w:eastAsia="zh-CN"/>
        </w:rPr>
        <w:t>《关于印发〈兵团工业炉窑大气污染综合治理实施方案〉的通知》（兵环发〔2019〕139号）限值要求，烟气黑度</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en-US" w:eastAsia="zh-CN"/>
        </w:rPr>
        <w:t>《工业炉窑大气污染物排放标准》（GB 9078-1996）限值要求。多糖有机氮肥投料、包装废气及生物酶尿素投料、包装废气采取集气罩+袋式除尘处理后，通过15米高排气筒（DA003）排放，颗粒物</w:t>
      </w:r>
      <w:r>
        <w:rPr>
          <w:rFonts w:hint="eastAsia" w:eastAsia="仿宋_GB2312" w:cs="Times New Roman"/>
          <w:bCs/>
          <w:color w:val="auto"/>
          <w:szCs w:val="32"/>
          <w:highlight w:val="none"/>
          <w:lang w:val="en-US" w:eastAsia="zh-CN"/>
        </w:rPr>
        <w:t>排放执行</w:t>
      </w:r>
      <w:r>
        <w:rPr>
          <w:rFonts w:hint="default" w:ascii="Times New Roman" w:hAnsi="Times New Roman" w:eastAsia="仿宋_GB2312" w:cs="Times New Roman"/>
          <w:bCs/>
          <w:color w:val="auto"/>
          <w:szCs w:val="32"/>
          <w:highlight w:val="none"/>
          <w:lang w:val="en-US" w:eastAsia="zh-CN"/>
        </w:rPr>
        <w:t>《大气污染物综合排放标准》（GB 16297-1996）表2二级排放标准限值。</w:t>
      </w:r>
    </w:p>
    <w:p w14:paraId="3D7735E7">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反应罐废气和储罐废气逸散氨采用水吸收，厂界氨</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《恶臭污染物排放标准》（GB14554-93）中表1“恶臭污染物厂界标准值”；液体肥、中量元素螯合肥投料环节、多糖有机氮肥、生物酶尿素投料和包装环节产生的废气采用密闭厂房，定期洒水降尘</w:t>
      </w:r>
      <w:r>
        <w:rPr>
          <w:rFonts w:hint="eastAsia" w:eastAsia="仿宋_GB2312" w:cs="Times New Roman"/>
          <w:bCs/>
          <w:color w:val="auto"/>
          <w:kern w:val="2"/>
          <w:sz w:val="32"/>
          <w:szCs w:val="32"/>
          <w:lang w:val="en-US" w:eastAsia="zh-CN" w:bidi="ar-SA"/>
        </w:rPr>
        <w:t>等</w:t>
      </w:r>
      <w:r>
        <w:rPr>
          <w:rFonts w:hint="eastAsia" w:ascii="Times New Roman" w:hAnsi="Times New Roman" w:eastAsia="仿宋_GB2312" w:cs="Times New Roman"/>
          <w:bCs/>
          <w:color w:val="auto"/>
          <w:kern w:val="2"/>
          <w:sz w:val="32"/>
          <w:szCs w:val="32"/>
          <w:lang w:val="en-US" w:eastAsia="zh-CN" w:bidi="ar-SA"/>
        </w:rPr>
        <w:t>措施，</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《大气污染物综合排放标准》（GB16297-1996）中表2“新污染源大气污染物排放限值”。</w:t>
      </w:r>
    </w:p>
    <w:p w14:paraId="3738C764">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该项目NO</w:t>
      </w:r>
      <w:r>
        <w:rPr>
          <w:rFonts w:hint="eastAsia" w:ascii="Times New Roman" w:hAnsi="Times New Roman" w:eastAsia="仿宋_GB2312" w:cs="Times New Roman"/>
          <w:bCs/>
          <w:color w:val="auto"/>
          <w:kern w:val="2"/>
          <w:sz w:val="32"/>
          <w:szCs w:val="32"/>
          <w:vertAlign w:val="subscript"/>
          <w:lang w:val="en-US" w:eastAsia="zh-CN" w:bidi="ar-SA"/>
        </w:rPr>
        <w:t>X</w:t>
      </w:r>
      <w:r>
        <w:rPr>
          <w:rFonts w:hint="eastAsia" w:ascii="Times New Roman" w:hAnsi="Times New Roman" w:eastAsia="仿宋_GB2312" w:cs="Times New Roman"/>
          <w:bCs/>
          <w:color w:val="auto"/>
          <w:kern w:val="2"/>
          <w:sz w:val="32"/>
          <w:szCs w:val="32"/>
          <w:lang w:val="en-US" w:eastAsia="zh-CN" w:bidi="ar-SA"/>
        </w:rPr>
        <w:t>排放总量不超过1.021吨/年。</w:t>
      </w:r>
    </w:p>
    <w:p w14:paraId="1314C231">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default" w:ascii="Times New Roman" w:hAnsi="Times New Roman" w:eastAsia="仿宋_GB2312" w:cs="Times New Roman"/>
          <w:bCs/>
          <w:color w:val="auto"/>
          <w:szCs w:val="32"/>
          <w:highlight w:val="none"/>
          <w:lang w:val="en-US" w:eastAsia="zh-CN"/>
        </w:rPr>
        <w:t>生活污水经厂区隔油池、化粪池处理后，满足《污水综合排放标准》（GB 8978-1996）三级标准</w:t>
      </w:r>
      <w:r>
        <w:rPr>
          <w:rFonts w:hint="eastAsia" w:eastAsia="仿宋_GB2312" w:cs="Times New Roman"/>
          <w:bCs/>
          <w:color w:val="auto"/>
          <w:szCs w:val="32"/>
          <w:highlight w:val="none"/>
          <w:lang w:val="en-US" w:eastAsia="zh-CN"/>
        </w:rPr>
        <w:t>后</w:t>
      </w:r>
      <w:r>
        <w:rPr>
          <w:rFonts w:hint="default" w:ascii="Times New Roman" w:hAnsi="Times New Roman" w:eastAsia="仿宋_GB2312" w:cs="Times New Roman"/>
          <w:bCs/>
          <w:color w:val="auto"/>
          <w:szCs w:val="32"/>
          <w:highlight w:val="none"/>
          <w:lang w:val="en-US" w:eastAsia="zh-CN"/>
        </w:rPr>
        <w:t>达标排放。设备清洗废水、车间冲洗废水、氨吸收废水、喷淋塔洗涤塔废水收集后回用于产品生产，不外排。</w:t>
      </w:r>
    </w:p>
    <w:p w14:paraId="5A968F02">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（三）</w:t>
      </w:r>
      <w:r>
        <w:rPr>
          <w:rFonts w:hint="default" w:ascii="Times New Roman" w:hAnsi="Times New Roman" w:eastAsia="仿宋_GB2312" w:cs="Times New Roman"/>
          <w:bCs/>
          <w:color w:val="auto"/>
          <w:szCs w:val="32"/>
          <w:highlight w:val="none"/>
          <w:lang w:val="en-US" w:eastAsia="zh-CN"/>
        </w:rPr>
        <w:t>严格落实噪声防治措施。</w:t>
      </w:r>
      <w:r>
        <w:rPr>
          <w:rFonts w:ascii="Times New Roman" w:hAnsi="Times New Roman" w:eastAsia="仿宋_GB2312"/>
          <w:highlight w:val="none"/>
        </w:rPr>
        <w:t>选择先进可靠的低噪声设备，对高噪声设备采用厂房隔声处理；设备安装采取减振基础</w:t>
      </w:r>
      <w:r>
        <w:rPr>
          <w:rFonts w:hint="eastAsia" w:eastAsia="仿宋_GB2312"/>
          <w:highlight w:val="none"/>
          <w:lang w:val="en-US" w:eastAsia="zh-CN"/>
        </w:rPr>
        <w:t>等措施</w:t>
      </w:r>
      <w:r>
        <w:rPr>
          <w:rFonts w:hint="eastAsia" w:ascii="Times New Roman" w:hAnsi="Times New Roman" w:eastAsia="仿宋_GB2312"/>
          <w:highlight w:val="none"/>
          <w:lang w:eastAsia="zh-CN"/>
        </w:rPr>
        <w:t>。</w:t>
      </w:r>
      <w:r>
        <w:rPr>
          <w:rFonts w:ascii="Times New Roman" w:hAnsi="Times New Roman" w:eastAsia="仿宋_GB2312"/>
          <w:highlight w:val="none"/>
        </w:rPr>
        <w:t>厂界噪声排放</w:t>
      </w:r>
      <w:r>
        <w:rPr>
          <w:rFonts w:hint="eastAsia" w:ascii="Times New Roman" w:hAnsi="Times New Roman" w:eastAsia="仿宋_GB2312"/>
          <w:highlight w:val="none"/>
          <w:lang w:val="en-US" w:eastAsia="zh-CN"/>
        </w:rPr>
        <w:t>执行</w:t>
      </w:r>
      <w:r>
        <w:rPr>
          <w:rFonts w:ascii="Times New Roman" w:hAnsi="Times New Roman" w:eastAsia="仿宋_GB2312"/>
          <w:highlight w:val="none"/>
        </w:rPr>
        <w:t>《工业企业厂界环境噪声排放标准》（GB12348-2008）中3类标准要求。</w:t>
      </w:r>
    </w:p>
    <w:p w14:paraId="280E3420">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（四）</w:t>
      </w:r>
      <w:r>
        <w:rPr>
          <w:rFonts w:hint="default" w:ascii="Times New Roman" w:hAnsi="Times New Roman" w:eastAsia="仿宋_GB2312" w:cs="Times New Roman"/>
          <w:bCs/>
          <w:color w:val="auto"/>
          <w:szCs w:val="32"/>
          <w:highlight w:val="none"/>
        </w:rPr>
        <w:t>固体废物实施分类管理和妥善处理处置。</w:t>
      </w:r>
      <w:r>
        <w:rPr>
          <w:rFonts w:hint="default" w:ascii="Times New Roman" w:hAnsi="Times New Roman" w:eastAsia="仿宋_GB2312" w:cs="Times New Roman"/>
          <w:bCs/>
          <w:color w:val="auto"/>
          <w:szCs w:val="32"/>
          <w:highlight w:val="none"/>
          <w:lang w:val="en-US" w:eastAsia="zh-CN"/>
        </w:rPr>
        <w:t>废润滑油</w:t>
      </w:r>
      <w:r>
        <w:rPr>
          <w:rFonts w:hint="eastAsia" w:ascii="Times New Roman" w:hAnsi="Times New Roman" w:eastAsia="仿宋_GB2312"/>
          <w:color w:val="000000"/>
          <w:lang w:val="en-US" w:eastAsia="zh-CN"/>
        </w:rPr>
        <w:t>属于</w:t>
      </w:r>
      <w:r>
        <w:rPr>
          <w:rFonts w:hint="eastAsia" w:eastAsia="仿宋_GB2312" w:cs="Times New Roman"/>
          <w:bCs/>
          <w:color w:val="auto"/>
          <w:szCs w:val="32"/>
          <w:highlight w:val="none"/>
          <w:lang w:val="en-US" w:eastAsia="zh-CN"/>
        </w:rPr>
        <w:t>危险废物，收集后于厂区内危险废物贮存点分区暂存，委托有资质的单位定期清运处理。</w:t>
      </w:r>
      <w:r>
        <w:rPr>
          <w:rFonts w:hint="eastAsia" w:ascii="Times New Roman" w:hAnsi="Times New Roman" w:eastAsia="仿宋_GB2312"/>
          <w:highlight w:val="none"/>
          <w:lang w:val="en-US" w:eastAsia="zh-CN"/>
        </w:rPr>
        <w:t>一般固体废物中</w:t>
      </w:r>
      <w:r>
        <w:rPr>
          <w:rFonts w:hint="default" w:ascii="Times New Roman" w:hAnsi="Times New Roman" w:eastAsia="仿宋_GB2312" w:cs="Times New Roman"/>
          <w:color w:val="auto"/>
          <w:szCs w:val="32"/>
          <w:lang w:val="en-US" w:eastAsia="zh-CN"/>
        </w:rPr>
        <w:t>除尘装置收集尘收集后全部回用于生产</w:t>
      </w:r>
      <w:r>
        <w:rPr>
          <w:rFonts w:hint="eastAsia" w:ascii="Times New Roman" w:hAnsi="Times New Roman" w:eastAsia="仿宋_GB2312" w:cs="Times New Roman"/>
          <w:color w:val="auto"/>
          <w:szCs w:val="32"/>
          <w:lang w:val="en-US" w:eastAsia="zh-CN"/>
        </w:rPr>
        <w:t>；废包装材料收集后定期外售给回收单位综合利用。</w:t>
      </w:r>
      <w:r>
        <w:rPr>
          <w:rFonts w:hint="default" w:ascii="Times New Roman" w:hAnsi="Times New Roman" w:eastAsia="仿宋_GB2312" w:cs="Times New Roman"/>
          <w:bCs/>
          <w:color w:val="auto"/>
          <w:szCs w:val="32"/>
          <w:highlight w:val="none"/>
          <w:lang w:val="en-US" w:eastAsia="zh-CN"/>
        </w:rPr>
        <w:t>危险废物的收集、贮存、运输须符合《危险废物收集 贮存 运输技术规范》（HJ2025-2012）及《危险废物贮存污染控制标准》（GB18597-2023）的相关要求。</w:t>
      </w:r>
      <w:r>
        <w:rPr>
          <w:rFonts w:hint="eastAsia" w:ascii="Times New Roman" w:hAnsi="Times New Roman" w:eastAsia="仿宋_GB2312" w:cs="Times New Roman"/>
          <w:color w:val="auto"/>
          <w:szCs w:val="32"/>
          <w:lang w:val="en-US" w:eastAsia="zh-CN"/>
        </w:rPr>
        <w:t>生活垃圾集中收集后由当地环卫部门定期清运至垃圾填埋场。</w:t>
      </w:r>
    </w:p>
    <w:p w14:paraId="06209AD6">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五</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对储罐区、1#生产车间、危废库、化验室、事故水池</w:t>
      </w:r>
      <w:r>
        <w:rPr>
          <w:rFonts w:hint="eastAsia" w:ascii="Times New Roman" w:hAnsi="Times New Roman" w:eastAsia="仿宋_GB2312"/>
          <w:color w:val="000000"/>
          <w:lang w:val="en-US" w:eastAsia="zh-CN"/>
        </w:rPr>
        <w:t>进行</w:t>
      </w:r>
      <w:r>
        <w:rPr>
          <w:rFonts w:hint="eastAsia" w:eastAsia="仿宋_GB2312" w:cs="Times New Roman"/>
          <w:lang w:val="en-US" w:eastAsia="zh-CN"/>
        </w:rPr>
        <w:t>重点</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lang w:val="en-US" w:eastAsia="zh-CN"/>
        </w:rPr>
        <w:t>对</w:t>
      </w:r>
      <w:r>
        <w:rPr>
          <w:rFonts w:hint="eastAsia" w:ascii="Times New Roman" w:hAnsi="Times New Roman" w:eastAsia="仿宋_GB2312" w:cs="Times New Roman"/>
          <w:color w:val="auto"/>
          <w:szCs w:val="32"/>
          <w:lang w:val="en-US" w:eastAsia="zh-CN"/>
        </w:rPr>
        <w:t>原料/成品库房、2#生产车间</w:t>
      </w:r>
      <w:r>
        <w:rPr>
          <w:rFonts w:hint="eastAsia" w:ascii="Times New Roman" w:hAnsi="Times New Roman" w:eastAsia="仿宋_GB2312"/>
          <w:color w:val="000000"/>
          <w:lang w:val="en-US" w:eastAsia="zh-CN"/>
        </w:rPr>
        <w:t>进行一般</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36131E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六、在启动生产设施或者在实际排污之前，按照经批准的环境影响评价文件认真梳理并确认各项环境保护措施落实后，依法申领排污许可证。</w:t>
      </w:r>
    </w:p>
    <w:p w14:paraId="0212C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送师市生态环境保护综合行政执法支队、生态环境监测站、胡杨河经济技术开发区应急管理和环境保护局，并按规定接受各级生态环境主管部门的监督检查。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64D7B9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25</w:t>
      </w:r>
      <w:r>
        <w:rPr>
          <w:rFonts w:hint="default" w:ascii="Times New Roman" w:hAnsi="Times New Roman" w:eastAsia="仿宋_GB2312" w:cs="Times New Roman"/>
          <w:bCs/>
          <w:color w:val="auto"/>
          <w:szCs w:val="32"/>
          <w:highlight w:val="none"/>
        </w:rPr>
        <w:t>日</w:t>
      </w:r>
    </w:p>
    <w:p w14:paraId="78E62357">
      <w:pPr>
        <w:spacing w:line="400" w:lineRule="exact"/>
        <w:ind w:right="316" w:rightChars="100"/>
        <w:rPr>
          <w:rFonts w:hint="default" w:ascii="Times New Roman" w:hAnsi="Times New Roman" w:eastAsia="仿宋_GB2312" w:cs="Times New Roman"/>
          <w:color w:val="auto"/>
          <w:sz w:val="28"/>
          <w:szCs w:val="28"/>
        </w:rPr>
      </w:pPr>
    </w:p>
    <w:p w14:paraId="0899815C">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38B52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7DAAFE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86C91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1368CD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9F1219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6BA394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BCC775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FEB57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2C7126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6956E2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941AAC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9B36E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E7019D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947C30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EB24CF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51B10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D32A46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4B846C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7B2A3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ABEA5B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7DE9AB8">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2ED02F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3A171B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4869A6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45A79B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293EF7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196C0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A0823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8F6A39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90D692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908C7B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225F48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6ECE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1EF20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6E9D54">
      <w:pPr>
        <w:pStyle w:val="2"/>
        <w:rPr>
          <w:rFonts w:hint="default" w:ascii="Times New Roman" w:hAnsi="Times New Roman" w:eastAsia="仿宋_GB2312" w:cs="Times New Roman"/>
          <w:color w:val="auto"/>
          <w:sz w:val="28"/>
          <w:szCs w:val="28"/>
        </w:rPr>
      </w:pPr>
    </w:p>
    <w:p w14:paraId="57B7E629">
      <w:pPr>
        <w:keepNext w:val="0"/>
        <w:keepLines w:val="0"/>
        <w:pageBreakBefore w:val="0"/>
        <w:widowControl w:val="0"/>
        <w:kinsoku/>
        <w:wordWrap/>
        <w:overflowPunct/>
        <w:topLinePunct w:val="0"/>
        <w:autoSpaceDE/>
        <w:autoSpaceDN/>
        <w:bidi w:val="0"/>
        <w:adjustRightInd/>
        <w:snapToGrid/>
        <w:spacing w:line="720" w:lineRule="exact"/>
        <w:ind w:right="316" w:rightChars="100"/>
        <w:textAlignment w:val="auto"/>
        <w:rPr>
          <w:rFonts w:hint="default" w:ascii="Times New Roman" w:hAnsi="Times New Roman" w:eastAsia="仿宋_GB2312" w:cs="Times New Roman"/>
          <w:color w:val="auto"/>
          <w:sz w:val="28"/>
          <w:szCs w:val="28"/>
        </w:rPr>
      </w:pPr>
      <w:bookmarkStart w:id="0" w:name="_GoBack"/>
      <w:bookmarkEnd w:id="0"/>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抄送：师市生态环境保护综合行政执法支队、生态环境监测站、胡杨河经济技术开发区应急管理和环境保护局。</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1"/>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1</w:t>
                          </w:r>
                          <w:r>
                            <w:rPr>
                              <w:rFonts w:hint="eastAsia" w:ascii="宋体" w:hAnsi="宋体" w:eastAsia="宋体" w:cs="宋体"/>
                              <w:sz w:val="28"/>
                              <w:szCs w:val="28"/>
                            </w:rPr>
                            <w:fldChar w:fldCharType="end"/>
                          </w:r>
                          <w:r>
                            <w:rPr>
                              <w:rStyle w:val="22"/>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1"/>
                      <w:ind w:left="320" w:leftChars="100" w:right="320" w:rightChars="100"/>
                      <w:rPr>
                        <w:rStyle w:val="22"/>
                        <w:rFonts w:hint="eastAsia" w:ascii="仿宋_GB2312" w:eastAsia="仿宋_GB2312"/>
                        <w:b/>
                        <w:bCs/>
                        <w:sz w:val="28"/>
                        <w:szCs w:val="28"/>
                      </w:rPr>
                    </w:pPr>
                    <w:r>
                      <w:rPr>
                        <w:rStyle w:val="22"/>
                        <w:rFonts w:hint="eastAsia" w:ascii="仿宋_GB2312" w:eastAsia="仿宋_GB2312"/>
                        <w:sz w:val="28"/>
                        <w:szCs w:val="28"/>
                      </w:rPr>
                      <w:t xml:space="preserve">— </w:t>
                    </w: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1</w:t>
                    </w:r>
                    <w:r>
                      <w:rPr>
                        <w:rFonts w:hint="eastAsia" w:ascii="宋体" w:hAnsi="宋体" w:eastAsia="宋体" w:cs="宋体"/>
                        <w:sz w:val="28"/>
                        <w:szCs w:val="28"/>
                      </w:rPr>
                      <w:fldChar w:fldCharType="end"/>
                    </w:r>
                    <w:r>
                      <w:rPr>
                        <w:rStyle w:val="22"/>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1"/>
      <w:framePr w:wrap="around" w:vAnchor="text" w:hAnchor="margin" w:xAlign="outside" w:y="1"/>
      <w:rPr>
        <w:rStyle w:val="22"/>
      </w:rPr>
    </w:pPr>
    <w:r>
      <w:fldChar w:fldCharType="begin"/>
    </w:r>
    <w:r>
      <w:rPr>
        <w:rStyle w:val="22"/>
      </w:rPr>
      <w:instrText xml:space="preserve">PAGE  </w:instrText>
    </w:r>
    <w:r>
      <w:fldChar w:fldCharType="separate"/>
    </w:r>
    <w:r>
      <w:rPr>
        <w:rStyle w:val="22"/>
      </w:rPr>
      <w:t>1</w:t>
    </w:r>
    <w:r>
      <w:fldChar w:fldCharType="end"/>
    </w:r>
  </w:p>
  <w:p w14:paraId="0475D36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3"/>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1F0F86"/>
    <w:rsid w:val="08EC6D80"/>
    <w:rsid w:val="0994708F"/>
    <w:rsid w:val="09E77F18"/>
    <w:rsid w:val="0A1B1122"/>
    <w:rsid w:val="0BBC2B25"/>
    <w:rsid w:val="0BC649E1"/>
    <w:rsid w:val="0C7E602C"/>
    <w:rsid w:val="0CE57E5A"/>
    <w:rsid w:val="0E130163"/>
    <w:rsid w:val="0E7B0A75"/>
    <w:rsid w:val="0EDB59B8"/>
    <w:rsid w:val="0F0F11BE"/>
    <w:rsid w:val="0FE304CE"/>
    <w:rsid w:val="128F6BA3"/>
    <w:rsid w:val="12C7072D"/>
    <w:rsid w:val="141E2CF7"/>
    <w:rsid w:val="151B7857"/>
    <w:rsid w:val="15437E13"/>
    <w:rsid w:val="16733296"/>
    <w:rsid w:val="16B800EE"/>
    <w:rsid w:val="16E15B36"/>
    <w:rsid w:val="16F05D79"/>
    <w:rsid w:val="177121A0"/>
    <w:rsid w:val="17D3547E"/>
    <w:rsid w:val="18A773D4"/>
    <w:rsid w:val="18C9062F"/>
    <w:rsid w:val="19A10D50"/>
    <w:rsid w:val="1A597231"/>
    <w:rsid w:val="1D8B05A9"/>
    <w:rsid w:val="1E460B4D"/>
    <w:rsid w:val="1E7948A6"/>
    <w:rsid w:val="1F7532BF"/>
    <w:rsid w:val="203531CA"/>
    <w:rsid w:val="205C4B20"/>
    <w:rsid w:val="20783D41"/>
    <w:rsid w:val="21162F81"/>
    <w:rsid w:val="21DD6837"/>
    <w:rsid w:val="2250591D"/>
    <w:rsid w:val="232E3EB1"/>
    <w:rsid w:val="233D7B4C"/>
    <w:rsid w:val="23D22A8E"/>
    <w:rsid w:val="23DC56BB"/>
    <w:rsid w:val="23E10AC4"/>
    <w:rsid w:val="24057B5F"/>
    <w:rsid w:val="24696853"/>
    <w:rsid w:val="24765B0F"/>
    <w:rsid w:val="247C78BD"/>
    <w:rsid w:val="250B5DC7"/>
    <w:rsid w:val="256C6F12"/>
    <w:rsid w:val="25B11864"/>
    <w:rsid w:val="260C6FC7"/>
    <w:rsid w:val="266546C4"/>
    <w:rsid w:val="291034DE"/>
    <w:rsid w:val="2B066B68"/>
    <w:rsid w:val="2B665A9B"/>
    <w:rsid w:val="2BA03F96"/>
    <w:rsid w:val="2C2240F7"/>
    <w:rsid w:val="2DFB7085"/>
    <w:rsid w:val="2F130EE6"/>
    <w:rsid w:val="2F1F6DA3"/>
    <w:rsid w:val="2F234AE5"/>
    <w:rsid w:val="2F2B3664"/>
    <w:rsid w:val="2F306B60"/>
    <w:rsid w:val="2F57653D"/>
    <w:rsid w:val="2FEE4162"/>
    <w:rsid w:val="301A5EE8"/>
    <w:rsid w:val="31857392"/>
    <w:rsid w:val="32C5491C"/>
    <w:rsid w:val="331F7372"/>
    <w:rsid w:val="358F67ED"/>
    <w:rsid w:val="35927151"/>
    <w:rsid w:val="369167D9"/>
    <w:rsid w:val="371F1D45"/>
    <w:rsid w:val="37A75B88"/>
    <w:rsid w:val="38207142"/>
    <w:rsid w:val="38453BBB"/>
    <w:rsid w:val="396C7089"/>
    <w:rsid w:val="39A14787"/>
    <w:rsid w:val="39A80255"/>
    <w:rsid w:val="3A783EEF"/>
    <w:rsid w:val="3BAC6099"/>
    <w:rsid w:val="3C25479F"/>
    <w:rsid w:val="3C814BF9"/>
    <w:rsid w:val="3D2A7F67"/>
    <w:rsid w:val="3D7076AF"/>
    <w:rsid w:val="3DD64512"/>
    <w:rsid w:val="3E322D18"/>
    <w:rsid w:val="3E900D0A"/>
    <w:rsid w:val="3EC1562C"/>
    <w:rsid w:val="3F0E35AF"/>
    <w:rsid w:val="3F4E158E"/>
    <w:rsid w:val="407209E5"/>
    <w:rsid w:val="4419237E"/>
    <w:rsid w:val="45D948F4"/>
    <w:rsid w:val="46F24DE3"/>
    <w:rsid w:val="474D04FA"/>
    <w:rsid w:val="47587B93"/>
    <w:rsid w:val="47D76015"/>
    <w:rsid w:val="47E96F77"/>
    <w:rsid w:val="4812529F"/>
    <w:rsid w:val="48776584"/>
    <w:rsid w:val="4936052D"/>
    <w:rsid w:val="493F20C4"/>
    <w:rsid w:val="4970227E"/>
    <w:rsid w:val="4A1609FB"/>
    <w:rsid w:val="4AB55994"/>
    <w:rsid w:val="4B9F5BD0"/>
    <w:rsid w:val="4CBF17F2"/>
    <w:rsid w:val="4CCA458A"/>
    <w:rsid w:val="4F0E67C1"/>
    <w:rsid w:val="4FFE5147"/>
    <w:rsid w:val="50C2181E"/>
    <w:rsid w:val="50CC6933"/>
    <w:rsid w:val="50CD705E"/>
    <w:rsid w:val="51134562"/>
    <w:rsid w:val="52E568E7"/>
    <w:rsid w:val="532B39C5"/>
    <w:rsid w:val="54231BA0"/>
    <w:rsid w:val="54CF69F2"/>
    <w:rsid w:val="550F6DEF"/>
    <w:rsid w:val="562D5084"/>
    <w:rsid w:val="56B572CC"/>
    <w:rsid w:val="56E16569"/>
    <w:rsid w:val="56F42E4F"/>
    <w:rsid w:val="596F60AE"/>
    <w:rsid w:val="5A605F4A"/>
    <w:rsid w:val="5A885A96"/>
    <w:rsid w:val="5AA77AC9"/>
    <w:rsid w:val="5B637E94"/>
    <w:rsid w:val="5B9C5154"/>
    <w:rsid w:val="5BF921B1"/>
    <w:rsid w:val="5C1B42CB"/>
    <w:rsid w:val="5CB62246"/>
    <w:rsid w:val="5CBD2518"/>
    <w:rsid w:val="5D8B722E"/>
    <w:rsid w:val="5EF808F3"/>
    <w:rsid w:val="609006D2"/>
    <w:rsid w:val="610E0E65"/>
    <w:rsid w:val="63D83CD1"/>
    <w:rsid w:val="63F87D72"/>
    <w:rsid w:val="64C86FBA"/>
    <w:rsid w:val="652E506F"/>
    <w:rsid w:val="654C1999"/>
    <w:rsid w:val="660E4EA0"/>
    <w:rsid w:val="6627055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7D6F40"/>
    <w:rsid w:val="6E8623AE"/>
    <w:rsid w:val="6F065AB6"/>
    <w:rsid w:val="70205EFC"/>
    <w:rsid w:val="70787AE6"/>
    <w:rsid w:val="71535E5D"/>
    <w:rsid w:val="721320EC"/>
    <w:rsid w:val="73323C81"/>
    <w:rsid w:val="734D62FA"/>
    <w:rsid w:val="73510DAC"/>
    <w:rsid w:val="7388211F"/>
    <w:rsid w:val="745A0337"/>
    <w:rsid w:val="748F3650"/>
    <w:rsid w:val="754C0619"/>
    <w:rsid w:val="76DD68F5"/>
    <w:rsid w:val="76FA7D0E"/>
    <w:rsid w:val="77B21B30"/>
    <w:rsid w:val="780167E7"/>
    <w:rsid w:val="780A371A"/>
    <w:rsid w:val="786F7A21"/>
    <w:rsid w:val="79621333"/>
    <w:rsid w:val="798C319D"/>
    <w:rsid w:val="79A731EA"/>
    <w:rsid w:val="79E166FC"/>
    <w:rsid w:val="79F35C8E"/>
    <w:rsid w:val="7A85778D"/>
    <w:rsid w:val="7BA55F94"/>
    <w:rsid w:val="7C460A98"/>
    <w:rsid w:val="7CE3278B"/>
    <w:rsid w:val="7D155CFE"/>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b/>
      <w:kern w:val="0"/>
      <w:sz w:val="28"/>
      <w:szCs w:val="28"/>
    </w:rPr>
  </w:style>
  <w:style w:type="paragraph" w:styleId="4">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5">
    <w:name w:val="heading 3"/>
    <w:basedOn w:val="1"/>
    <w:next w:val="1"/>
    <w:qFormat/>
    <w:uiPriority w:val="0"/>
    <w:pPr>
      <w:keepNext/>
      <w:keepLines/>
      <w:spacing w:line="360" w:lineRule="auto"/>
      <w:ind w:firstLine="200" w:firstLineChars="200"/>
      <w:outlineLvl w:val="2"/>
    </w:pPr>
    <w:rPr>
      <w:bCs/>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华文中宋"/>
      <w:b/>
      <w:bCs/>
      <w:w w:val="90"/>
      <w:sz w:val="44"/>
    </w:rPr>
  </w:style>
  <w:style w:type="paragraph" w:styleId="6">
    <w:name w:val="Normal Indent"/>
    <w:basedOn w:val="1"/>
    <w:qFormat/>
    <w:uiPriority w:val="0"/>
    <w:pPr>
      <w:ind w:firstLine="420" w:firstLineChars="200"/>
    </w:pPr>
    <w:rPr>
      <w:rFonts w:ascii="宋体" w:hAnsi="宋体"/>
    </w:rPr>
  </w:style>
  <w:style w:type="paragraph" w:styleId="7">
    <w:name w:val="index 5"/>
    <w:basedOn w:val="1"/>
    <w:next w:val="1"/>
    <w:qFormat/>
    <w:uiPriority w:val="0"/>
    <w:pPr>
      <w:ind w:left="800" w:leftChars="800"/>
    </w:pPr>
  </w:style>
  <w:style w:type="paragraph" w:styleId="8">
    <w:name w:val="Body Text Indent"/>
    <w:basedOn w:val="1"/>
    <w:next w:val="2"/>
    <w:qFormat/>
    <w:uiPriority w:val="0"/>
    <w:pPr>
      <w:spacing w:after="120"/>
      <w:ind w:left="420" w:leftChars="200"/>
    </w:p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index heading"/>
    <w:basedOn w:val="1"/>
    <w:next w:val="14"/>
    <w:qFormat/>
    <w:uiPriority w:val="0"/>
    <w:pPr>
      <w:widowControl/>
      <w:jc w:val="left"/>
    </w:pPr>
    <w:rPr>
      <w:rFonts w:ascii="Arial" w:hAnsi="Arial" w:cs="Arial"/>
      <w:b/>
      <w:bCs/>
      <w:kern w:val="0"/>
      <w:sz w:val="24"/>
    </w:rPr>
  </w:style>
  <w:style w:type="paragraph" w:styleId="14">
    <w:name w:val="index 1"/>
    <w:basedOn w:val="1"/>
    <w:next w:val="1"/>
    <w:qFormat/>
    <w:uiPriority w:val="0"/>
    <w:pPr>
      <w:spacing w:line="360" w:lineRule="auto"/>
      <w:jc w:val="center"/>
    </w:pPr>
  </w:style>
  <w:style w:type="paragraph" w:styleId="15">
    <w:name w:val="footnote text"/>
    <w:basedOn w:val="1"/>
    <w:next w:val="7"/>
    <w:unhideWhenUsed/>
    <w:qFormat/>
    <w:uiPriority w:val="99"/>
    <w:pPr>
      <w:snapToGrid w:val="0"/>
      <w:jc w:val="left"/>
    </w:pPr>
    <w:rPr>
      <w:rFonts w:ascii="Calibri" w:hAnsi="Calibri" w:eastAsia="仿宋" w:cs="Times New Roman"/>
      <w:sz w:val="18"/>
      <w:szCs w:val="18"/>
    </w:rPr>
  </w:style>
  <w:style w:type="paragraph" w:styleId="16">
    <w:name w:val="Body Text 2"/>
    <w:basedOn w:val="1"/>
    <w:unhideWhenUsed/>
    <w:qFormat/>
    <w:uiPriority w:val="99"/>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9">
    <w:name w:val="Body Text First Indent 2"/>
    <w:basedOn w:val="8"/>
    <w:next w:val="1"/>
    <w:qFormat/>
    <w:uiPriority w:val="0"/>
    <w:pPr>
      <w:adjustRightInd w:val="0"/>
      <w:spacing w:line="360" w:lineRule="atLeast"/>
      <w:ind w:left="0" w:leftChars="0" w:firstLine="210"/>
      <w:textAlignment w:val="baseline"/>
    </w:pPr>
    <w:rPr>
      <w:sz w:val="24"/>
    </w:rPr>
  </w:style>
  <w:style w:type="character" w:styleId="22">
    <w:name w:val="page number"/>
    <w:basedOn w:val="21"/>
    <w:qFormat/>
    <w:uiPriority w:val="0"/>
  </w:style>
  <w:style w:type="paragraph" w:customStyle="1" w:styleId="23">
    <w:name w:val="Default"/>
    <w:basedOn w:val="24"/>
    <w:next w:val="1"/>
    <w:unhideWhenUsed/>
    <w:qFormat/>
    <w:uiPriority w:val="0"/>
    <w:pPr>
      <w:tabs>
        <w:tab w:val="left" w:pos="2760"/>
      </w:tabs>
      <w:autoSpaceDE w:val="0"/>
      <w:autoSpaceDN w:val="0"/>
    </w:pPr>
    <w:rPr>
      <w:rFonts w:hAnsi="宋体" w:eastAsia="宋体"/>
      <w:color w:val="000000"/>
      <w:sz w:val="24"/>
    </w:rPr>
  </w:style>
  <w:style w:type="paragraph" w:customStyle="1" w:styleId="24">
    <w:name w:val="纯文本1"/>
    <w:basedOn w:val="1"/>
    <w:qFormat/>
    <w:uiPriority w:val="0"/>
    <w:pPr>
      <w:tabs>
        <w:tab w:val="left" w:pos="2760"/>
      </w:tabs>
      <w:adjustRightInd w:val="0"/>
    </w:pPr>
    <w:rPr>
      <w:rFonts w:ascii="宋体" w:hAnsi="Courier New"/>
    </w:rPr>
  </w:style>
  <w:style w:type="paragraph" w:customStyle="1" w:styleId="25">
    <w:name w:val="表头"/>
    <w:basedOn w:val="18"/>
    <w:next w:val="1"/>
    <w:qFormat/>
    <w:uiPriority w:val="0"/>
    <w:pPr>
      <w:jc w:val="center"/>
    </w:pPr>
    <w:rPr>
      <w:rFonts w:ascii="黑体" w:eastAsia="黑体"/>
      <w:kern w:val="0"/>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7">
    <w:name w:val="样式 首行缩进:  2 字符1"/>
    <w:basedOn w:val="1"/>
    <w:qFormat/>
    <w:uiPriority w:val="0"/>
    <w:pPr>
      <w:adjustRightInd w:val="0"/>
      <w:snapToGrid w:val="0"/>
      <w:ind w:firstLine="480"/>
    </w:pPr>
    <w:rPr>
      <w:rFonts w:cs="宋体"/>
      <w:szCs w:val="20"/>
    </w:rPr>
  </w:style>
  <w:style w:type="paragraph" w:customStyle="1" w:styleId="28">
    <w:name w:val="Char"/>
    <w:basedOn w:val="1"/>
    <w:qFormat/>
    <w:uiPriority w:val="0"/>
    <w:rPr>
      <w:rFonts w:cs="宋体"/>
      <w:sz w:val="28"/>
    </w:rPr>
  </w:style>
  <w:style w:type="paragraph" w:customStyle="1" w:styleId="29">
    <w:name w:val="YJ正文*"/>
    <w:basedOn w:val="1"/>
    <w:qFormat/>
    <w:uiPriority w:val="0"/>
    <w:pPr>
      <w:spacing w:line="500" w:lineRule="exact"/>
      <w:ind w:firstLine="200" w:firstLineChars="200"/>
      <w:jc w:val="both"/>
    </w:pPr>
    <w:rPr>
      <w:rFonts w:ascii="等线" w:hAnsi="等线" w:eastAsia="宋体"/>
      <w:sz w:val="24"/>
    </w:rPr>
  </w:style>
  <w:style w:type="paragraph" w:customStyle="1" w:styleId="30">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2353</Words>
  <Characters>2540</Characters>
  <Lines>11</Lines>
  <Paragraphs>3</Paragraphs>
  <TotalTime>0</TotalTime>
  <ScaleCrop>false</ScaleCrop>
  <LinksUpToDate>false</LinksUpToDate>
  <CharactersWithSpaces>2584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Floating dream </cp:lastModifiedBy>
  <cp:lastPrinted>2026-02-13T08:48:00Z</cp:lastPrinted>
  <dcterms:modified xsi:type="dcterms:W3CDTF">2026-05-25T03:31:41Z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C58EF842C96742259F0960D0B486B7A1_13</vt:lpwstr>
  </property>
  <property fmtid="{D5CDD505-2E9C-101B-9397-08002B2CF9AE}" pid="4" name="KSOTemplateDocerSaveRecord">
    <vt:lpwstr>eyJoZGlkIjoiOTM4ZGE5MjAwOTRjNzE3YmI3NzllODlkMzQzMmYzMzgiLCJ1c2VySWQiOiIzNjMzMTU4MzUifQ==</vt:lpwstr>
  </property>
</Properties>
</file>