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68BED">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679870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snapToGrid w:val="0"/>
          <w:kern w:val="0"/>
          <w:sz w:val="32"/>
          <w:szCs w:val="32"/>
        </w:rPr>
      </w:pPr>
      <w:r>
        <w:rPr>
          <w:rFonts w:hint="eastAsia" w:ascii="仿宋_GB2312" w:eastAsia="仿宋_GB2312"/>
          <w:snapToGrid w:val="0"/>
          <w:kern w:val="0"/>
          <w:sz w:val="32"/>
          <w:szCs w:val="32"/>
        </w:rPr>
        <w:t xml:space="preserve">                                师市环审</w:t>
      </w:r>
      <w:r>
        <w:rPr>
          <w:rFonts w:hint="default" w:ascii="Times New Roman" w:hAnsi="Times New Roman" w:eastAsia="仿宋_GB2312" w:cs="Times New Roman"/>
          <w:snapToGrid w:val="0"/>
          <w:kern w:val="0"/>
          <w:sz w:val="32"/>
          <w:szCs w:val="32"/>
        </w:rPr>
        <w:t>〔202</w:t>
      </w:r>
      <w:r>
        <w:rPr>
          <w:rFonts w:hint="default" w:ascii="Times New Roman" w:hAnsi="Times New Roman"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16</w:t>
      </w:r>
      <w:r>
        <w:rPr>
          <w:rFonts w:hint="default" w:ascii="Times New Roman" w:hAnsi="Times New Roman" w:eastAsia="仿宋_GB2312" w:cs="Times New Roman"/>
          <w:snapToGrid w:val="0"/>
          <w:kern w:val="0"/>
          <w:sz w:val="32"/>
          <w:szCs w:val="32"/>
        </w:rPr>
        <w:t>号</w:t>
      </w:r>
    </w:p>
    <w:p w14:paraId="3CA0B6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2B9A68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Cs/>
          <w:snapToGrid w:val="0"/>
          <w:kern w:val="0"/>
          <w:sz w:val="44"/>
          <w:szCs w:val="44"/>
          <w:lang w:val="zh-CN"/>
        </w:rPr>
      </w:pPr>
      <w:r>
        <w:rPr>
          <w:rFonts w:hint="eastAsia" w:ascii="方正小标宋简体" w:hAnsi="宋体" w:eastAsia="方正小标宋简体"/>
          <w:bCs/>
          <w:snapToGrid w:val="0"/>
          <w:kern w:val="0"/>
          <w:sz w:val="44"/>
          <w:szCs w:val="44"/>
        </w:rPr>
        <w:t>关于</w:t>
      </w:r>
      <w:bookmarkStart w:id="0" w:name="_Hlk178591964"/>
      <w:r>
        <w:rPr>
          <w:rFonts w:hint="eastAsia" w:ascii="Times New Roman" w:hAnsi="Times New Roman" w:eastAsia="方正小标宋简体" w:cs="Times New Roman"/>
          <w:b w:val="0"/>
          <w:bCs/>
          <w:sz w:val="44"/>
          <w:szCs w:val="44"/>
          <w:lang w:val="zh-CN" w:eastAsia="zh-CN" w:bidi="ar"/>
        </w:rPr>
        <w:t>新疆爱农生态科技有限公司年产50000吨磷酸盐（磷酸脲、磷酸二氢钾、聚磷酸铵等）先进设备更新改造及扩能</w:t>
      </w:r>
      <w:r>
        <w:rPr>
          <w:rFonts w:hint="eastAsia" w:ascii="方正小标宋简体" w:hAnsi="宋体" w:eastAsia="方正小标宋简体"/>
          <w:bCs/>
          <w:snapToGrid w:val="0"/>
          <w:kern w:val="0"/>
          <w:sz w:val="44"/>
          <w:szCs w:val="44"/>
          <w:lang w:val="zh-CN"/>
        </w:rPr>
        <w:t>项目</w:t>
      </w:r>
      <w:bookmarkEnd w:id="0"/>
    </w:p>
    <w:p w14:paraId="40F4E0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环境影响报告书</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13C929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168A95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bookmarkStart w:id="1" w:name="_GoBack"/>
      <w:r>
        <w:rPr>
          <w:rFonts w:hint="default" w:ascii="Times New Roman" w:hAnsi="Times New Roman" w:eastAsia="仿宋_GB2312" w:cs="Times New Roman"/>
          <w:sz w:val="32"/>
          <w:szCs w:val="32"/>
          <w:lang w:val="zh-CN" w:eastAsia="zh-CN"/>
        </w:rPr>
        <w:t>新疆爱农生态科技有限公司</w:t>
      </w:r>
      <w:bookmarkEnd w:id="1"/>
      <w:r>
        <w:rPr>
          <w:rFonts w:hint="default" w:ascii="Times New Roman" w:hAnsi="Times New Roman" w:eastAsia="仿宋_GB2312" w:cs="Times New Roman"/>
          <w:sz w:val="32"/>
          <w:szCs w:val="32"/>
        </w:rPr>
        <w:t>：</w:t>
      </w:r>
    </w:p>
    <w:p w14:paraId="1A5153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新疆爱农生态科技有限公司年产50000吨磷酸盐（磷酸脲、磷酸二氢钾、聚磷酸铵等）先进设备更新改造及扩能</w:t>
      </w:r>
      <w:r>
        <w:rPr>
          <w:rFonts w:hint="default" w:ascii="Times New Roman" w:hAnsi="Times New Roman" w:eastAsia="仿宋_GB2312" w:cs="Times New Roman"/>
          <w:sz w:val="32"/>
          <w:szCs w:val="32"/>
          <w:lang w:val="zh-CN"/>
        </w:rPr>
        <w:t>项目环境影响报告书</w:t>
      </w:r>
      <w:r>
        <w:rPr>
          <w:rFonts w:hint="default" w:ascii="Times New Roman" w:hAnsi="Times New Roman" w:eastAsia="仿宋_GB2312" w:cs="Times New Roman"/>
          <w:sz w:val="32"/>
          <w:szCs w:val="32"/>
        </w:rPr>
        <w:t>&gt;的请示》收悉。经研究，批复如下：</w:t>
      </w:r>
    </w:p>
    <w:p w14:paraId="7F540E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位于胡杨河经济技术开发区，项目区中心地理位置坐标为东经84°52'51.695"，北纬44°48'50.364"。项目为改扩建项目，依托现有磷酸盐生产装置，通过更新升级先进生产设施，实现产能扩充，改造后磷酸盐生产规模可达年产50000吨，对磷酸盐生产车间进行改扩建，新增母液浓缩车间、1座原料库、浓缩母液储罐区，配套建设废气处理系统等设施。项目总投资3360万元，其中环保投资91万元，占总投资的2.71%。</w:t>
      </w:r>
    </w:p>
    <w:p w14:paraId="7527E4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书</w:t>
      </w:r>
      <w:r>
        <w:rPr>
          <w:rFonts w:hint="default" w:ascii="Times New Roman" w:hAnsi="Times New Roman" w:eastAsia="仿宋_GB2312" w:cs="Times New Roman"/>
          <w:bCs/>
          <w:sz w:val="32"/>
          <w:szCs w:val="32"/>
        </w:rPr>
        <w:t>中所列建设项目的性质、规模、地点、工艺和环境保护对策措施。</w:t>
      </w:r>
    </w:p>
    <w:p w14:paraId="45616D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5888D3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一</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sz w:val="32"/>
          <w:szCs w:val="32"/>
        </w:rPr>
        <w:t>严格落实大气污染防治措施。振动流化床干燥系统尾气由密闭管道收集后采取旋风除尘+布袋除尘处理后，通过15米高排气筒排放，颗粒物能够执行《大气污染物综合排放标准》(GB16297-1996)表2二级排放标准限值。燃气热风炉废气采用低氮燃烧技术，废气由密闭管道收集后通过15米高排气筒排放。二氧化硫、氮氧化物、颗粒物执行《兵团工业炉窑大气污染物综合治理实施方案》中污染物排放浓度限值要求。</w:t>
      </w:r>
    </w:p>
    <w:p w14:paraId="2C394D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sz w:val="32"/>
          <w:szCs w:val="32"/>
        </w:rPr>
        <w:t>严格落实水污染防治措施。冷却水定期排放水及设备清洗水收集后与生活污水一同排入园区污水管网;设备清洗水收集后回用于原产品生产，不外排;生活污水依托新疆爱农生态科技有限公司厂区现有化粪池处理满足《污水综合排放标准》(GB8978-1996)三级标准后达标排放。</w:t>
      </w:r>
    </w:p>
    <w:p w14:paraId="32501D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sz w:val="32"/>
          <w:szCs w:val="32"/>
        </w:rPr>
        <w:t>严格落实噪声污染防治措施。选择先进可靠的低噪声设备，采取加强生产管理，厂房隔声、基础减震，距离衰减等措施。厂界噪声排放执行《工业企业厂界环境噪声排放标准》(GB12348-2008)中3类标准要求。</w:t>
      </w:r>
    </w:p>
    <w:p w14:paraId="3E6A66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废机油属于危险废物，收集后于厂区内危险废物贮存点分区暂存，委托有资质的单位定期清运处理。一般固体废物中除尘装置收集尘全部回用于生产;废包装材料收集后定期外售给相关回收单位综合利用。危险废物的收集、贮存、运输须符合《危险废物收集贮存运输技术规范》(HJ2025-2012)及《危险废物贮存污染控制标准》(GB18597-2023)的相关要求。生活垃圾收集后由环卫部门定期清运至垃圾填埋场。</w:t>
      </w:r>
    </w:p>
    <w:p w14:paraId="26EEE5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严格落实地下水及土壤污染防治措施。按照源头防控、分区防治、污染监控、应急响应的原则进行地下水污染防治。严格按照导则要求，落实分区防渗和监控措施。对磷酸盐车间、母液浓缩车间、浓缩母液储罐区、危险废物贮存点进行重点防渗;对化粪池、循环冷却水池进行一般防渗。加强防渗设施的日常维护，对出现损坏的防渗设施应及时修复和加固，确保防渗设施牢固安全</w:t>
      </w:r>
      <w:r>
        <w:rPr>
          <w:rFonts w:hint="eastAsia" w:eastAsia="仿宋_GB2312" w:cs="Times New Roman"/>
          <w:sz w:val="32"/>
          <w:szCs w:val="32"/>
          <w:lang w:eastAsia="zh-CN"/>
        </w:rPr>
        <w:t>。</w:t>
      </w:r>
    </w:p>
    <w:p w14:paraId="2FDD66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7797CB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加强施工期环境保护管理工作，落实防沙治沙措施，防止施工废水、扬尘、噪声污染、水土流失和生态破坏</w:t>
      </w:r>
      <w:r>
        <w:rPr>
          <w:rFonts w:hint="eastAsia" w:ascii="Times New Roman" w:hAnsi="Times New Roman" w:eastAsia="仿宋_GB2312" w:cs="Times New Roman"/>
          <w:bCs/>
          <w:sz w:val="32"/>
          <w:szCs w:val="32"/>
          <w:lang w:eastAsia="zh-CN"/>
        </w:rPr>
        <w:t>。</w:t>
      </w:r>
    </w:p>
    <w:p w14:paraId="6366C8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7A090F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0C9143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书</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F592A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重新</w:t>
      </w:r>
      <w:r>
        <w:rPr>
          <w:rFonts w:hint="default" w:ascii="Times New Roman" w:hAnsi="Times New Roman" w:eastAsia="仿宋_GB2312" w:cs="Times New Roman"/>
          <w:bCs/>
          <w:color w:val="auto"/>
          <w:sz w:val="32"/>
          <w:szCs w:val="32"/>
          <w:highlight w:val="none"/>
        </w:rPr>
        <w:t>申领排污许可证。</w:t>
      </w:r>
    </w:p>
    <w:p w14:paraId="4656FC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69257A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报告书</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38A80575">
      <w:pPr>
        <w:pStyle w:val="3"/>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rPr>
      </w:pPr>
    </w:p>
    <w:p w14:paraId="18475E3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rPr>
      </w:pPr>
    </w:p>
    <w:p w14:paraId="7713B0FA">
      <w:pPr>
        <w:spacing w:line="440" w:lineRule="exact"/>
        <w:ind w:firstLine="4480" w:firstLineChars="14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A2013D4">
      <w:pPr>
        <w:spacing w:line="440" w:lineRule="exact"/>
        <w:ind w:firstLine="5120" w:firstLineChars="1600"/>
        <w:rPr>
          <w:rFonts w:hint="eastAsia" w:ascii="仿宋_GB2312" w:hAnsi="华文仿宋" w:eastAsia="仿宋_GB2312" w:cs="仿宋_GB2312"/>
          <w:sz w:val="28"/>
          <w:szCs w:val="28"/>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8</w:t>
      </w:r>
      <w:r>
        <w:rPr>
          <w:rFonts w:hint="default" w:ascii="Times New Roman" w:hAnsi="Times New Roman" w:eastAsia="仿宋_GB2312" w:cs="Times New Roman"/>
          <w:bCs/>
          <w:sz w:val="32"/>
          <w:szCs w:val="32"/>
        </w:rPr>
        <w:t>日</w:t>
      </w:r>
    </w:p>
    <w:p w14:paraId="378CE96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华文仿宋" w:eastAsia="仿宋_GB2312" w:cs="仿宋_GB2312"/>
          <w:sz w:val="28"/>
          <w:szCs w:val="28"/>
        </w:rPr>
      </w:pPr>
    </w:p>
    <w:p w14:paraId="4DCE71C8">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华文仿宋" w:eastAsia="仿宋_GB2312" w:cs="仿宋_GB2312"/>
          <w:sz w:val="28"/>
          <w:szCs w:val="28"/>
        </w:rPr>
      </w:pPr>
    </w:p>
    <w:p w14:paraId="0D16A7F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华文仿宋" w:eastAsia="仿宋_GB2312" w:cs="仿宋_GB2312"/>
          <w:sz w:val="28"/>
          <w:szCs w:val="28"/>
        </w:rPr>
      </w:pPr>
    </w:p>
    <w:p w14:paraId="211A1B2C">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ascii="仿宋_GB2312" w:hAnsi="华文仿宋" w:eastAsia="仿宋_GB2312" w:cs="仿宋_GB2312"/>
          <w:spacing w:val="-11"/>
          <w:sz w:val="28"/>
          <w:szCs w:val="28"/>
        </w:rPr>
      </w:pPr>
      <w:r>
        <w:rPr>
          <w:rFonts w:hint="eastAsia" w:ascii="仿宋_GB2312" w:hAnsi="华文仿宋"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eastAsia" w:ascii="仿宋_GB2312" w:hAnsi="华文仿宋" w:eastAsia="仿宋_GB2312" w:cs="仿宋_GB2312"/>
          <w:sz w:val="28"/>
          <w:szCs w:val="28"/>
        </w:rPr>
        <w:t>抄送：师市生态环境保护综合行政执法支队、生态环境监测站、胡杨河经济技术开发区应急管理和环境保护局。</w:t>
      </w:r>
    </w:p>
    <w:p w14:paraId="7F6AE616">
      <w:pPr>
        <w:spacing w:line="600" w:lineRule="exact"/>
        <w:ind w:right="210" w:rightChars="100"/>
        <w:rPr>
          <w:rFonts w:hint="default" w:ascii="Times New Roman" w:hAnsi="Times New Roman" w:eastAsia="仿宋_GB2312" w:cs="Times New Roman"/>
          <w:lang w:val="en-US" w:eastAsia="zh-CN"/>
        </w:rPr>
      </w:pPr>
      <w:r>
        <w:rPr>
          <w:rFonts w:hint="eastAsia" w:ascii="仿宋_GB2312" w:hAnsi="华文仿宋"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华文仿宋"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华文仿宋" w:eastAsia="仿宋_GB2312" w:cs="仿宋_GB2312"/>
          <w:sz w:val="28"/>
          <w:szCs w:val="28"/>
        </w:rPr>
        <w:t xml:space="preserve">兵团第七师胡杨河市生态环境局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eastAsia"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8</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A23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9E3F7">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2739E3F7">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1B110AA"/>
    <w:rsid w:val="084B608D"/>
    <w:rsid w:val="08DB6A0C"/>
    <w:rsid w:val="0A6D7B38"/>
    <w:rsid w:val="0BD55735"/>
    <w:rsid w:val="0CD67C16"/>
    <w:rsid w:val="0F8E2A2A"/>
    <w:rsid w:val="1367781A"/>
    <w:rsid w:val="154D0C92"/>
    <w:rsid w:val="199E386A"/>
    <w:rsid w:val="19A61553"/>
    <w:rsid w:val="1ABC044C"/>
    <w:rsid w:val="1B860A5A"/>
    <w:rsid w:val="1C744D56"/>
    <w:rsid w:val="1CB17587"/>
    <w:rsid w:val="1CE67A02"/>
    <w:rsid w:val="1E124827"/>
    <w:rsid w:val="2177331E"/>
    <w:rsid w:val="21D97B35"/>
    <w:rsid w:val="227C6712"/>
    <w:rsid w:val="24F3437F"/>
    <w:rsid w:val="26647BE9"/>
    <w:rsid w:val="274A3283"/>
    <w:rsid w:val="27E6038A"/>
    <w:rsid w:val="2E6647A7"/>
    <w:rsid w:val="2FE778C1"/>
    <w:rsid w:val="31DB1B10"/>
    <w:rsid w:val="31FE0EF2"/>
    <w:rsid w:val="342B16A9"/>
    <w:rsid w:val="34DB0F65"/>
    <w:rsid w:val="34FB796B"/>
    <w:rsid w:val="389B146D"/>
    <w:rsid w:val="39F33306"/>
    <w:rsid w:val="3C320116"/>
    <w:rsid w:val="3C6D73A0"/>
    <w:rsid w:val="3DC27139"/>
    <w:rsid w:val="3E3F2FBE"/>
    <w:rsid w:val="3ED656D0"/>
    <w:rsid w:val="41F36599"/>
    <w:rsid w:val="47623535"/>
    <w:rsid w:val="4B4732F2"/>
    <w:rsid w:val="4E2A19FE"/>
    <w:rsid w:val="4E973CE5"/>
    <w:rsid w:val="521E31BF"/>
    <w:rsid w:val="5445681C"/>
    <w:rsid w:val="5AF466DE"/>
    <w:rsid w:val="5DA55151"/>
    <w:rsid w:val="5EE50BC0"/>
    <w:rsid w:val="5FCF6BF0"/>
    <w:rsid w:val="5FDA624B"/>
    <w:rsid w:val="6109328C"/>
    <w:rsid w:val="623C143F"/>
    <w:rsid w:val="62A019CE"/>
    <w:rsid w:val="6703077D"/>
    <w:rsid w:val="68152516"/>
    <w:rsid w:val="6B1E7934"/>
    <w:rsid w:val="6B226C70"/>
    <w:rsid w:val="6B9D6AAA"/>
    <w:rsid w:val="6C8F7550"/>
    <w:rsid w:val="6CC3509F"/>
    <w:rsid w:val="708446DD"/>
    <w:rsid w:val="75006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next w:val="4"/>
    <w:qFormat/>
    <w:uiPriority w:val="0"/>
    <w:rPr>
      <w:rFonts w:eastAsia="华文中宋"/>
      <w:b/>
      <w:bCs/>
      <w:w w:val="90"/>
      <w:sz w:val="44"/>
    </w:rPr>
  </w:style>
  <w:style w:type="paragraph" w:customStyle="1" w:styleId="4">
    <w:name w:val="Default"/>
    <w:basedOn w:val="5"/>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
    <w:name w:val="1 表头"/>
    <w:basedOn w:val="1"/>
    <w:qFormat/>
    <w:uiPriority w:val="0"/>
    <w:pPr>
      <w:adjustRightInd w:val="0"/>
      <w:snapToGrid w:val="0"/>
      <w:spacing w:line="240" w:lineRule="auto"/>
      <w:ind w:firstLine="0" w:firstLineChars="0"/>
      <w:jc w:val="center"/>
    </w:pPr>
    <w:rPr>
      <w:b/>
      <w:color w:val="000000"/>
      <w:sz w:val="21"/>
      <w:szCs w:val="21"/>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footnote text"/>
    <w:basedOn w:val="1"/>
    <w:next w:val="2"/>
    <w:unhideWhenUsed/>
    <w:qFormat/>
    <w:uiPriority w:val="99"/>
    <w:pPr>
      <w:snapToGrid w:val="0"/>
      <w:jc w:val="left"/>
    </w:pPr>
    <w:rPr>
      <w:rFonts w:ascii="Calibri" w:hAnsi="Calibri" w:eastAsia="仿宋" w:cs="Times New Roman"/>
      <w:sz w:val="18"/>
      <w:szCs w:val="18"/>
    </w:rPr>
  </w:style>
  <w:style w:type="paragraph" w:customStyle="1" w:styleId="10">
    <w:name w:val="纯文本1"/>
    <w:basedOn w:val="1"/>
    <w:qFormat/>
    <w:uiPriority w:val="0"/>
    <w:pPr>
      <w:adjustRightInd w:val="0"/>
      <w:textAlignment w:val="baseline"/>
    </w:pPr>
    <w:rPr>
      <w:rFonts w:ascii="宋体" w:hAnsi="Courier New"/>
      <w:szCs w:val="20"/>
    </w:rPr>
  </w:style>
  <w:style w:type="paragraph" w:customStyle="1" w:styleId="11">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3252</Words>
  <Characters>3533</Characters>
  <Lines>0</Lines>
  <Paragraphs>0</Paragraphs>
  <TotalTime>5</TotalTime>
  <ScaleCrop>false</ScaleCrop>
  <LinksUpToDate>false</LinksUpToDate>
  <CharactersWithSpaces>3583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Floating dream </cp:lastModifiedBy>
  <dcterms:modified xsi:type="dcterms:W3CDTF">2026-05-08T04:48:44Z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E9BA5399F1DE485CA86F0B82C42E5750_13</vt:lpwstr>
  </property>
  <property fmtid="{D5CDD505-2E9C-101B-9397-08002B2CF9AE}" pid="4" name="KSOTemplateDocerSaveRecord">
    <vt:lpwstr>eyJoZGlkIjoiOTM4ZGE5MjAwOTRjNzE3YmI3NzllODlkMzQzMmYzMzgiLCJ1c2VySWQiOiIzNjMzMTU4MzUifQ==</vt:lpwstr>
  </property>
</Properties>
</file>