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0C6A9">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28A95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10</w:t>
      </w:r>
      <w:r>
        <w:rPr>
          <w:rFonts w:hint="default" w:ascii="Times New Roman" w:hAnsi="Times New Roman" w:eastAsia="仿宋_GB2312" w:cs="Times New Roman"/>
          <w:snapToGrid w:val="0"/>
          <w:kern w:val="0"/>
          <w:sz w:val="32"/>
          <w:szCs w:val="32"/>
        </w:rPr>
        <w:t>号</w:t>
      </w:r>
    </w:p>
    <w:p w14:paraId="798FD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18DDA0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lang w:val="zh-CN"/>
        </w:rPr>
      </w:pPr>
      <w:r>
        <w:rPr>
          <w:rFonts w:hint="eastAsia" w:ascii="方正小标宋简体" w:hAnsi="宋体" w:eastAsia="方正小标宋简体"/>
          <w:bCs/>
          <w:snapToGrid w:val="0"/>
          <w:kern w:val="0"/>
          <w:sz w:val="44"/>
          <w:szCs w:val="44"/>
        </w:rPr>
        <w:t>关于</w:t>
      </w:r>
      <w:r>
        <w:rPr>
          <w:rFonts w:hint="eastAsia" w:ascii="方正小标宋简体" w:hAnsi="宋体" w:eastAsia="方正小标宋简体"/>
          <w:bCs/>
          <w:snapToGrid w:val="0"/>
          <w:kern w:val="0"/>
          <w:sz w:val="44"/>
          <w:szCs w:val="44"/>
          <w:lang w:val="zh-CN"/>
        </w:rPr>
        <w:t>第七师129团病死畜禽无害化处理项目</w:t>
      </w:r>
    </w:p>
    <w:p w14:paraId="69BC8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2682C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8FA592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胡杨河市康桥环保科技有限公司：</w:t>
      </w:r>
    </w:p>
    <w:p w14:paraId="662674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rPr>
        <w:t>第七师129团病死畜禽无害化处理项目</w:t>
      </w:r>
      <w:r>
        <w:rPr>
          <w:rFonts w:hint="default" w:ascii="Times New Roman" w:hAnsi="Times New Roman" w:eastAsia="仿宋_GB2312" w:cs="Times New Roman"/>
          <w:sz w:val="32"/>
          <w:szCs w:val="32"/>
          <w:lang w:val="en-US" w:eastAsia="zh-CN"/>
        </w:rPr>
        <w:t>环境影响报告表</w:t>
      </w:r>
      <w:r>
        <w:rPr>
          <w:rFonts w:hint="default" w:ascii="Times New Roman" w:hAnsi="Times New Roman" w:eastAsia="仿宋_GB2312" w:cs="Times New Roman"/>
          <w:sz w:val="32"/>
          <w:szCs w:val="32"/>
        </w:rPr>
        <w:t>&gt;的请示》收悉。经研究，批复如下：</w:t>
      </w:r>
    </w:p>
    <w:p w14:paraId="79C6BD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位于七师1</w:t>
      </w:r>
      <w:r>
        <w:rPr>
          <w:rFonts w:hint="eastAsia"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团，项目区中心地理位置坐标为</w:t>
      </w:r>
      <w:bookmarkStart w:id="0" w:name="_Hlk180516248"/>
      <w:r>
        <w:rPr>
          <w:rFonts w:hint="default" w:ascii="Times New Roman" w:hAnsi="Times New Roman" w:eastAsia="仿宋_GB2312" w:cs="Times New Roman"/>
          <w:sz w:val="32"/>
          <w:szCs w:val="32"/>
          <w:lang w:val="en-US" w:eastAsia="zh-CN"/>
        </w:rPr>
        <w:t>东经84°47′47.245″，北纬44°48′54.818″。</w:t>
      </w:r>
      <w:bookmarkEnd w:id="0"/>
      <w:r>
        <w:rPr>
          <w:rFonts w:hint="eastAsia" w:eastAsia="仿宋_GB2312" w:cs="Times New Roman"/>
          <w:sz w:val="32"/>
          <w:szCs w:val="32"/>
          <w:lang w:val="en-US" w:eastAsia="zh-CN"/>
        </w:rPr>
        <w:t>项目新建综合型病死畜禽专业无害化处理中心1个，处理规模为10吨/日，新建无害化处理厂房、黑膜池，消毒房等；购置收运车辆、化制机、破碎机、导热油炉、废水废气处理设施设备等。项目总投资4000万元，其中环保投资为219万元，环保投资占总投资的5.48%。</w:t>
      </w:r>
    </w:p>
    <w:p w14:paraId="61BE4A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7DCF6D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078E1B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w:t>
      </w:r>
      <w:r>
        <w:rPr>
          <w:rFonts w:hint="eastAsia" w:eastAsia="仿宋_GB2312" w:cs="Times New Roman"/>
          <w:b w:val="0"/>
          <w:bCs/>
          <w:sz w:val="32"/>
          <w:szCs w:val="32"/>
          <w:lang w:val="en-US" w:eastAsia="zh-CN"/>
        </w:rPr>
        <w:t>严格落实大气污染防治措施。生产车间废气采用集中收集后经“冷凝+微负压收集+碱液喷淋塔”处置后经15m高的排气筒排放，废气排放浓度执行《恶臭污染物排放标准》（GB14554-1993）中恶臭污染物排放标准值，非甲烷总烃执行《大气污染物综合排放标准》(GB16297-1996)中标准限值要求。</w:t>
      </w:r>
    </w:p>
    <w:p w14:paraId="3BB7CE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导热油炉废气采用1套低氮燃烧器+烟气再循环（FGR）组合低氮技术处理后通过1根12m高的排气筒排放，颗粒物、二氧化硫排放浓度执行《锅炉大气污染物排放标准》（GB13271-2014）表3大气污染物特别排放限值》，氮氧化物执行《关于开展自治区2022年度夏秋季大气污染防治“冬病夏治”工作的通知》限值要求。</w:t>
      </w:r>
    </w:p>
    <w:p w14:paraId="62818C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b w:val="0"/>
          <w:bCs/>
          <w:sz w:val="32"/>
          <w:szCs w:val="32"/>
          <w:lang w:val="en-US" w:eastAsia="zh-CN"/>
        </w:rPr>
      </w:pPr>
      <w:r>
        <w:rPr>
          <w:rFonts w:hint="eastAsia" w:eastAsia="仿宋_GB2312" w:cs="Times New Roman"/>
          <w:b w:val="0"/>
          <w:bCs/>
          <w:sz w:val="32"/>
          <w:szCs w:val="32"/>
          <w:lang w:val="en-US" w:eastAsia="zh-CN"/>
        </w:rPr>
        <w:t>对污水处理池体覆膜密闭喷洒除臭剂，加强生产车间废气收集效率，厂界废气排放执行《恶臭污染物排放标准》（GB14554-1993）中恶臭污染物排放标准值及厂界二级标准的相关限值；厂区内VOCs无组织排放执行《挥发性有机物无组织排放控制标准》（GB37822-2019）VOCs无组织特别排放限值；食堂油烟通过油烟净化器处理后经管道附壁引至厨房屋顶排放，执行《饮食业油烟排放标准》（GB18483-2001）油烟排放浓度规定限值。</w:t>
      </w:r>
    </w:p>
    <w:p w14:paraId="1B67CD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b w:val="0"/>
          <w:bCs w:val="0"/>
          <w:w w:val="100"/>
          <w:kern w:val="2"/>
          <w:sz w:val="32"/>
          <w:szCs w:val="32"/>
          <w:lang w:val="en-US" w:eastAsia="zh-CN" w:bidi="ar-SA"/>
        </w:rPr>
        <w:t>该项目</w:t>
      </w:r>
      <w:r>
        <w:rPr>
          <w:rFonts w:hint="eastAsia" w:ascii="Times New Roman" w:hAnsi="Times New Roman" w:eastAsia="仿宋_GB2312" w:cs="Times New Roman"/>
          <w:b w:val="0"/>
          <w:bCs w:val="0"/>
          <w:w w:val="100"/>
          <w:kern w:val="2"/>
          <w:sz w:val="32"/>
          <w:szCs w:val="32"/>
          <w:lang w:val="en-US" w:eastAsia="zh-CN" w:bidi="ar-SA"/>
        </w:rPr>
        <w:t>NO</w:t>
      </w:r>
      <w:r>
        <w:rPr>
          <w:rFonts w:hint="eastAsia" w:ascii="Times New Roman" w:hAnsi="Times New Roman" w:eastAsia="仿宋_GB2312" w:cs="Times New Roman"/>
          <w:b w:val="0"/>
          <w:bCs w:val="0"/>
          <w:w w:val="100"/>
          <w:kern w:val="2"/>
          <w:sz w:val="32"/>
          <w:szCs w:val="32"/>
          <w:vertAlign w:val="subscript"/>
          <w:lang w:val="en-US" w:eastAsia="zh-CN" w:bidi="ar-SA"/>
        </w:rPr>
        <w:t>X</w:t>
      </w:r>
      <w:r>
        <w:rPr>
          <w:rFonts w:hint="eastAsia" w:ascii="Times New Roman" w:hAnsi="Times New Roman" w:eastAsia="仿宋_GB2312" w:cs="Times New Roman"/>
          <w:b w:val="0"/>
          <w:bCs w:val="0"/>
          <w:w w:val="100"/>
          <w:kern w:val="2"/>
          <w:sz w:val="32"/>
          <w:szCs w:val="32"/>
          <w:lang w:val="en-US" w:eastAsia="zh-CN" w:bidi="ar-SA"/>
        </w:rPr>
        <w:t>排放总量不超过</w:t>
      </w:r>
      <w:r>
        <w:rPr>
          <w:rFonts w:hint="eastAsia" w:eastAsia="仿宋_GB2312" w:cs="仿宋_GB2312"/>
          <w:bCs w:val="0"/>
          <w:kern w:val="2"/>
          <w:sz w:val="32"/>
          <w:szCs w:val="32"/>
          <w:lang w:val="en-US" w:eastAsia="zh-CN"/>
        </w:rPr>
        <w:t>0.102</w:t>
      </w:r>
      <w:r>
        <w:rPr>
          <w:rFonts w:hint="eastAsia" w:ascii="Times New Roman" w:hAnsi="Times New Roman" w:eastAsia="仿宋_GB2312" w:cs="Times New Roman"/>
          <w:b w:val="0"/>
          <w:bCs w:val="0"/>
          <w:w w:val="100"/>
          <w:kern w:val="2"/>
          <w:sz w:val="32"/>
          <w:szCs w:val="32"/>
          <w:lang w:val="en-US" w:eastAsia="zh-CN" w:bidi="ar-SA"/>
        </w:rPr>
        <w:t>吨/年</w:t>
      </w:r>
      <w:r>
        <w:rPr>
          <w:rFonts w:hint="eastAsia" w:eastAsia="仿宋_GB2312" w:cs="Times New Roman"/>
          <w:b w:val="0"/>
          <w:bCs w:val="0"/>
          <w:w w:val="100"/>
          <w:kern w:val="2"/>
          <w:sz w:val="32"/>
          <w:szCs w:val="32"/>
          <w:lang w:val="en-US" w:eastAsia="zh-CN" w:bidi="ar-SA"/>
        </w:rPr>
        <w:t>，VOCs</w:t>
      </w:r>
      <w:r>
        <w:rPr>
          <w:rFonts w:hint="eastAsia" w:ascii="Times New Roman" w:hAnsi="Times New Roman" w:eastAsia="仿宋_GB2312" w:cs="Times New Roman"/>
          <w:b w:val="0"/>
          <w:bCs w:val="0"/>
          <w:w w:val="100"/>
          <w:kern w:val="2"/>
          <w:sz w:val="32"/>
          <w:szCs w:val="32"/>
          <w:lang w:val="en-US" w:eastAsia="zh-CN" w:bidi="ar-SA"/>
        </w:rPr>
        <w:t>排放总量不超过</w:t>
      </w:r>
      <w:r>
        <w:rPr>
          <w:rFonts w:hint="eastAsia" w:eastAsia="仿宋_GB2312" w:cs="Times New Roman"/>
          <w:b w:val="0"/>
          <w:bCs w:val="0"/>
          <w:w w:val="100"/>
          <w:kern w:val="2"/>
          <w:sz w:val="32"/>
          <w:szCs w:val="32"/>
          <w:lang w:val="en-US" w:eastAsia="zh-CN" w:bidi="ar-SA"/>
        </w:rPr>
        <w:t>0.22</w:t>
      </w:r>
      <w:r>
        <w:rPr>
          <w:rFonts w:hint="eastAsia" w:ascii="Times New Roman" w:hAnsi="Times New Roman" w:eastAsia="仿宋_GB2312" w:cs="Times New Roman"/>
          <w:b w:val="0"/>
          <w:bCs w:val="0"/>
          <w:w w:val="100"/>
          <w:kern w:val="2"/>
          <w:sz w:val="32"/>
          <w:szCs w:val="32"/>
          <w:lang w:val="en-US" w:eastAsia="zh-CN" w:bidi="ar-SA"/>
        </w:rPr>
        <w:t>吨/年。</w:t>
      </w:r>
    </w:p>
    <w:p w14:paraId="566834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sz w:val="32"/>
          <w:szCs w:val="32"/>
        </w:rPr>
        <w:t>严格落实水污染防治措施。</w:t>
      </w:r>
      <w:r>
        <w:rPr>
          <w:rFonts w:hint="default" w:ascii="Times New Roman" w:hAnsi="Times New Roman" w:eastAsia="仿宋_GB2312" w:cs="Times New Roman"/>
          <w:sz w:val="32"/>
          <w:szCs w:val="32"/>
          <w:lang w:val="en-US" w:eastAsia="zh-CN"/>
        </w:rPr>
        <w:t>化制烘干冷凝废水、设备清洗废水、地面冲洗废水、运输车辆冲洗废水、臭气处理设施排水、系统冷却排水以及职工生活污水经黑膜池处理后的水达到《城市污水再生利用城市杂用水水质》（GB/T18920-2020）表1中标准绿化水质和《农田灌溉水质标准》（GB5084-2021）表1中旱地作物标准后回用于厂区内绿化用水和还田。</w:t>
      </w:r>
    </w:p>
    <w:p w14:paraId="42B7C8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（三）严格落实噪声污染防治措施。选择低噪声设备，</w:t>
      </w:r>
      <w:r>
        <w:rPr>
          <w:rFonts w:hint="default" w:ascii="Times New Roman" w:hAnsi="Times New Roman" w:eastAsia="仿宋_GB2312" w:cs="Times New Roman"/>
          <w:sz w:val="32"/>
          <w:szCs w:val="32"/>
          <w:lang w:val="zh-CN" w:eastAsia="zh-CN"/>
        </w:rPr>
        <w:t>设备采取隔声降噪、减震技术等措施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厂界噪声</w:t>
      </w:r>
      <w:r>
        <w:rPr>
          <w:rFonts w:hint="default" w:ascii="Times New Roman" w:hAnsi="Times New Roman" w:eastAsia="仿宋_GB2312" w:cs="Times New Roman"/>
          <w:sz w:val="32"/>
          <w:szCs w:val="32"/>
          <w:lang w:val="en-US" w:eastAsia="zh-CN"/>
        </w:rPr>
        <w:t>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《工业企业厂界环境噪声排放标准》（GB12348-2008）中</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类标准要求。</w:t>
      </w:r>
    </w:p>
    <w:p w14:paraId="440550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w:t>
      </w:r>
      <w:r>
        <w:rPr>
          <w:rFonts w:hint="default" w:ascii="Times New Roman" w:hAnsi="Times New Roman" w:eastAsia="仿宋_GB2312" w:cs="Times New Roman"/>
          <w:sz w:val="32"/>
          <w:szCs w:val="32"/>
          <w:lang w:val="en-US" w:eastAsia="zh-CN"/>
        </w:rPr>
        <w:t>废消毒剂瓶、废弃防疫装备</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废机油</w:t>
      </w:r>
      <w:r>
        <w:rPr>
          <w:rFonts w:hint="eastAsia" w:eastAsia="仿宋_GB2312" w:cs="Times New Roman"/>
          <w:sz w:val="32"/>
          <w:szCs w:val="32"/>
          <w:lang w:val="en-US" w:eastAsia="zh-CN"/>
        </w:rPr>
        <w:t>属于危险废物，收集后暂存于危险废物贮存间，定期交由有资质的单位处置。一般固体废物中黑膜池污泥经板框压滤机脱水后掺加石灰消毒，定期收集外售有机肥厂或农户综合利用。</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napToGrid w:val="0"/>
          <w:color w:val="auto"/>
          <w:sz w:val="32"/>
          <w:szCs w:val="32"/>
          <w:lang w:val="en-US" w:eastAsia="zh-CN"/>
        </w:rPr>
        <w:t>生活垃圾收集</w:t>
      </w:r>
      <w:r>
        <w:rPr>
          <w:rFonts w:hint="eastAsia" w:ascii="Times New Roman" w:hAnsi="Times New Roman" w:eastAsia="仿宋_GB2312" w:cs="Times New Roman"/>
          <w:snapToGrid w:val="0"/>
          <w:color w:val="auto"/>
          <w:sz w:val="32"/>
          <w:szCs w:val="32"/>
          <w:lang w:val="en-US" w:eastAsia="zh-CN"/>
        </w:rPr>
        <w:t>后</w:t>
      </w:r>
      <w:r>
        <w:rPr>
          <w:rFonts w:hint="default" w:ascii="Times New Roman" w:hAnsi="Times New Roman" w:eastAsia="仿宋_GB2312" w:cs="Times New Roman"/>
          <w:snapToGrid w:val="0"/>
          <w:color w:val="auto"/>
          <w:sz w:val="32"/>
          <w:szCs w:val="32"/>
          <w:lang w:val="en-US" w:eastAsia="zh-CN"/>
        </w:rPr>
        <w:t>由环卫部门统一清运。</w:t>
      </w:r>
    </w:p>
    <w:p w14:paraId="1CE731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w:t>
      </w:r>
      <w:bookmarkStart w:id="1" w:name="_GoBack"/>
      <w:bookmarkEnd w:id="1"/>
      <w:r>
        <w:rPr>
          <w:rFonts w:hint="default" w:ascii="Times New Roman" w:hAnsi="Times New Roman" w:eastAsia="仿宋_GB2312" w:cs="Times New Roman"/>
          <w:bCs/>
          <w:sz w:val="32"/>
          <w:szCs w:val="32"/>
        </w:rPr>
        <w:t>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对项目处理车间、冷库、油脂暂储罐、黑膜池、消毒池、危险废物贮存</w:t>
      </w:r>
      <w:r>
        <w:rPr>
          <w:rFonts w:hint="eastAsia" w:eastAsia="仿宋_GB2312" w:cs="Times New Roman"/>
          <w:bCs/>
          <w:sz w:val="32"/>
          <w:szCs w:val="32"/>
          <w:lang w:val="en-US" w:eastAsia="zh-CN"/>
        </w:rPr>
        <w:t>间</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eastAsia="zh-CN"/>
        </w:rPr>
        <w:t>。</w:t>
      </w:r>
      <w:r>
        <w:rPr>
          <w:rFonts w:hint="eastAsia" w:eastAsia="仿宋_GB2312" w:cs="Times New Roman"/>
          <w:bCs/>
          <w:sz w:val="32"/>
          <w:szCs w:val="32"/>
          <w:lang w:val="en-US" w:eastAsia="zh-CN"/>
        </w:rPr>
        <w:t>对残余物料处理车间、仓库、导热油炉房进行一般防渗。</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123112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25CEDD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）加强施工期环境保护，落实防沙治沙措施，防止施工废水、扬尘、噪声污染、水土流失和生态破坏。</w:t>
      </w:r>
    </w:p>
    <w:p w14:paraId="07F42C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1FCD42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2B821A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AE7B4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后，依法</w:t>
      </w:r>
      <w:r>
        <w:rPr>
          <w:rFonts w:hint="default" w:ascii="Times New Roman" w:hAnsi="Times New Roman" w:eastAsia="仿宋_GB2312" w:cs="Times New Roman"/>
          <w:bCs/>
          <w:color w:val="auto"/>
          <w:sz w:val="32"/>
          <w:szCs w:val="32"/>
          <w:lang w:val="en-US" w:eastAsia="zh-CN"/>
        </w:rPr>
        <w:t>办理排污许可证</w:t>
      </w:r>
      <w:r>
        <w:rPr>
          <w:rFonts w:hint="default" w:ascii="Times New Roman" w:hAnsi="Times New Roman" w:eastAsia="仿宋_GB2312" w:cs="Times New Roman"/>
          <w:bCs/>
          <w:color w:val="auto"/>
          <w:sz w:val="32"/>
          <w:szCs w:val="32"/>
        </w:rPr>
        <w:t>。</w:t>
      </w:r>
    </w:p>
    <w:p w14:paraId="2AAE67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w:t>
      </w:r>
      <w:r>
        <w:rPr>
          <w:rFonts w:hint="default" w:ascii="Times New Roman" w:hAnsi="Times New Roman" w:eastAsia="仿宋_GB2312" w:cs="Times New Roman"/>
          <w:bCs/>
          <w:sz w:val="32"/>
          <w:szCs w:val="32"/>
          <w:lang w:val="en-US" w:eastAsia="zh-CN"/>
        </w:rPr>
        <w:t>1</w:t>
      </w:r>
      <w:r>
        <w:rPr>
          <w:rFonts w:hint="eastAsia" w:eastAsia="仿宋_GB2312" w:cs="Times New Roman"/>
          <w:bCs/>
          <w:sz w:val="32"/>
          <w:szCs w:val="32"/>
          <w:lang w:val="en-US" w:eastAsia="zh-CN"/>
        </w:rPr>
        <w:t>29</w:t>
      </w:r>
      <w:r>
        <w:rPr>
          <w:rFonts w:hint="default" w:ascii="Times New Roman" w:hAnsi="Times New Roman" w:eastAsia="仿宋_GB2312" w:cs="Times New Roman"/>
          <w:bCs/>
          <w:sz w:val="32"/>
          <w:szCs w:val="32"/>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08C635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w:t>
      </w:r>
      <w:r>
        <w:rPr>
          <w:rFonts w:hint="default" w:ascii="Times New Roman" w:hAnsi="Times New Roman" w:eastAsia="仿宋_GB2312" w:cs="Times New Roman"/>
          <w:bCs/>
          <w:sz w:val="32"/>
          <w:szCs w:val="32"/>
          <w:lang w:val="en-US" w:eastAsia="zh-CN"/>
        </w:rPr>
        <w:t>1</w:t>
      </w:r>
      <w:r>
        <w:rPr>
          <w:rFonts w:hint="eastAsia" w:eastAsia="仿宋_GB2312" w:cs="Times New Roman"/>
          <w:bCs/>
          <w:sz w:val="32"/>
          <w:szCs w:val="32"/>
          <w:lang w:val="en-US" w:eastAsia="zh-CN"/>
        </w:rPr>
        <w:t>29</w:t>
      </w:r>
      <w:r>
        <w:rPr>
          <w:rFonts w:hint="default" w:ascii="Times New Roman" w:hAnsi="Times New Roman" w:eastAsia="仿宋_GB2312" w:cs="Times New Roman"/>
          <w:bCs/>
          <w:sz w:val="32"/>
          <w:szCs w:val="32"/>
        </w:rPr>
        <w:t>团城镇和生态保护中心，并按规定接受各级生态环境主管部门的监督检查。</w:t>
      </w:r>
    </w:p>
    <w:p w14:paraId="28DC5263">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仿宋_GB2312" w:cs="Times New Roman"/>
          <w:bCs/>
          <w:sz w:val="32"/>
          <w:szCs w:val="32"/>
        </w:rPr>
      </w:pPr>
    </w:p>
    <w:p w14:paraId="081ACF6B">
      <w:pPr>
        <w:pStyle w:val="4"/>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rPr>
      </w:pPr>
    </w:p>
    <w:p w14:paraId="1931BD59">
      <w:pPr>
        <w:spacing w:line="440" w:lineRule="exact"/>
        <w:ind w:firstLine="4160" w:firstLineChars="1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09E50DD">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4</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16</w:t>
      </w:r>
      <w:r>
        <w:rPr>
          <w:rFonts w:hint="default" w:ascii="Times New Roman" w:hAnsi="Times New Roman" w:eastAsia="仿宋_GB2312" w:cs="Times New Roman"/>
          <w:bCs/>
          <w:sz w:val="32"/>
          <w:szCs w:val="32"/>
        </w:rPr>
        <w:t>日</w:t>
      </w:r>
    </w:p>
    <w:p w14:paraId="418980D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64D9F9AF">
      <w:pPr>
        <w:rPr>
          <w:rFonts w:hint="default"/>
        </w:rPr>
      </w:pPr>
    </w:p>
    <w:p w14:paraId="0CE2BF6C">
      <w:pPr>
        <w:pStyle w:val="2"/>
        <w:rPr>
          <w:rFonts w:hint="default"/>
        </w:rPr>
      </w:pPr>
    </w:p>
    <w:p w14:paraId="5AC8D99E">
      <w:pPr>
        <w:rPr>
          <w:rFonts w:hint="default"/>
        </w:rPr>
      </w:pPr>
    </w:p>
    <w:p w14:paraId="6D24CA17">
      <w:pPr>
        <w:pStyle w:val="2"/>
        <w:rPr>
          <w:rFonts w:hint="default"/>
        </w:rPr>
      </w:pPr>
    </w:p>
    <w:p w14:paraId="2D4CED0B">
      <w:pPr>
        <w:rPr>
          <w:rFonts w:hint="default"/>
        </w:rPr>
      </w:pPr>
    </w:p>
    <w:p w14:paraId="25542C90">
      <w:pPr>
        <w:pStyle w:val="2"/>
        <w:rPr>
          <w:rFonts w:hint="default"/>
        </w:rPr>
      </w:pPr>
    </w:p>
    <w:p w14:paraId="7D5B6551">
      <w:pPr>
        <w:rPr>
          <w:rFonts w:hint="default"/>
        </w:rPr>
      </w:pPr>
    </w:p>
    <w:p w14:paraId="1509E976">
      <w:pPr>
        <w:pStyle w:val="2"/>
        <w:rPr>
          <w:rFonts w:hint="default"/>
        </w:rPr>
      </w:pPr>
    </w:p>
    <w:p w14:paraId="1E2AD679">
      <w:pPr>
        <w:rPr>
          <w:rFonts w:hint="default"/>
        </w:rPr>
      </w:pPr>
    </w:p>
    <w:p w14:paraId="54CCC703">
      <w:pPr>
        <w:pStyle w:val="2"/>
        <w:rPr>
          <w:rFonts w:hint="default"/>
        </w:rPr>
      </w:pPr>
    </w:p>
    <w:p w14:paraId="3BE0C125">
      <w:pPr>
        <w:rPr>
          <w:rFonts w:hint="default"/>
        </w:rPr>
      </w:pPr>
    </w:p>
    <w:p w14:paraId="77CF86B3">
      <w:pPr>
        <w:pStyle w:val="2"/>
        <w:rPr>
          <w:rFonts w:hint="default"/>
        </w:rPr>
      </w:pPr>
    </w:p>
    <w:p w14:paraId="2DDE4E65">
      <w:pPr>
        <w:rPr>
          <w:rFonts w:hint="default"/>
        </w:rPr>
      </w:pPr>
    </w:p>
    <w:p w14:paraId="6BDFCEEA">
      <w:pPr>
        <w:pStyle w:val="2"/>
        <w:rPr>
          <w:rFonts w:hint="default"/>
        </w:rPr>
      </w:pPr>
    </w:p>
    <w:p w14:paraId="15D04323">
      <w:pPr>
        <w:rPr>
          <w:rFonts w:hint="default"/>
        </w:rPr>
      </w:pPr>
    </w:p>
    <w:p w14:paraId="628AA9F4">
      <w:pPr>
        <w:pStyle w:val="2"/>
        <w:rPr>
          <w:rFonts w:hint="default"/>
        </w:rPr>
      </w:pPr>
    </w:p>
    <w:p w14:paraId="27A18759">
      <w:pPr>
        <w:rPr>
          <w:rFonts w:hint="default"/>
        </w:rPr>
      </w:pPr>
    </w:p>
    <w:p w14:paraId="030B59CF">
      <w:pPr>
        <w:pStyle w:val="2"/>
        <w:rPr>
          <w:rFonts w:hint="default"/>
        </w:rPr>
      </w:pPr>
    </w:p>
    <w:p w14:paraId="782D2A79">
      <w:pPr>
        <w:rPr>
          <w:rFonts w:hint="default"/>
        </w:rPr>
      </w:pPr>
    </w:p>
    <w:p w14:paraId="6EE77B75">
      <w:pPr>
        <w:pStyle w:val="2"/>
        <w:rPr>
          <w:rFonts w:hint="default"/>
        </w:rPr>
      </w:pPr>
    </w:p>
    <w:p w14:paraId="5BB46EF8">
      <w:pPr>
        <w:rPr>
          <w:rFonts w:hint="default"/>
        </w:rPr>
      </w:pPr>
    </w:p>
    <w:p w14:paraId="13CA072E">
      <w:pPr>
        <w:pStyle w:val="2"/>
        <w:rPr>
          <w:rFonts w:hint="default"/>
        </w:rPr>
      </w:pPr>
    </w:p>
    <w:p w14:paraId="094FFCF7">
      <w:pPr>
        <w:rPr>
          <w:rFonts w:hint="default"/>
        </w:rPr>
      </w:pPr>
    </w:p>
    <w:p w14:paraId="4BAAE067">
      <w:pPr>
        <w:pStyle w:val="2"/>
        <w:rPr>
          <w:rFonts w:hint="default"/>
        </w:rPr>
      </w:pPr>
    </w:p>
    <w:p w14:paraId="0109172D">
      <w:pPr>
        <w:rPr>
          <w:rFonts w:hint="default"/>
        </w:rPr>
      </w:pPr>
    </w:p>
    <w:p w14:paraId="4B618B22">
      <w:pPr>
        <w:rPr>
          <w:rFonts w:hint="default"/>
        </w:rPr>
      </w:pPr>
    </w:p>
    <w:p w14:paraId="46A19A4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w:t>
      </w:r>
      <w:r>
        <w:rPr>
          <w:rFonts w:hint="default" w:ascii="Times New Roman" w:hAnsi="Times New Roman" w:eastAsia="仿宋_GB2312" w:cs="Times New Roman"/>
          <w:sz w:val="28"/>
          <w:szCs w:val="28"/>
          <w:lang w:val="en-US" w:eastAsia="zh-CN"/>
        </w:rPr>
        <w:t>1</w:t>
      </w:r>
      <w:r>
        <w:rPr>
          <w:rFonts w:hint="eastAsia" w:eastAsia="仿宋_GB2312" w:cs="Times New Roman"/>
          <w:sz w:val="28"/>
          <w:szCs w:val="28"/>
          <w:lang w:val="en-US" w:eastAsia="zh-CN"/>
        </w:rPr>
        <w:t>29</w:t>
      </w:r>
      <w:r>
        <w:rPr>
          <w:rFonts w:hint="default" w:ascii="Times New Roman" w:hAnsi="Times New Roman" w:eastAsia="仿宋_GB2312" w:cs="Times New Roman"/>
          <w:sz w:val="28"/>
          <w:szCs w:val="28"/>
        </w:rPr>
        <w:t>团城镇和生态保护中心</w:t>
      </w:r>
      <w:r>
        <w:rPr>
          <w:rFonts w:hint="eastAsia" w:ascii="仿宋_GB2312" w:hAnsi="仿宋_GB2312" w:eastAsia="仿宋_GB2312" w:cs="仿宋_GB2312"/>
          <w:sz w:val="28"/>
          <w:szCs w:val="28"/>
          <w:lang w:eastAsia="zh-CN"/>
        </w:rPr>
        <w:t>。</w:t>
      </w:r>
    </w:p>
    <w:p w14:paraId="0ADEB69F">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5C5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7639">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1007639">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2A511E1"/>
    <w:rsid w:val="03E07A24"/>
    <w:rsid w:val="0402172C"/>
    <w:rsid w:val="06103791"/>
    <w:rsid w:val="064F49ED"/>
    <w:rsid w:val="07EF0236"/>
    <w:rsid w:val="095B26AD"/>
    <w:rsid w:val="0A0D21E1"/>
    <w:rsid w:val="0A6D7B38"/>
    <w:rsid w:val="0A717628"/>
    <w:rsid w:val="0BD55735"/>
    <w:rsid w:val="0CD67C16"/>
    <w:rsid w:val="0DEC6201"/>
    <w:rsid w:val="0E772D33"/>
    <w:rsid w:val="0E927B6D"/>
    <w:rsid w:val="0F3A0A84"/>
    <w:rsid w:val="0F8E2A2A"/>
    <w:rsid w:val="0F9811B3"/>
    <w:rsid w:val="10415B91"/>
    <w:rsid w:val="11E46932"/>
    <w:rsid w:val="13222B5F"/>
    <w:rsid w:val="13411924"/>
    <w:rsid w:val="1367781A"/>
    <w:rsid w:val="13B33653"/>
    <w:rsid w:val="15E46F00"/>
    <w:rsid w:val="182926C8"/>
    <w:rsid w:val="19A61553"/>
    <w:rsid w:val="1ABC044C"/>
    <w:rsid w:val="1C444C69"/>
    <w:rsid w:val="1CB3762C"/>
    <w:rsid w:val="1D4B3D09"/>
    <w:rsid w:val="1E1F706C"/>
    <w:rsid w:val="1E222CBC"/>
    <w:rsid w:val="1F0C482E"/>
    <w:rsid w:val="1F6410B2"/>
    <w:rsid w:val="1F792DAF"/>
    <w:rsid w:val="20735A50"/>
    <w:rsid w:val="213A5F9C"/>
    <w:rsid w:val="2177331E"/>
    <w:rsid w:val="21A1039B"/>
    <w:rsid w:val="24806158"/>
    <w:rsid w:val="24C7636B"/>
    <w:rsid w:val="24F3437F"/>
    <w:rsid w:val="274A3283"/>
    <w:rsid w:val="27E6038A"/>
    <w:rsid w:val="293E30BA"/>
    <w:rsid w:val="29ED02E2"/>
    <w:rsid w:val="2A0C4820"/>
    <w:rsid w:val="2BE9171D"/>
    <w:rsid w:val="2DB71358"/>
    <w:rsid w:val="2E3F1248"/>
    <w:rsid w:val="2E4D5985"/>
    <w:rsid w:val="2E6647A7"/>
    <w:rsid w:val="2FC85447"/>
    <w:rsid w:val="2FE778C1"/>
    <w:rsid w:val="30766E97"/>
    <w:rsid w:val="319A0963"/>
    <w:rsid w:val="31DB1B10"/>
    <w:rsid w:val="31DE6AA2"/>
    <w:rsid w:val="325A00D3"/>
    <w:rsid w:val="32EA1B39"/>
    <w:rsid w:val="334B0167"/>
    <w:rsid w:val="3390201E"/>
    <w:rsid w:val="33FC16C7"/>
    <w:rsid w:val="3446239F"/>
    <w:rsid w:val="34552334"/>
    <w:rsid w:val="345D63A4"/>
    <w:rsid w:val="34DB0164"/>
    <w:rsid w:val="34DB0F65"/>
    <w:rsid w:val="35222615"/>
    <w:rsid w:val="35335B87"/>
    <w:rsid w:val="362F528B"/>
    <w:rsid w:val="37C91FA2"/>
    <w:rsid w:val="380D6520"/>
    <w:rsid w:val="389B146D"/>
    <w:rsid w:val="390336C5"/>
    <w:rsid w:val="39586DFD"/>
    <w:rsid w:val="3B901665"/>
    <w:rsid w:val="3B90705F"/>
    <w:rsid w:val="3CA8662A"/>
    <w:rsid w:val="3E3F2FBE"/>
    <w:rsid w:val="3E5263F1"/>
    <w:rsid w:val="3E8F41EC"/>
    <w:rsid w:val="3ED656D0"/>
    <w:rsid w:val="406B063D"/>
    <w:rsid w:val="41B8730F"/>
    <w:rsid w:val="41E12475"/>
    <w:rsid w:val="41F36599"/>
    <w:rsid w:val="425C5EED"/>
    <w:rsid w:val="4475215D"/>
    <w:rsid w:val="44AC37CB"/>
    <w:rsid w:val="458F7CB5"/>
    <w:rsid w:val="465316EE"/>
    <w:rsid w:val="46C2653A"/>
    <w:rsid w:val="46CD5F17"/>
    <w:rsid w:val="46F76C15"/>
    <w:rsid w:val="47623535"/>
    <w:rsid w:val="4B4732F2"/>
    <w:rsid w:val="4B9E0BAE"/>
    <w:rsid w:val="4BE111CF"/>
    <w:rsid w:val="4D3248D1"/>
    <w:rsid w:val="4DF46F02"/>
    <w:rsid w:val="4E1C7BCA"/>
    <w:rsid w:val="4E23273D"/>
    <w:rsid w:val="4E2A19FE"/>
    <w:rsid w:val="4E8B592A"/>
    <w:rsid w:val="4EF35AAE"/>
    <w:rsid w:val="4FDB6ACA"/>
    <w:rsid w:val="5144471C"/>
    <w:rsid w:val="51CA44D0"/>
    <w:rsid w:val="51F85506"/>
    <w:rsid w:val="52016A0C"/>
    <w:rsid w:val="521E31BF"/>
    <w:rsid w:val="53732803"/>
    <w:rsid w:val="53BF72F1"/>
    <w:rsid w:val="5445681C"/>
    <w:rsid w:val="54A035C0"/>
    <w:rsid w:val="54E21B59"/>
    <w:rsid w:val="55F63B99"/>
    <w:rsid w:val="576461D9"/>
    <w:rsid w:val="58D34BF9"/>
    <w:rsid w:val="593C3F2A"/>
    <w:rsid w:val="598D4786"/>
    <w:rsid w:val="59AE7AF9"/>
    <w:rsid w:val="59BB12F3"/>
    <w:rsid w:val="5A0B54BA"/>
    <w:rsid w:val="5A132EDD"/>
    <w:rsid w:val="5A2854B0"/>
    <w:rsid w:val="5AD563E4"/>
    <w:rsid w:val="5ADB6D32"/>
    <w:rsid w:val="5BBE331C"/>
    <w:rsid w:val="5DB04EE7"/>
    <w:rsid w:val="5E116A2B"/>
    <w:rsid w:val="5EE50BC0"/>
    <w:rsid w:val="5FCF6BF0"/>
    <w:rsid w:val="609D79A4"/>
    <w:rsid w:val="60BB7E2A"/>
    <w:rsid w:val="6109328C"/>
    <w:rsid w:val="612B239E"/>
    <w:rsid w:val="623C143F"/>
    <w:rsid w:val="62A019CE"/>
    <w:rsid w:val="62E3579C"/>
    <w:rsid w:val="63284D3B"/>
    <w:rsid w:val="644952F5"/>
    <w:rsid w:val="6703077D"/>
    <w:rsid w:val="679C6136"/>
    <w:rsid w:val="68152516"/>
    <w:rsid w:val="69392234"/>
    <w:rsid w:val="698B1E19"/>
    <w:rsid w:val="6CC3509F"/>
    <w:rsid w:val="6F2512C7"/>
    <w:rsid w:val="6F4158DC"/>
    <w:rsid w:val="708446DD"/>
    <w:rsid w:val="732B7092"/>
    <w:rsid w:val="7375588F"/>
    <w:rsid w:val="73E5637C"/>
    <w:rsid w:val="74BD1F6B"/>
    <w:rsid w:val="75006CB2"/>
    <w:rsid w:val="7516167C"/>
    <w:rsid w:val="75F30136"/>
    <w:rsid w:val="76017E90"/>
    <w:rsid w:val="78422A56"/>
    <w:rsid w:val="795135CA"/>
    <w:rsid w:val="79AC0800"/>
    <w:rsid w:val="7B220D7A"/>
    <w:rsid w:val="7B2B2A8E"/>
    <w:rsid w:val="7BE007E5"/>
    <w:rsid w:val="7C86579B"/>
    <w:rsid w:val="7CAF663E"/>
    <w:rsid w:val="7D875B61"/>
    <w:rsid w:val="7E671FD9"/>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spacing w:before="260" w:after="260" w:line="416" w:lineRule="auto"/>
      <w:ind w:firstLine="200" w:firstLineChars="200"/>
      <w:outlineLvl w:val="2"/>
    </w:pPr>
    <w:rPr>
      <w:rFonts w:ascii="Times New Roman" w:hAnsi="Times New Roman" w:eastAsia="宋体"/>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800" w:leftChars="800"/>
    </w:pPr>
  </w:style>
  <w:style w:type="paragraph" w:styleId="4">
    <w:name w:val="Body Text"/>
    <w:basedOn w:val="1"/>
    <w:next w:val="1"/>
    <w:qFormat/>
    <w:uiPriority w:val="0"/>
    <w:rPr>
      <w:rFonts w:eastAsia="华文中宋"/>
      <w:b/>
      <w:bCs/>
      <w:w w:val="90"/>
      <w:sz w:val="44"/>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index heading"/>
    <w:basedOn w:val="1"/>
    <w:next w:val="7"/>
    <w:qFormat/>
    <w:uiPriority w:val="0"/>
    <w:pPr>
      <w:widowControl/>
      <w:jc w:val="left"/>
    </w:pPr>
    <w:rPr>
      <w:rFonts w:ascii="Arial" w:hAnsi="Arial" w:cs="Arial"/>
      <w:b/>
      <w:bCs/>
      <w:kern w:val="0"/>
      <w:sz w:val="24"/>
    </w:rPr>
  </w:style>
  <w:style w:type="paragraph" w:styleId="7">
    <w:name w:val="index 1"/>
    <w:basedOn w:val="1"/>
    <w:next w:val="1"/>
    <w:qFormat/>
    <w:uiPriority w:val="0"/>
    <w:pPr>
      <w:spacing w:line="360" w:lineRule="auto"/>
      <w:jc w:val="center"/>
    </w:pPr>
  </w:style>
  <w:style w:type="paragraph" w:styleId="8">
    <w:name w:val="List"/>
    <w:basedOn w:val="1"/>
    <w:qFormat/>
    <w:uiPriority w:val="0"/>
    <w:pPr>
      <w:ind w:left="200" w:hanging="200" w:hangingChars="200"/>
    </w:pPr>
  </w:style>
  <w:style w:type="paragraph" w:styleId="9">
    <w:name w:val="footnote text"/>
    <w:basedOn w:val="1"/>
    <w:next w:val="3"/>
    <w:unhideWhenUsed/>
    <w:qFormat/>
    <w:uiPriority w:val="99"/>
    <w:pPr>
      <w:snapToGrid w:val="0"/>
      <w:jc w:val="left"/>
    </w:pPr>
    <w:rPr>
      <w:rFonts w:ascii="Calibri" w:hAnsi="Calibri" w:eastAsia="仿宋" w:cs="Times New Roman"/>
      <w:sz w:val="18"/>
      <w:szCs w:val="18"/>
    </w:rPr>
  </w:style>
  <w:style w:type="paragraph" w:styleId="10">
    <w:name w:val="Body Text 2"/>
    <w:basedOn w:val="1"/>
    <w:unhideWhenUsed/>
    <w:qFormat/>
    <w:uiPriority w:val="99"/>
    <w:pPr>
      <w:spacing w:after="120" w:line="480" w:lineRule="auto"/>
    </w:pPr>
  </w:style>
  <w:style w:type="paragraph" w:customStyle="1" w:styleId="13">
    <w:name w:val="Default"/>
    <w:basedOn w:val="14"/>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5">
    <w:name w:val="纯文本1"/>
    <w:basedOn w:val="1"/>
    <w:qFormat/>
    <w:uiPriority w:val="0"/>
    <w:pPr>
      <w:adjustRightInd w:val="0"/>
      <w:textAlignment w:val="baseline"/>
    </w:pPr>
    <w:rPr>
      <w:rFonts w:ascii="宋体" w:hAnsi="Courier New"/>
      <w:szCs w:val="20"/>
    </w:rPr>
  </w:style>
  <w:style w:type="paragraph" w:customStyle="1" w:styleId="1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89ad443b-3661-4814-bcfb-b5a61b368351</errorID>
      <errorWord>&lt;</errorWord>
      <group>L1_Format</group>
      <groupName>格式问题</groupName>
      <ability>L2_HalfPunc</ability>
      <abilityName>全半角检查</abilityName>
      <candidateList>
        <item>〈</item>
      </candidateList>
      <explain>文本全半角错误。</explain>
      <paraID>662674EC</paraID>
      <start>8</start>
      <end>9</end>
      <status>unmodified</status>
      <modifiedWord/>
      <trackRevisions>false</trackRevisions>
    </reviewItem>
    <reviewItem>
      <errorID>ea8684a6-ceea-4999-80d8-63f9478373c9</errorID>
      <errorWord>&gt;</errorWord>
      <group>L1_Format</group>
      <groupName>格式问题</groupName>
      <ability>L2_HalfPunc</ability>
      <abilityName>全半角检查</abilityName>
      <candidateList>
        <item>〉</item>
      </candidateList>
      <explain>文本全半角错误。</explain>
      <paraID>662674EC</paraID>
      <start>25</start>
      <end>26</end>
      <status>unmodified</status>
      <modifiedWord/>
      <trackRevisions>false</trackRevisions>
    </reviewItem>
    <reviewItem>
      <errorID>110ceed0-1358-4655-8e2e-5e5f3056a28d</errorID>
      <errorWord>团</errorWord>
      <group>L1_Word</group>
      <groupName>字词问题</groupName>
      <ability>L2_Typo</ability>
      <abilityName>字词错误</abilityName>
      <candidateList>
        <item>个</item>
      </candidateList>
      <explain/>
      <paraID> 8C6359C</paraID>
      <start>139</start>
      <end>140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1a8f0-0dbe-4711-a080-d0f3e3c44e11}">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2282</Words>
  <Characters>2495</Characters>
  <Lines>0</Lines>
  <Paragraphs>0</Paragraphs>
  <TotalTime>6</TotalTime>
  <ScaleCrop>false</ScaleCrop>
  <LinksUpToDate>false</LinksUpToDate>
  <CharactersWithSpaces>2543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Floating dream </cp:lastModifiedBy>
  <cp:lastPrinted>2025-02-07T08:04:00Z</cp:lastPrinted>
  <dcterms:modified xsi:type="dcterms:W3CDTF">2026-04-10T04:53:21Z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BC477FE0BE1D464585752B69E3BCA1F6_13</vt:lpwstr>
  </property>
  <property fmtid="{D5CDD505-2E9C-101B-9397-08002B2CF9AE}" pid="4" name="KSOTemplateDocerSaveRecord">
    <vt:lpwstr>eyJoZGlkIjoiOTM4ZGE5MjAwOTRjNzE3YmI3NzllODlkMzQzMmYzMzgiLCJ1c2VySWQiOiIzNjMzMTU4MzUifQ==</vt:lpwstr>
  </property>
</Properties>
</file>